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EE4F4" w14:textId="77777777" w:rsidR="004C2944" w:rsidRPr="009D7E0F" w:rsidRDefault="004C2944" w:rsidP="004C2944">
      <w:pPr>
        <w:pStyle w:val="Heading1"/>
        <w:tabs>
          <w:tab w:val="right" w:pos="9189"/>
        </w:tabs>
        <w:rPr>
          <w:rFonts w:asciiTheme="minorHAnsi" w:hAnsiTheme="minorHAnsi" w:cstheme="minorHAnsi"/>
          <w:sz w:val="24"/>
          <w:szCs w:val="24"/>
        </w:rPr>
      </w:pPr>
      <w:r w:rsidRPr="009D7E0F">
        <w:rPr>
          <w:rFonts w:asciiTheme="minorHAnsi" w:hAnsiTheme="minorHAnsi" w:cstheme="minorHAnsi"/>
          <w:sz w:val="24"/>
          <w:szCs w:val="24"/>
        </w:rPr>
        <w:t xml:space="preserve">FOR IMMEDIATE RELEASE  </w:t>
      </w:r>
    </w:p>
    <w:p w14:paraId="1F42478C" w14:textId="77777777" w:rsidR="004C2944" w:rsidRPr="009D7E0F" w:rsidRDefault="004C2944" w:rsidP="004C2944">
      <w:pPr>
        <w:pStyle w:val="NoSpacing"/>
        <w:jc w:val="center"/>
        <w:rPr>
          <w:rFonts w:cstheme="minorHAnsi"/>
        </w:rPr>
      </w:pPr>
    </w:p>
    <w:p w14:paraId="77900A79" w14:textId="4F8FC4B9" w:rsidR="004C2944" w:rsidRDefault="00E92911" w:rsidP="004C2944">
      <w:pPr>
        <w:pStyle w:val="NoSpacing"/>
        <w:jc w:val="center"/>
        <w:rPr>
          <w:b/>
          <w:bCs/>
          <w:sz w:val="26"/>
          <w:szCs w:val="26"/>
        </w:rPr>
      </w:pPr>
      <w:r w:rsidRPr="004C2944">
        <w:rPr>
          <w:b/>
          <w:bCs/>
          <w:sz w:val="26"/>
          <w:szCs w:val="26"/>
        </w:rPr>
        <w:t>NORAM COMPLETES CVZ-6</w:t>
      </w:r>
      <w:r w:rsidR="0018196E" w:rsidRPr="004C2944">
        <w:rPr>
          <w:b/>
          <w:bCs/>
          <w:sz w:val="26"/>
          <w:szCs w:val="26"/>
        </w:rPr>
        <w:t>7</w:t>
      </w:r>
      <w:r w:rsidRPr="004C2944">
        <w:rPr>
          <w:b/>
          <w:bCs/>
          <w:sz w:val="26"/>
          <w:szCs w:val="26"/>
        </w:rPr>
        <w:t xml:space="preserve">: ENDS IN MINERALIZATION AT </w:t>
      </w:r>
      <w:r w:rsidR="0018196E" w:rsidRPr="004C2944">
        <w:rPr>
          <w:b/>
          <w:bCs/>
          <w:sz w:val="26"/>
          <w:szCs w:val="26"/>
        </w:rPr>
        <w:t>50</w:t>
      </w:r>
      <w:r w:rsidRPr="004C2944">
        <w:rPr>
          <w:b/>
          <w:bCs/>
          <w:sz w:val="26"/>
          <w:szCs w:val="26"/>
        </w:rPr>
        <w:t>2</w:t>
      </w:r>
      <w:r w:rsidR="0018196E" w:rsidRPr="004C2944">
        <w:rPr>
          <w:b/>
          <w:bCs/>
          <w:sz w:val="26"/>
          <w:szCs w:val="26"/>
        </w:rPr>
        <w:t xml:space="preserve"> </w:t>
      </w:r>
      <w:r w:rsidRPr="004C2944">
        <w:rPr>
          <w:b/>
          <w:bCs/>
          <w:sz w:val="26"/>
          <w:szCs w:val="26"/>
        </w:rPr>
        <w:t>FT</w:t>
      </w:r>
      <w:r w:rsidR="0018196E" w:rsidRPr="004C2944">
        <w:rPr>
          <w:b/>
          <w:bCs/>
          <w:sz w:val="26"/>
          <w:szCs w:val="26"/>
        </w:rPr>
        <w:t xml:space="preserve"> (153 m)</w:t>
      </w:r>
    </w:p>
    <w:p w14:paraId="6B74F8D5" w14:textId="77777777" w:rsidR="004C2944" w:rsidRPr="004C2944" w:rsidRDefault="004C2944" w:rsidP="004C2944">
      <w:pPr>
        <w:pStyle w:val="NoSpacing"/>
        <w:jc w:val="center"/>
        <w:rPr>
          <w:sz w:val="20"/>
          <w:szCs w:val="20"/>
        </w:rPr>
      </w:pPr>
    </w:p>
    <w:p w14:paraId="7DF10457" w14:textId="75321C27" w:rsidR="00E92911" w:rsidRDefault="00821E4B" w:rsidP="004C2944">
      <w:pPr>
        <w:pStyle w:val="NoSpacing"/>
        <w:jc w:val="both"/>
      </w:pPr>
      <w:r w:rsidRPr="0018196E">
        <w:t xml:space="preserve">Vancouver, British Columbia – </w:t>
      </w:r>
      <w:r w:rsidR="0018196E" w:rsidRPr="0018196E">
        <w:t>February</w:t>
      </w:r>
      <w:r w:rsidRPr="0018196E">
        <w:t xml:space="preserve"> </w:t>
      </w:r>
      <w:r w:rsidR="00E16863" w:rsidRPr="0018196E">
        <w:t>2</w:t>
      </w:r>
      <w:r w:rsidR="0018196E" w:rsidRPr="0018196E">
        <w:t>3</w:t>
      </w:r>
      <w:r w:rsidRPr="0018196E">
        <w:t xml:space="preserve">, 2021 – </w:t>
      </w:r>
      <w:proofErr w:type="spellStart"/>
      <w:r w:rsidRPr="0018196E">
        <w:t>Noram</w:t>
      </w:r>
      <w:proofErr w:type="spellEnd"/>
      <w:r w:rsidRPr="0018196E">
        <w:t xml:space="preserve"> Ventures Inc. (“</w:t>
      </w:r>
      <w:proofErr w:type="spellStart"/>
      <w:r w:rsidRPr="0018196E">
        <w:t>Noram</w:t>
      </w:r>
      <w:proofErr w:type="spellEnd"/>
      <w:r w:rsidRPr="0018196E">
        <w:t>” or the “Company”) (TSX - Venture: NRM / Frankfurt: N7R / OTCQB: NRVTF) is pleased to announce th</w:t>
      </w:r>
      <w:r w:rsidR="00E92911" w:rsidRPr="0018196E">
        <w:t>e completion of</w:t>
      </w:r>
      <w:r w:rsidRPr="0018196E">
        <w:t xml:space="preserve"> </w:t>
      </w:r>
      <w:r w:rsidR="00E92911" w:rsidRPr="0018196E">
        <w:t>CVZ-6</w:t>
      </w:r>
      <w:r w:rsidR="0018196E" w:rsidRPr="0018196E">
        <w:t>7</w:t>
      </w:r>
      <w:r w:rsidR="00E92911" w:rsidRPr="0018196E">
        <w:t xml:space="preserve"> </w:t>
      </w:r>
      <w:r w:rsidR="0018196E" w:rsidRPr="0018196E">
        <w:t xml:space="preserve">at </w:t>
      </w:r>
      <w:r w:rsidR="00E92911" w:rsidRPr="0018196E">
        <w:t xml:space="preserve">a depth of </w:t>
      </w:r>
      <w:r w:rsidR="0018196E" w:rsidRPr="0018196E">
        <w:t>50</w:t>
      </w:r>
      <w:r w:rsidR="00E92911" w:rsidRPr="0018196E">
        <w:t>2</w:t>
      </w:r>
      <w:r w:rsidR="006D2387">
        <w:t xml:space="preserve"> </w:t>
      </w:r>
      <w:r w:rsidR="00E92911" w:rsidRPr="0018196E">
        <w:t>ft</w:t>
      </w:r>
      <w:r w:rsidR="006D2387">
        <w:t xml:space="preserve"> (153 m)</w:t>
      </w:r>
      <w:r w:rsidR="00E92911" w:rsidRPr="0018196E">
        <w:t xml:space="preserve"> and is </w:t>
      </w:r>
      <w:r w:rsidR="0018196E" w:rsidRPr="0018196E">
        <w:t xml:space="preserve">the </w:t>
      </w:r>
      <w:r w:rsidR="00E92911" w:rsidRPr="0018196E">
        <w:t>deepest hole drilled to date</w:t>
      </w:r>
      <w:r w:rsidR="005F4A22" w:rsidRPr="0018196E">
        <w:t xml:space="preserve"> showing mineralization below 400</w:t>
      </w:r>
      <w:r w:rsidR="0018196E" w:rsidRPr="0018196E">
        <w:t xml:space="preserve"> </w:t>
      </w:r>
      <w:r w:rsidR="005F4A22" w:rsidRPr="0018196E">
        <w:t>ft</w:t>
      </w:r>
      <w:r w:rsidR="00E92911" w:rsidRPr="0018196E">
        <w:t xml:space="preserve">. An intersection of approximately </w:t>
      </w:r>
      <w:r w:rsidR="0018196E" w:rsidRPr="0018196E">
        <w:t>281</w:t>
      </w:r>
      <w:r w:rsidR="00E92911" w:rsidRPr="0018196E">
        <w:t xml:space="preserve"> ft</w:t>
      </w:r>
      <w:r w:rsidR="0018196E" w:rsidRPr="0018196E">
        <w:t xml:space="preserve"> (85.6 m)</w:t>
      </w:r>
      <w:r w:rsidR="00E92911" w:rsidRPr="0018196E">
        <w:t xml:space="preserve"> of </w:t>
      </w:r>
      <w:proofErr w:type="spellStart"/>
      <w:r w:rsidR="00E92911" w:rsidRPr="0018196E">
        <w:t>favourable</w:t>
      </w:r>
      <w:proofErr w:type="spellEnd"/>
      <w:r w:rsidR="00E92911" w:rsidRPr="0018196E">
        <w:t xml:space="preserve"> </w:t>
      </w:r>
      <w:proofErr w:type="spellStart"/>
      <w:r w:rsidR="00E92911" w:rsidRPr="0018196E">
        <w:t>claystones</w:t>
      </w:r>
      <w:proofErr w:type="spellEnd"/>
      <w:r w:rsidR="00E92911" w:rsidRPr="0018196E">
        <w:t xml:space="preserve"> was </w:t>
      </w:r>
      <w:r w:rsidR="005F4A22" w:rsidRPr="0018196E">
        <w:t xml:space="preserve">evident and </w:t>
      </w:r>
      <w:r w:rsidR="00242240" w:rsidRPr="0018196E">
        <w:t xml:space="preserve">drilling </w:t>
      </w:r>
      <w:r w:rsidR="005F4A22" w:rsidRPr="0018196E">
        <w:t>ended in blue claystone which has been shown in past programs to host significant amounts of lithium.</w:t>
      </w:r>
      <w:r w:rsidR="0018196E" w:rsidRPr="0018196E">
        <w:rPr>
          <w:color w:val="222222"/>
          <w:shd w:val="clear" w:color="auto" w:fill="FFFFFF"/>
        </w:rPr>
        <w:t xml:space="preserve"> CVZ-67 was the farthest southeast hole that will be drilled in this Phase V drilling program.</w:t>
      </w:r>
    </w:p>
    <w:p w14:paraId="7BD38506" w14:textId="5387F460" w:rsidR="008C77D7" w:rsidRDefault="004C2944" w:rsidP="008C77D7">
      <w:pPr>
        <w:pStyle w:val="NormalWeb"/>
        <w:jc w:val="both"/>
        <w:rPr>
          <w:rFonts w:asciiTheme="minorHAnsi" w:hAnsiTheme="minorHAnsi" w:cstheme="minorHAnsi"/>
          <w:b/>
          <w:bCs/>
          <w:sz w:val="18"/>
          <w:szCs w:val="18"/>
        </w:rPr>
      </w:pPr>
      <w:r w:rsidRPr="004C2944">
        <w:rPr>
          <w:noProof/>
          <w:sz w:val="26"/>
          <w:szCs w:val="26"/>
        </w:rPr>
        <w:drawing>
          <wp:anchor distT="0" distB="0" distL="114300" distR="114300" simplePos="0" relativeHeight="251661312" behindDoc="0" locked="0" layoutInCell="1" allowOverlap="1" wp14:anchorId="649E4A9B" wp14:editId="4BFA11C1">
            <wp:simplePos x="0" y="0"/>
            <wp:positionH relativeFrom="column">
              <wp:posOffset>2821940</wp:posOffset>
            </wp:positionH>
            <wp:positionV relativeFrom="paragraph">
              <wp:posOffset>354330</wp:posOffset>
            </wp:positionV>
            <wp:extent cx="3270885" cy="3724275"/>
            <wp:effectExtent l="0" t="0" r="571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0885" cy="3724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2944">
        <w:rPr>
          <w:noProof/>
          <w:sz w:val="26"/>
          <w:szCs w:val="26"/>
        </w:rPr>
        <w:drawing>
          <wp:anchor distT="0" distB="0" distL="114300" distR="114300" simplePos="0" relativeHeight="251662336" behindDoc="0" locked="0" layoutInCell="1" allowOverlap="1" wp14:anchorId="78A44278" wp14:editId="67BF60B5">
            <wp:simplePos x="0" y="0"/>
            <wp:positionH relativeFrom="column">
              <wp:posOffset>-105410</wp:posOffset>
            </wp:positionH>
            <wp:positionV relativeFrom="paragraph">
              <wp:posOffset>87630</wp:posOffset>
            </wp:positionV>
            <wp:extent cx="2963545" cy="409575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3545" cy="4095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sz w:val="18"/>
          <w:szCs w:val="18"/>
        </w:rPr>
        <w:br/>
      </w:r>
      <w:r>
        <w:rPr>
          <w:rFonts w:asciiTheme="minorHAnsi" w:hAnsiTheme="minorHAnsi" w:cstheme="minorHAnsi"/>
          <w:b/>
          <w:bCs/>
          <w:sz w:val="18"/>
          <w:szCs w:val="18"/>
        </w:rPr>
        <w:br/>
      </w:r>
      <w:r w:rsidR="008C77D7" w:rsidRPr="008C77D7">
        <w:rPr>
          <w:rFonts w:asciiTheme="minorHAnsi" w:hAnsiTheme="minorHAnsi" w:cstheme="minorHAnsi"/>
          <w:b/>
          <w:bCs/>
          <w:sz w:val="18"/>
          <w:szCs w:val="18"/>
        </w:rPr>
        <w:t>Figure 1a) Strip Log of CVZ-6</w:t>
      </w:r>
      <w:r w:rsidR="0018196E">
        <w:rPr>
          <w:rFonts w:asciiTheme="minorHAnsi" w:hAnsiTheme="minorHAnsi" w:cstheme="minorHAnsi"/>
          <w:b/>
          <w:bCs/>
          <w:sz w:val="18"/>
          <w:szCs w:val="18"/>
        </w:rPr>
        <w:t>7</w:t>
      </w:r>
      <w:r w:rsidR="008C77D7">
        <w:rPr>
          <w:rFonts w:asciiTheme="minorHAnsi" w:hAnsiTheme="minorHAnsi" w:cstheme="minorHAnsi"/>
          <w:b/>
          <w:bCs/>
          <w:sz w:val="18"/>
          <w:szCs w:val="18"/>
        </w:rPr>
        <w:t xml:space="preserve"> outlining the various claystone types encountered at depth from the surface to </w:t>
      </w:r>
      <w:r w:rsidR="0018196E">
        <w:rPr>
          <w:rFonts w:asciiTheme="minorHAnsi" w:hAnsiTheme="minorHAnsi" w:cstheme="minorHAnsi"/>
          <w:b/>
          <w:bCs/>
          <w:sz w:val="18"/>
          <w:szCs w:val="18"/>
        </w:rPr>
        <w:t>50</w:t>
      </w:r>
      <w:r w:rsidR="008C77D7">
        <w:rPr>
          <w:rFonts w:asciiTheme="minorHAnsi" w:hAnsiTheme="minorHAnsi" w:cstheme="minorHAnsi"/>
          <w:b/>
          <w:bCs/>
          <w:sz w:val="18"/>
          <w:szCs w:val="18"/>
        </w:rPr>
        <w:t>2</w:t>
      </w:r>
      <w:r w:rsidR="0018196E">
        <w:rPr>
          <w:rFonts w:asciiTheme="minorHAnsi" w:hAnsiTheme="minorHAnsi" w:cstheme="minorHAnsi"/>
          <w:b/>
          <w:bCs/>
          <w:sz w:val="18"/>
          <w:szCs w:val="18"/>
        </w:rPr>
        <w:t xml:space="preserve"> </w:t>
      </w:r>
      <w:r w:rsidR="008C77D7">
        <w:rPr>
          <w:rFonts w:asciiTheme="minorHAnsi" w:hAnsiTheme="minorHAnsi" w:cstheme="minorHAnsi"/>
          <w:b/>
          <w:bCs/>
          <w:sz w:val="18"/>
          <w:szCs w:val="18"/>
        </w:rPr>
        <w:t>ft</w:t>
      </w:r>
      <w:r w:rsidR="0018196E">
        <w:rPr>
          <w:rFonts w:asciiTheme="minorHAnsi" w:hAnsiTheme="minorHAnsi" w:cstheme="minorHAnsi"/>
          <w:b/>
          <w:bCs/>
          <w:sz w:val="18"/>
          <w:szCs w:val="18"/>
        </w:rPr>
        <w:t xml:space="preserve"> (153 m)</w:t>
      </w:r>
      <w:r w:rsidR="008C77D7" w:rsidRPr="008C77D7">
        <w:rPr>
          <w:rFonts w:asciiTheme="minorHAnsi" w:hAnsiTheme="minorHAnsi" w:cstheme="minorHAnsi"/>
          <w:b/>
          <w:bCs/>
          <w:sz w:val="18"/>
          <w:szCs w:val="18"/>
        </w:rPr>
        <w:t xml:space="preserve"> b) Zeus Property map showing a) location of current Indicated and Inferred resources at &gt;900ppm Li cut-off; b) location of drill sites completed or in progress (seen in green) to date for the Phase V 2020 program. Proposed drill sites not yet explored indicated in white. </w:t>
      </w:r>
    </w:p>
    <w:tbl>
      <w:tblPr>
        <w:tblW w:w="6600" w:type="dxa"/>
        <w:jc w:val="center"/>
        <w:tblLook w:val="04A0" w:firstRow="1" w:lastRow="0" w:firstColumn="1" w:lastColumn="0" w:noHBand="0" w:noVBand="1"/>
      </w:tblPr>
      <w:tblGrid>
        <w:gridCol w:w="1128"/>
        <w:gridCol w:w="792"/>
        <w:gridCol w:w="1360"/>
        <w:gridCol w:w="960"/>
        <w:gridCol w:w="2360"/>
      </w:tblGrid>
      <w:tr w:rsidR="0018196E" w:rsidRPr="0018196E" w14:paraId="4F900F98" w14:textId="77777777" w:rsidTr="0018196E">
        <w:trPr>
          <w:trHeight w:val="300"/>
          <w:jc w:val="center"/>
        </w:trPr>
        <w:tc>
          <w:tcPr>
            <w:tcW w:w="1128" w:type="dxa"/>
            <w:tcBorders>
              <w:top w:val="nil"/>
              <w:left w:val="nil"/>
              <w:bottom w:val="nil"/>
              <w:right w:val="nil"/>
            </w:tcBorders>
            <w:shd w:val="clear" w:color="auto" w:fill="auto"/>
            <w:noWrap/>
            <w:vAlign w:val="bottom"/>
            <w:hideMark/>
          </w:tcPr>
          <w:p w14:paraId="07361CBA" w14:textId="77777777" w:rsidR="0018196E" w:rsidRPr="0018196E" w:rsidRDefault="0018196E" w:rsidP="0018196E">
            <w:pPr>
              <w:spacing w:after="0" w:line="240" w:lineRule="auto"/>
              <w:rPr>
                <w:rFonts w:ascii="Times New Roman" w:eastAsia="Times New Roman" w:hAnsi="Times New Roman" w:cs="Times New Roman"/>
                <w:sz w:val="20"/>
                <w:szCs w:val="20"/>
                <w:lang w:val="en-CA" w:eastAsia="en-CA"/>
              </w:rPr>
            </w:pPr>
          </w:p>
        </w:tc>
        <w:tc>
          <w:tcPr>
            <w:tcW w:w="792" w:type="dxa"/>
            <w:tcBorders>
              <w:top w:val="nil"/>
              <w:left w:val="nil"/>
              <w:bottom w:val="nil"/>
              <w:right w:val="nil"/>
            </w:tcBorders>
            <w:shd w:val="clear" w:color="auto" w:fill="auto"/>
            <w:noWrap/>
            <w:vAlign w:val="bottom"/>
            <w:hideMark/>
          </w:tcPr>
          <w:p w14:paraId="41F8D107" w14:textId="77777777" w:rsidR="0018196E" w:rsidRPr="0018196E" w:rsidRDefault="0018196E" w:rsidP="0018196E">
            <w:pPr>
              <w:spacing w:after="0" w:line="240" w:lineRule="auto"/>
              <w:rPr>
                <w:rFonts w:ascii="Times New Roman" w:eastAsia="Times New Roman" w:hAnsi="Times New Roman" w:cs="Times New Roman"/>
                <w:sz w:val="20"/>
                <w:szCs w:val="20"/>
                <w:lang w:val="en-CA" w:eastAsia="en-CA"/>
              </w:rPr>
            </w:pPr>
          </w:p>
        </w:tc>
        <w:tc>
          <w:tcPr>
            <w:tcW w:w="1360" w:type="dxa"/>
            <w:tcBorders>
              <w:top w:val="nil"/>
              <w:left w:val="nil"/>
              <w:bottom w:val="nil"/>
              <w:right w:val="nil"/>
            </w:tcBorders>
            <w:shd w:val="clear" w:color="auto" w:fill="auto"/>
            <w:noWrap/>
            <w:vAlign w:val="bottom"/>
            <w:hideMark/>
          </w:tcPr>
          <w:p w14:paraId="0177E1FF" w14:textId="77777777" w:rsidR="0018196E" w:rsidRPr="0018196E" w:rsidRDefault="0018196E" w:rsidP="0018196E">
            <w:pPr>
              <w:spacing w:after="0" w:line="240" w:lineRule="auto"/>
              <w:rPr>
                <w:rFonts w:ascii="Times New Roman" w:eastAsia="Times New Roman" w:hAnsi="Times New Roman" w:cs="Times New Roman"/>
                <w:sz w:val="20"/>
                <w:szCs w:val="20"/>
                <w:lang w:val="en-CA" w:eastAsia="en-CA"/>
              </w:rPr>
            </w:pPr>
          </w:p>
        </w:tc>
        <w:tc>
          <w:tcPr>
            <w:tcW w:w="960" w:type="dxa"/>
            <w:tcBorders>
              <w:top w:val="nil"/>
              <w:left w:val="nil"/>
              <w:bottom w:val="nil"/>
              <w:right w:val="nil"/>
            </w:tcBorders>
            <w:shd w:val="clear" w:color="auto" w:fill="auto"/>
            <w:noWrap/>
            <w:vAlign w:val="bottom"/>
            <w:hideMark/>
          </w:tcPr>
          <w:p w14:paraId="6F25AF0D" w14:textId="77777777" w:rsidR="0018196E" w:rsidRPr="0018196E" w:rsidRDefault="0018196E" w:rsidP="0018196E">
            <w:pPr>
              <w:spacing w:after="0" w:line="240" w:lineRule="auto"/>
              <w:rPr>
                <w:rFonts w:ascii="Times New Roman" w:eastAsia="Times New Roman" w:hAnsi="Times New Roman" w:cs="Times New Roman"/>
                <w:sz w:val="20"/>
                <w:szCs w:val="20"/>
                <w:lang w:val="en-CA" w:eastAsia="en-CA"/>
              </w:rPr>
            </w:pPr>
          </w:p>
        </w:tc>
        <w:tc>
          <w:tcPr>
            <w:tcW w:w="2360" w:type="dxa"/>
            <w:tcBorders>
              <w:top w:val="nil"/>
              <w:left w:val="nil"/>
              <w:bottom w:val="nil"/>
              <w:right w:val="nil"/>
            </w:tcBorders>
            <w:shd w:val="clear" w:color="auto" w:fill="auto"/>
            <w:noWrap/>
            <w:vAlign w:val="bottom"/>
            <w:hideMark/>
          </w:tcPr>
          <w:p w14:paraId="13B98781" w14:textId="77777777" w:rsidR="0018196E" w:rsidRPr="0018196E" w:rsidRDefault="0018196E" w:rsidP="0018196E">
            <w:pPr>
              <w:spacing w:after="0" w:line="240" w:lineRule="auto"/>
              <w:rPr>
                <w:rFonts w:ascii="Times New Roman" w:eastAsia="Times New Roman" w:hAnsi="Times New Roman" w:cs="Times New Roman"/>
                <w:sz w:val="20"/>
                <w:szCs w:val="20"/>
                <w:lang w:val="en-CA" w:eastAsia="en-CA"/>
              </w:rPr>
            </w:pPr>
          </w:p>
        </w:tc>
      </w:tr>
      <w:tr w:rsidR="0018196E" w:rsidRPr="0018196E" w14:paraId="56C11405" w14:textId="77777777" w:rsidTr="0018196E">
        <w:trPr>
          <w:trHeight w:val="300"/>
          <w:jc w:val="center"/>
        </w:trPr>
        <w:tc>
          <w:tcPr>
            <w:tcW w:w="1128" w:type="dxa"/>
            <w:tcBorders>
              <w:top w:val="nil"/>
              <w:left w:val="nil"/>
              <w:bottom w:val="single" w:sz="4" w:space="0" w:color="auto"/>
              <w:right w:val="nil"/>
            </w:tcBorders>
            <w:shd w:val="clear" w:color="auto" w:fill="auto"/>
            <w:noWrap/>
            <w:vAlign w:val="bottom"/>
            <w:hideMark/>
          </w:tcPr>
          <w:p w14:paraId="64B308BE"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From (ft)</w:t>
            </w:r>
          </w:p>
        </w:tc>
        <w:tc>
          <w:tcPr>
            <w:tcW w:w="792" w:type="dxa"/>
            <w:tcBorders>
              <w:top w:val="nil"/>
              <w:left w:val="nil"/>
              <w:bottom w:val="single" w:sz="4" w:space="0" w:color="auto"/>
              <w:right w:val="nil"/>
            </w:tcBorders>
            <w:shd w:val="clear" w:color="auto" w:fill="auto"/>
            <w:noWrap/>
            <w:vAlign w:val="bottom"/>
            <w:hideMark/>
          </w:tcPr>
          <w:p w14:paraId="436348A6"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To (ft)</w:t>
            </w:r>
          </w:p>
        </w:tc>
        <w:tc>
          <w:tcPr>
            <w:tcW w:w="1360" w:type="dxa"/>
            <w:tcBorders>
              <w:top w:val="nil"/>
              <w:left w:val="nil"/>
              <w:bottom w:val="single" w:sz="4" w:space="0" w:color="auto"/>
              <w:right w:val="nil"/>
            </w:tcBorders>
            <w:shd w:val="clear" w:color="auto" w:fill="auto"/>
            <w:noWrap/>
            <w:vAlign w:val="bottom"/>
            <w:hideMark/>
          </w:tcPr>
          <w:p w14:paraId="52E6EA29"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From (m)</w:t>
            </w:r>
          </w:p>
        </w:tc>
        <w:tc>
          <w:tcPr>
            <w:tcW w:w="960" w:type="dxa"/>
            <w:tcBorders>
              <w:top w:val="nil"/>
              <w:left w:val="nil"/>
              <w:bottom w:val="single" w:sz="4" w:space="0" w:color="auto"/>
              <w:right w:val="nil"/>
            </w:tcBorders>
            <w:shd w:val="clear" w:color="auto" w:fill="auto"/>
            <w:noWrap/>
            <w:vAlign w:val="bottom"/>
            <w:hideMark/>
          </w:tcPr>
          <w:p w14:paraId="7FB20946"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To (m)</w:t>
            </w:r>
          </w:p>
        </w:tc>
        <w:tc>
          <w:tcPr>
            <w:tcW w:w="2360" w:type="dxa"/>
            <w:tcBorders>
              <w:top w:val="nil"/>
              <w:left w:val="nil"/>
              <w:bottom w:val="single" w:sz="4" w:space="0" w:color="auto"/>
              <w:right w:val="nil"/>
            </w:tcBorders>
            <w:shd w:val="clear" w:color="auto" w:fill="auto"/>
            <w:noWrap/>
            <w:vAlign w:val="bottom"/>
            <w:hideMark/>
          </w:tcPr>
          <w:p w14:paraId="6C1AAF39"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Rock Type</w:t>
            </w:r>
          </w:p>
        </w:tc>
      </w:tr>
      <w:tr w:rsidR="0018196E" w:rsidRPr="0018196E" w14:paraId="14BC7285" w14:textId="77777777" w:rsidTr="0018196E">
        <w:trPr>
          <w:trHeight w:val="300"/>
          <w:jc w:val="center"/>
        </w:trPr>
        <w:tc>
          <w:tcPr>
            <w:tcW w:w="1128" w:type="dxa"/>
            <w:tcBorders>
              <w:top w:val="nil"/>
              <w:left w:val="nil"/>
              <w:bottom w:val="nil"/>
              <w:right w:val="nil"/>
            </w:tcBorders>
            <w:shd w:val="clear" w:color="auto" w:fill="auto"/>
            <w:noWrap/>
            <w:vAlign w:val="bottom"/>
            <w:hideMark/>
          </w:tcPr>
          <w:p w14:paraId="4829D676"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0</w:t>
            </w:r>
          </w:p>
        </w:tc>
        <w:tc>
          <w:tcPr>
            <w:tcW w:w="792" w:type="dxa"/>
            <w:tcBorders>
              <w:top w:val="nil"/>
              <w:left w:val="nil"/>
              <w:bottom w:val="nil"/>
              <w:right w:val="nil"/>
            </w:tcBorders>
            <w:shd w:val="clear" w:color="auto" w:fill="auto"/>
            <w:noWrap/>
            <w:vAlign w:val="bottom"/>
            <w:hideMark/>
          </w:tcPr>
          <w:p w14:paraId="0815541F"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202</w:t>
            </w:r>
          </w:p>
        </w:tc>
        <w:tc>
          <w:tcPr>
            <w:tcW w:w="1360" w:type="dxa"/>
            <w:tcBorders>
              <w:top w:val="nil"/>
              <w:left w:val="nil"/>
              <w:bottom w:val="nil"/>
              <w:right w:val="nil"/>
            </w:tcBorders>
            <w:shd w:val="clear" w:color="auto" w:fill="auto"/>
            <w:noWrap/>
            <w:vAlign w:val="bottom"/>
            <w:hideMark/>
          </w:tcPr>
          <w:p w14:paraId="3548E847"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0.0</w:t>
            </w:r>
          </w:p>
        </w:tc>
        <w:tc>
          <w:tcPr>
            <w:tcW w:w="960" w:type="dxa"/>
            <w:tcBorders>
              <w:top w:val="nil"/>
              <w:left w:val="nil"/>
              <w:bottom w:val="nil"/>
              <w:right w:val="nil"/>
            </w:tcBorders>
            <w:shd w:val="clear" w:color="auto" w:fill="auto"/>
            <w:noWrap/>
            <w:vAlign w:val="bottom"/>
            <w:hideMark/>
          </w:tcPr>
          <w:p w14:paraId="4903BC6A"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61.6</w:t>
            </w:r>
          </w:p>
        </w:tc>
        <w:tc>
          <w:tcPr>
            <w:tcW w:w="2360" w:type="dxa"/>
            <w:tcBorders>
              <w:top w:val="nil"/>
              <w:left w:val="nil"/>
              <w:bottom w:val="nil"/>
              <w:right w:val="nil"/>
            </w:tcBorders>
            <w:shd w:val="clear" w:color="auto" w:fill="auto"/>
            <w:noWrap/>
            <w:vAlign w:val="bottom"/>
            <w:hideMark/>
          </w:tcPr>
          <w:p w14:paraId="2F60196F" w14:textId="77777777" w:rsidR="0018196E" w:rsidRPr="0018196E" w:rsidRDefault="0018196E" w:rsidP="0018196E">
            <w:pPr>
              <w:spacing w:after="0" w:line="240" w:lineRule="auto"/>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Surface Gravel</w:t>
            </w:r>
          </w:p>
        </w:tc>
      </w:tr>
      <w:tr w:rsidR="0018196E" w:rsidRPr="0018196E" w14:paraId="26DA5640" w14:textId="77777777" w:rsidTr="0018196E">
        <w:trPr>
          <w:trHeight w:val="300"/>
          <w:jc w:val="center"/>
        </w:trPr>
        <w:tc>
          <w:tcPr>
            <w:tcW w:w="1128" w:type="dxa"/>
            <w:tcBorders>
              <w:top w:val="nil"/>
              <w:left w:val="nil"/>
              <w:bottom w:val="nil"/>
              <w:right w:val="nil"/>
            </w:tcBorders>
            <w:shd w:val="clear" w:color="auto" w:fill="auto"/>
            <w:noWrap/>
            <w:vAlign w:val="bottom"/>
            <w:hideMark/>
          </w:tcPr>
          <w:p w14:paraId="1C821ED4"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202</w:t>
            </w:r>
          </w:p>
        </w:tc>
        <w:tc>
          <w:tcPr>
            <w:tcW w:w="792" w:type="dxa"/>
            <w:tcBorders>
              <w:top w:val="nil"/>
              <w:left w:val="nil"/>
              <w:bottom w:val="nil"/>
              <w:right w:val="nil"/>
            </w:tcBorders>
            <w:shd w:val="clear" w:color="auto" w:fill="auto"/>
            <w:noWrap/>
            <w:vAlign w:val="bottom"/>
            <w:hideMark/>
          </w:tcPr>
          <w:p w14:paraId="46E55B92"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221</w:t>
            </w:r>
          </w:p>
        </w:tc>
        <w:tc>
          <w:tcPr>
            <w:tcW w:w="1360" w:type="dxa"/>
            <w:tcBorders>
              <w:top w:val="nil"/>
              <w:left w:val="nil"/>
              <w:bottom w:val="nil"/>
              <w:right w:val="nil"/>
            </w:tcBorders>
            <w:shd w:val="clear" w:color="auto" w:fill="auto"/>
            <w:noWrap/>
            <w:vAlign w:val="bottom"/>
            <w:hideMark/>
          </w:tcPr>
          <w:p w14:paraId="67F6BE7D"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61.6</w:t>
            </w:r>
          </w:p>
        </w:tc>
        <w:tc>
          <w:tcPr>
            <w:tcW w:w="960" w:type="dxa"/>
            <w:tcBorders>
              <w:top w:val="nil"/>
              <w:left w:val="nil"/>
              <w:bottom w:val="nil"/>
              <w:right w:val="nil"/>
            </w:tcBorders>
            <w:shd w:val="clear" w:color="auto" w:fill="auto"/>
            <w:noWrap/>
            <w:vAlign w:val="bottom"/>
            <w:hideMark/>
          </w:tcPr>
          <w:p w14:paraId="7FF6A210"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67.4</w:t>
            </w:r>
          </w:p>
        </w:tc>
        <w:tc>
          <w:tcPr>
            <w:tcW w:w="2360" w:type="dxa"/>
            <w:tcBorders>
              <w:top w:val="nil"/>
              <w:left w:val="nil"/>
              <w:bottom w:val="nil"/>
              <w:right w:val="nil"/>
            </w:tcBorders>
            <w:shd w:val="clear" w:color="auto" w:fill="auto"/>
            <w:noWrap/>
            <w:vAlign w:val="bottom"/>
            <w:hideMark/>
          </w:tcPr>
          <w:p w14:paraId="33B44C27" w14:textId="77777777" w:rsidR="0018196E" w:rsidRPr="0018196E" w:rsidRDefault="0018196E" w:rsidP="0018196E">
            <w:pPr>
              <w:spacing w:after="0" w:line="240" w:lineRule="auto"/>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Brown Sandy Mudstone</w:t>
            </w:r>
          </w:p>
        </w:tc>
      </w:tr>
      <w:tr w:rsidR="0018196E" w:rsidRPr="0018196E" w14:paraId="587DB760" w14:textId="77777777" w:rsidTr="0018196E">
        <w:trPr>
          <w:trHeight w:val="300"/>
          <w:jc w:val="center"/>
        </w:trPr>
        <w:tc>
          <w:tcPr>
            <w:tcW w:w="1128" w:type="dxa"/>
            <w:tcBorders>
              <w:top w:val="nil"/>
              <w:left w:val="nil"/>
              <w:bottom w:val="nil"/>
              <w:right w:val="nil"/>
            </w:tcBorders>
            <w:shd w:val="clear" w:color="auto" w:fill="auto"/>
            <w:noWrap/>
            <w:vAlign w:val="bottom"/>
            <w:hideMark/>
          </w:tcPr>
          <w:p w14:paraId="212BA62D"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lastRenderedPageBreak/>
              <w:t>221</w:t>
            </w:r>
          </w:p>
        </w:tc>
        <w:tc>
          <w:tcPr>
            <w:tcW w:w="792" w:type="dxa"/>
            <w:tcBorders>
              <w:top w:val="nil"/>
              <w:left w:val="nil"/>
              <w:bottom w:val="nil"/>
              <w:right w:val="nil"/>
            </w:tcBorders>
            <w:shd w:val="clear" w:color="auto" w:fill="auto"/>
            <w:noWrap/>
            <w:vAlign w:val="bottom"/>
            <w:hideMark/>
          </w:tcPr>
          <w:p w14:paraId="2292C66B"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232</w:t>
            </w:r>
          </w:p>
        </w:tc>
        <w:tc>
          <w:tcPr>
            <w:tcW w:w="1360" w:type="dxa"/>
            <w:tcBorders>
              <w:top w:val="nil"/>
              <w:left w:val="nil"/>
              <w:bottom w:val="nil"/>
              <w:right w:val="nil"/>
            </w:tcBorders>
            <w:shd w:val="clear" w:color="auto" w:fill="auto"/>
            <w:noWrap/>
            <w:vAlign w:val="bottom"/>
            <w:hideMark/>
          </w:tcPr>
          <w:p w14:paraId="73D2C7F1"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67.4</w:t>
            </w:r>
          </w:p>
        </w:tc>
        <w:tc>
          <w:tcPr>
            <w:tcW w:w="960" w:type="dxa"/>
            <w:tcBorders>
              <w:top w:val="nil"/>
              <w:left w:val="nil"/>
              <w:bottom w:val="nil"/>
              <w:right w:val="nil"/>
            </w:tcBorders>
            <w:shd w:val="clear" w:color="auto" w:fill="auto"/>
            <w:noWrap/>
            <w:vAlign w:val="bottom"/>
            <w:hideMark/>
          </w:tcPr>
          <w:p w14:paraId="784D56EB"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70.7</w:t>
            </w:r>
          </w:p>
        </w:tc>
        <w:tc>
          <w:tcPr>
            <w:tcW w:w="2360" w:type="dxa"/>
            <w:tcBorders>
              <w:top w:val="nil"/>
              <w:left w:val="nil"/>
              <w:bottom w:val="nil"/>
              <w:right w:val="nil"/>
            </w:tcBorders>
            <w:shd w:val="clear" w:color="auto" w:fill="auto"/>
            <w:noWrap/>
            <w:vAlign w:val="bottom"/>
            <w:hideMark/>
          </w:tcPr>
          <w:p w14:paraId="4A0C64A4" w14:textId="77777777" w:rsidR="0018196E" w:rsidRPr="0018196E" w:rsidRDefault="0018196E" w:rsidP="0018196E">
            <w:pPr>
              <w:spacing w:after="0" w:line="240" w:lineRule="auto"/>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Tan Claystone</w:t>
            </w:r>
          </w:p>
        </w:tc>
      </w:tr>
      <w:tr w:rsidR="0018196E" w:rsidRPr="0018196E" w14:paraId="50FC46FF" w14:textId="77777777" w:rsidTr="0018196E">
        <w:trPr>
          <w:trHeight w:val="300"/>
          <w:jc w:val="center"/>
        </w:trPr>
        <w:tc>
          <w:tcPr>
            <w:tcW w:w="1128" w:type="dxa"/>
            <w:tcBorders>
              <w:top w:val="nil"/>
              <w:left w:val="nil"/>
              <w:bottom w:val="nil"/>
              <w:right w:val="nil"/>
            </w:tcBorders>
            <w:shd w:val="clear" w:color="auto" w:fill="auto"/>
            <w:noWrap/>
            <w:vAlign w:val="bottom"/>
            <w:hideMark/>
          </w:tcPr>
          <w:p w14:paraId="69F0C8DF"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232</w:t>
            </w:r>
          </w:p>
        </w:tc>
        <w:tc>
          <w:tcPr>
            <w:tcW w:w="792" w:type="dxa"/>
            <w:tcBorders>
              <w:top w:val="nil"/>
              <w:left w:val="nil"/>
              <w:bottom w:val="nil"/>
              <w:right w:val="nil"/>
            </w:tcBorders>
            <w:shd w:val="clear" w:color="auto" w:fill="auto"/>
            <w:noWrap/>
            <w:vAlign w:val="bottom"/>
            <w:hideMark/>
          </w:tcPr>
          <w:p w14:paraId="5556FB89"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464</w:t>
            </w:r>
          </w:p>
        </w:tc>
        <w:tc>
          <w:tcPr>
            <w:tcW w:w="1360" w:type="dxa"/>
            <w:tcBorders>
              <w:top w:val="nil"/>
              <w:left w:val="nil"/>
              <w:bottom w:val="nil"/>
              <w:right w:val="nil"/>
            </w:tcBorders>
            <w:shd w:val="clear" w:color="auto" w:fill="auto"/>
            <w:noWrap/>
            <w:vAlign w:val="bottom"/>
            <w:hideMark/>
          </w:tcPr>
          <w:p w14:paraId="04FC9F86"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70.7</w:t>
            </w:r>
          </w:p>
        </w:tc>
        <w:tc>
          <w:tcPr>
            <w:tcW w:w="960" w:type="dxa"/>
            <w:tcBorders>
              <w:top w:val="nil"/>
              <w:left w:val="nil"/>
              <w:bottom w:val="nil"/>
              <w:right w:val="nil"/>
            </w:tcBorders>
            <w:shd w:val="clear" w:color="auto" w:fill="auto"/>
            <w:noWrap/>
            <w:vAlign w:val="bottom"/>
            <w:hideMark/>
          </w:tcPr>
          <w:p w14:paraId="6A80889B"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141.4</w:t>
            </w:r>
          </w:p>
        </w:tc>
        <w:tc>
          <w:tcPr>
            <w:tcW w:w="2360" w:type="dxa"/>
            <w:tcBorders>
              <w:top w:val="nil"/>
              <w:left w:val="nil"/>
              <w:bottom w:val="nil"/>
              <w:right w:val="nil"/>
            </w:tcBorders>
            <w:shd w:val="clear" w:color="auto" w:fill="auto"/>
            <w:noWrap/>
            <w:vAlign w:val="bottom"/>
            <w:hideMark/>
          </w:tcPr>
          <w:p w14:paraId="60059399" w14:textId="77777777" w:rsidR="0018196E" w:rsidRPr="0018196E" w:rsidRDefault="0018196E" w:rsidP="0018196E">
            <w:pPr>
              <w:spacing w:after="0" w:line="240" w:lineRule="auto"/>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Blue Claystone</w:t>
            </w:r>
          </w:p>
        </w:tc>
      </w:tr>
      <w:tr w:rsidR="0018196E" w:rsidRPr="0018196E" w14:paraId="5E29D3A8" w14:textId="77777777" w:rsidTr="0018196E">
        <w:trPr>
          <w:trHeight w:val="300"/>
          <w:jc w:val="center"/>
        </w:trPr>
        <w:tc>
          <w:tcPr>
            <w:tcW w:w="1128" w:type="dxa"/>
            <w:tcBorders>
              <w:top w:val="nil"/>
              <w:left w:val="nil"/>
              <w:bottom w:val="single" w:sz="4" w:space="0" w:color="auto"/>
              <w:right w:val="nil"/>
            </w:tcBorders>
            <w:shd w:val="clear" w:color="auto" w:fill="auto"/>
            <w:noWrap/>
            <w:vAlign w:val="bottom"/>
            <w:hideMark/>
          </w:tcPr>
          <w:p w14:paraId="793C8C7C"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464</w:t>
            </w:r>
          </w:p>
        </w:tc>
        <w:tc>
          <w:tcPr>
            <w:tcW w:w="792" w:type="dxa"/>
            <w:tcBorders>
              <w:top w:val="nil"/>
              <w:left w:val="nil"/>
              <w:bottom w:val="single" w:sz="4" w:space="0" w:color="auto"/>
              <w:right w:val="nil"/>
            </w:tcBorders>
            <w:shd w:val="clear" w:color="auto" w:fill="auto"/>
            <w:noWrap/>
            <w:vAlign w:val="bottom"/>
            <w:hideMark/>
          </w:tcPr>
          <w:p w14:paraId="22E667CF" w14:textId="77777777" w:rsidR="0018196E" w:rsidRPr="0018196E" w:rsidRDefault="0018196E" w:rsidP="0018196E">
            <w:pPr>
              <w:spacing w:after="0" w:line="240" w:lineRule="auto"/>
              <w:jc w:val="center"/>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502</w:t>
            </w:r>
          </w:p>
        </w:tc>
        <w:tc>
          <w:tcPr>
            <w:tcW w:w="1360" w:type="dxa"/>
            <w:tcBorders>
              <w:top w:val="nil"/>
              <w:left w:val="nil"/>
              <w:bottom w:val="single" w:sz="4" w:space="0" w:color="auto"/>
              <w:right w:val="nil"/>
            </w:tcBorders>
            <w:shd w:val="clear" w:color="auto" w:fill="auto"/>
            <w:noWrap/>
            <w:vAlign w:val="bottom"/>
            <w:hideMark/>
          </w:tcPr>
          <w:p w14:paraId="7C29464A"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141.4</w:t>
            </w:r>
          </w:p>
        </w:tc>
        <w:tc>
          <w:tcPr>
            <w:tcW w:w="960" w:type="dxa"/>
            <w:tcBorders>
              <w:top w:val="nil"/>
              <w:left w:val="nil"/>
              <w:bottom w:val="single" w:sz="4" w:space="0" w:color="auto"/>
              <w:right w:val="nil"/>
            </w:tcBorders>
            <w:shd w:val="clear" w:color="auto" w:fill="auto"/>
            <w:noWrap/>
            <w:vAlign w:val="bottom"/>
            <w:hideMark/>
          </w:tcPr>
          <w:p w14:paraId="567A79C5" w14:textId="77777777" w:rsidR="0018196E" w:rsidRPr="0018196E" w:rsidRDefault="0018196E" w:rsidP="0018196E">
            <w:pPr>
              <w:spacing w:after="0" w:line="240" w:lineRule="auto"/>
              <w:jc w:val="right"/>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153.0</w:t>
            </w:r>
          </w:p>
        </w:tc>
        <w:tc>
          <w:tcPr>
            <w:tcW w:w="2360" w:type="dxa"/>
            <w:tcBorders>
              <w:top w:val="nil"/>
              <w:left w:val="nil"/>
              <w:bottom w:val="single" w:sz="4" w:space="0" w:color="auto"/>
              <w:right w:val="nil"/>
            </w:tcBorders>
            <w:shd w:val="clear" w:color="auto" w:fill="auto"/>
            <w:noWrap/>
            <w:vAlign w:val="bottom"/>
            <w:hideMark/>
          </w:tcPr>
          <w:p w14:paraId="339E6231" w14:textId="77777777" w:rsidR="0018196E" w:rsidRPr="0018196E" w:rsidRDefault="0018196E" w:rsidP="0018196E">
            <w:pPr>
              <w:spacing w:after="0" w:line="240" w:lineRule="auto"/>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Blue &amp; Black Claystone</w:t>
            </w:r>
          </w:p>
        </w:tc>
      </w:tr>
      <w:tr w:rsidR="0018196E" w:rsidRPr="0018196E" w14:paraId="0BCFE2D3" w14:textId="77777777" w:rsidTr="0018196E">
        <w:trPr>
          <w:trHeight w:val="300"/>
          <w:jc w:val="center"/>
        </w:trPr>
        <w:tc>
          <w:tcPr>
            <w:tcW w:w="1920" w:type="dxa"/>
            <w:gridSpan w:val="2"/>
            <w:tcBorders>
              <w:top w:val="nil"/>
              <w:left w:val="nil"/>
              <w:bottom w:val="nil"/>
              <w:right w:val="nil"/>
            </w:tcBorders>
            <w:shd w:val="clear" w:color="auto" w:fill="auto"/>
            <w:noWrap/>
            <w:vAlign w:val="bottom"/>
            <w:hideMark/>
          </w:tcPr>
          <w:p w14:paraId="05A9B66A" w14:textId="77777777" w:rsidR="0018196E" w:rsidRPr="0018196E" w:rsidRDefault="0018196E" w:rsidP="0018196E">
            <w:pPr>
              <w:spacing w:after="0" w:line="240" w:lineRule="auto"/>
              <w:rPr>
                <w:rFonts w:ascii="Calibri" w:eastAsia="Times New Roman" w:hAnsi="Calibri" w:cs="Calibri"/>
                <w:color w:val="000000"/>
                <w:lang w:val="en-CA" w:eastAsia="en-CA"/>
              </w:rPr>
            </w:pPr>
            <w:r w:rsidRPr="0018196E">
              <w:rPr>
                <w:rFonts w:ascii="Calibri" w:eastAsia="Times New Roman" w:hAnsi="Calibri" w:cs="Calibri"/>
                <w:color w:val="000000"/>
                <w:lang w:val="en-CA" w:eastAsia="en-CA"/>
              </w:rPr>
              <w:t>Total Depth = 502 ft.</w:t>
            </w:r>
          </w:p>
        </w:tc>
        <w:tc>
          <w:tcPr>
            <w:tcW w:w="1360" w:type="dxa"/>
            <w:tcBorders>
              <w:top w:val="nil"/>
              <w:left w:val="nil"/>
              <w:bottom w:val="nil"/>
              <w:right w:val="nil"/>
            </w:tcBorders>
            <w:shd w:val="clear" w:color="auto" w:fill="auto"/>
            <w:noWrap/>
            <w:vAlign w:val="bottom"/>
            <w:hideMark/>
          </w:tcPr>
          <w:p w14:paraId="5AC7C6F0" w14:textId="77777777" w:rsidR="0018196E" w:rsidRPr="0018196E" w:rsidRDefault="0018196E" w:rsidP="0018196E">
            <w:pPr>
              <w:spacing w:after="0" w:line="240" w:lineRule="auto"/>
              <w:rPr>
                <w:rFonts w:ascii="Calibri" w:eastAsia="Times New Roman" w:hAnsi="Calibri" w:cs="Calibri"/>
                <w:color w:val="000000"/>
                <w:lang w:val="en-CA" w:eastAsia="en-CA"/>
              </w:rPr>
            </w:pPr>
          </w:p>
        </w:tc>
        <w:tc>
          <w:tcPr>
            <w:tcW w:w="960" w:type="dxa"/>
            <w:tcBorders>
              <w:top w:val="nil"/>
              <w:left w:val="nil"/>
              <w:bottom w:val="nil"/>
              <w:right w:val="nil"/>
            </w:tcBorders>
            <w:shd w:val="clear" w:color="auto" w:fill="auto"/>
            <w:noWrap/>
            <w:vAlign w:val="bottom"/>
            <w:hideMark/>
          </w:tcPr>
          <w:p w14:paraId="3D27DB80" w14:textId="77777777" w:rsidR="0018196E" w:rsidRPr="0018196E" w:rsidRDefault="0018196E" w:rsidP="0018196E">
            <w:pPr>
              <w:spacing w:after="0" w:line="240" w:lineRule="auto"/>
              <w:jc w:val="center"/>
              <w:rPr>
                <w:rFonts w:ascii="Times New Roman" w:eastAsia="Times New Roman" w:hAnsi="Times New Roman" w:cs="Times New Roman"/>
                <w:sz w:val="20"/>
                <w:szCs w:val="20"/>
                <w:lang w:val="en-CA" w:eastAsia="en-CA"/>
              </w:rPr>
            </w:pPr>
          </w:p>
        </w:tc>
        <w:tc>
          <w:tcPr>
            <w:tcW w:w="2360" w:type="dxa"/>
            <w:tcBorders>
              <w:top w:val="nil"/>
              <w:left w:val="nil"/>
              <w:bottom w:val="nil"/>
              <w:right w:val="nil"/>
            </w:tcBorders>
            <w:shd w:val="clear" w:color="auto" w:fill="auto"/>
            <w:noWrap/>
            <w:vAlign w:val="bottom"/>
            <w:hideMark/>
          </w:tcPr>
          <w:p w14:paraId="3D1C9012" w14:textId="77777777" w:rsidR="0018196E" w:rsidRPr="0018196E" w:rsidRDefault="0018196E" w:rsidP="0018196E">
            <w:pPr>
              <w:spacing w:after="0" w:line="240" w:lineRule="auto"/>
              <w:jc w:val="center"/>
              <w:rPr>
                <w:rFonts w:ascii="Times New Roman" w:eastAsia="Times New Roman" w:hAnsi="Times New Roman" w:cs="Times New Roman"/>
                <w:sz w:val="20"/>
                <w:szCs w:val="20"/>
                <w:lang w:val="en-CA" w:eastAsia="en-CA"/>
              </w:rPr>
            </w:pPr>
          </w:p>
        </w:tc>
      </w:tr>
    </w:tbl>
    <w:p w14:paraId="3743ED59" w14:textId="77777777" w:rsidR="004C2944" w:rsidRDefault="008C77D7" w:rsidP="004C2944">
      <w:pPr>
        <w:jc w:val="center"/>
        <w:rPr>
          <w:rFonts w:cstheme="minorHAnsi"/>
          <w:b/>
          <w:bCs/>
          <w:sz w:val="18"/>
          <w:szCs w:val="18"/>
        </w:rPr>
      </w:pPr>
      <w:r w:rsidRPr="004C2944">
        <w:rPr>
          <w:rFonts w:cstheme="minorHAnsi"/>
          <w:b/>
          <w:bCs/>
          <w:sz w:val="18"/>
          <w:szCs w:val="18"/>
        </w:rPr>
        <w:t xml:space="preserve">Table 1 – Summary of Figure 1a Strip Log, describing the lithologies of </w:t>
      </w:r>
      <w:r w:rsidR="00242240" w:rsidRPr="004C2944">
        <w:rPr>
          <w:rFonts w:cstheme="minorHAnsi"/>
          <w:b/>
          <w:bCs/>
          <w:sz w:val="18"/>
          <w:szCs w:val="18"/>
        </w:rPr>
        <w:t>CVZ-6</w:t>
      </w:r>
      <w:r w:rsidR="0018196E" w:rsidRPr="004C2944">
        <w:rPr>
          <w:rFonts w:cstheme="minorHAnsi"/>
          <w:b/>
          <w:bCs/>
          <w:sz w:val="18"/>
          <w:szCs w:val="18"/>
        </w:rPr>
        <w:t>7</w:t>
      </w:r>
      <w:r w:rsidR="00242240" w:rsidRPr="004C2944">
        <w:rPr>
          <w:rFonts w:cstheme="minorHAnsi"/>
          <w:b/>
          <w:bCs/>
          <w:sz w:val="18"/>
          <w:szCs w:val="18"/>
        </w:rPr>
        <w:t xml:space="preserve"> from surface to depth of </w:t>
      </w:r>
      <w:r w:rsidR="0018196E" w:rsidRPr="004C2944">
        <w:rPr>
          <w:rFonts w:cstheme="minorHAnsi"/>
          <w:b/>
          <w:bCs/>
          <w:sz w:val="18"/>
          <w:szCs w:val="18"/>
        </w:rPr>
        <w:t>50</w:t>
      </w:r>
      <w:r w:rsidR="00242240" w:rsidRPr="004C2944">
        <w:rPr>
          <w:rFonts w:cstheme="minorHAnsi"/>
          <w:b/>
          <w:bCs/>
          <w:sz w:val="18"/>
          <w:szCs w:val="18"/>
        </w:rPr>
        <w:t>2</w:t>
      </w:r>
      <w:r w:rsidR="0018196E" w:rsidRPr="004C2944">
        <w:rPr>
          <w:rFonts w:cstheme="minorHAnsi"/>
          <w:b/>
          <w:bCs/>
          <w:sz w:val="18"/>
          <w:szCs w:val="18"/>
        </w:rPr>
        <w:t xml:space="preserve"> </w:t>
      </w:r>
      <w:r w:rsidR="00242240" w:rsidRPr="004C2944">
        <w:rPr>
          <w:rFonts w:cstheme="minorHAnsi"/>
          <w:b/>
          <w:bCs/>
          <w:sz w:val="18"/>
          <w:szCs w:val="18"/>
        </w:rPr>
        <w:t>ft</w:t>
      </w:r>
      <w:r w:rsidR="0018196E" w:rsidRPr="004C2944">
        <w:rPr>
          <w:rFonts w:cstheme="minorHAnsi"/>
          <w:b/>
          <w:bCs/>
          <w:sz w:val="18"/>
          <w:szCs w:val="18"/>
        </w:rPr>
        <w:t xml:space="preserve"> (153 m)</w:t>
      </w:r>
      <w:r w:rsidR="00242240" w:rsidRPr="004C2944">
        <w:rPr>
          <w:rFonts w:cstheme="minorHAnsi"/>
          <w:b/>
          <w:bCs/>
          <w:sz w:val="18"/>
          <w:szCs w:val="18"/>
        </w:rPr>
        <w:t>.</w:t>
      </w:r>
    </w:p>
    <w:p w14:paraId="76C8079C" w14:textId="15A35D6D" w:rsidR="0018196E" w:rsidRPr="0018196E" w:rsidRDefault="0018196E" w:rsidP="004C2944">
      <w:pPr>
        <w:jc w:val="both"/>
        <w:rPr>
          <w:rFonts w:cstheme="minorHAnsi"/>
          <w:b/>
          <w:bCs/>
        </w:rPr>
      </w:pPr>
      <w:r w:rsidRPr="0018196E">
        <w:rPr>
          <w:rFonts w:cstheme="minorHAnsi"/>
          <w:color w:val="222222"/>
          <w:shd w:val="clear" w:color="auto" w:fill="FFFFFF"/>
        </w:rPr>
        <w:t>The core hole passed through a probable fault zone around 310 feet (94.5 m).  The angle of the bedding in the core changed below that point and was tilted at angles varying from 10° to 25° for the remainder of the hole.  The tilting should not have affected the grade of the lithium mineralization but indicates that the drill hole passed into a fault block that is somewhat tilted in relation to nearby blocks.  Block faulting is a normal occurrence in the Basin and Range physiographic province of the western United States.</w:t>
      </w:r>
    </w:p>
    <w:p w14:paraId="79ECD98C" w14:textId="38FA41B6" w:rsidR="00242240" w:rsidRDefault="00D66557" w:rsidP="004C2944">
      <w:pPr>
        <w:pStyle w:val="NormalWeb"/>
        <w:jc w:val="both"/>
        <w:rPr>
          <w:rFonts w:asciiTheme="minorHAnsi" w:hAnsiTheme="minorHAnsi" w:cstheme="minorHAnsi"/>
          <w:sz w:val="22"/>
          <w:szCs w:val="22"/>
        </w:rPr>
      </w:pPr>
      <w:r w:rsidRPr="00D66557">
        <w:rPr>
          <w:rFonts w:asciiTheme="minorHAnsi" w:hAnsiTheme="minorHAnsi" w:cstheme="minorHAnsi"/>
          <w:sz w:val="22"/>
          <w:szCs w:val="22"/>
        </w:rPr>
        <w:t xml:space="preserve">“This is another important drill hole for </w:t>
      </w:r>
      <w:proofErr w:type="spellStart"/>
      <w:r w:rsidRPr="00D66557">
        <w:rPr>
          <w:rFonts w:asciiTheme="minorHAnsi" w:hAnsiTheme="minorHAnsi" w:cstheme="minorHAnsi"/>
          <w:sz w:val="22"/>
          <w:szCs w:val="22"/>
        </w:rPr>
        <w:t>Noram</w:t>
      </w:r>
      <w:proofErr w:type="spellEnd"/>
      <w:r w:rsidRPr="00D66557">
        <w:rPr>
          <w:rFonts w:asciiTheme="minorHAnsi" w:hAnsiTheme="minorHAnsi" w:cstheme="minorHAnsi"/>
          <w:sz w:val="22"/>
          <w:szCs w:val="22"/>
        </w:rPr>
        <w:t xml:space="preserve">. It is the deepest drilled to date with visually </w:t>
      </w:r>
      <w:proofErr w:type="spellStart"/>
      <w:r w:rsidRPr="00D66557">
        <w:rPr>
          <w:rFonts w:asciiTheme="minorHAnsi" w:hAnsiTheme="minorHAnsi" w:cstheme="minorHAnsi"/>
          <w:sz w:val="22"/>
          <w:szCs w:val="22"/>
        </w:rPr>
        <w:t>favourable</w:t>
      </w:r>
      <w:proofErr w:type="spellEnd"/>
      <w:r w:rsidRPr="00D66557">
        <w:rPr>
          <w:rFonts w:asciiTheme="minorHAnsi" w:hAnsiTheme="minorHAnsi" w:cstheme="minorHAnsi"/>
          <w:sz w:val="22"/>
          <w:szCs w:val="22"/>
        </w:rPr>
        <w:t xml:space="preserve"> </w:t>
      </w:r>
      <w:proofErr w:type="spellStart"/>
      <w:r w:rsidRPr="00D66557">
        <w:rPr>
          <w:rFonts w:asciiTheme="minorHAnsi" w:hAnsiTheme="minorHAnsi" w:cstheme="minorHAnsi"/>
          <w:sz w:val="22"/>
          <w:szCs w:val="22"/>
        </w:rPr>
        <w:t>claystones</w:t>
      </w:r>
      <w:proofErr w:type="spellEnd"/>
      <w:r w:rsidRPr="00D66557">
        <w:rPr>
          <w:rFonts w:asciiTheme="minorHAnsi" w:hAnsiTheme="minorHAnsi" w:cstheme="minorHAnsi"/>
          <w:sz w:val="22"/>
          <w:szCs w:val="22"/>
        </w:rPr>
        <w:t xml:space="preserve"> apparent at the bottom. We were very pleased to see this and expect the results to be consistent based upon the yield of these </w:t>
      </w:r>
      <w:proofErr w:type="spellStart"/>
      <w:r w:rsidRPr="00D66557">
        <w:rPr>
          <w:rFonts w:asciiTheme="minorHAnsi" w:hAnsiTheme="minorHAnsi" w:cstheme="minorHAnsi"/>
          <w:sz w:val="22"/>
          <w:szCs w:val="22"/>
        </w:rPr>
        <w:t>claystones</w:t>
      </w:r>
      <w:proofErr w:type="spellEnd"/>
      <w:r w:rsidRPr="00D66557">
        <w:rPr>
          <w:rFonts w:asciiTheme="minorHAnsi" w:hAnsiTheme="minorHAnsi" w:cstheme="minorHAnsi"/>
          <w:sz w:val="22"/>
          <w:szCs w:val="22"/>
        </w:rPr>
        <w:t xml:space="preserve"> from prior drilling. The Company has not previously drilled in this area, nor at these depths; consequently, the results will significantly impact the resource modelling. From visual inspection alone, it appears that CVZ-67 once again confirms our theories on both the dip and direction of the resource” commented Brad Peek, consulting geologist and Qualified Person for all drilling phases of </w:t>
      </w:r>
      <w:proofErr w:type="spellStart"/>
      <w:r w:rsidRPr="00D66557">
        <w:rPr>
          <w:rFonts w:asciiTheme="minorHAnsi" w:hAnsiTheme="minorHAnsi" w:cstheme="minorHAnsi"/>
          <w:sz w:val="22"/>
          <w:szCs w:val="22"/>
        </w:rPr>
        <w:t>Noram’s</w:t>
      </w:r>
      <w:proofErr w:type="spellEnd"/>
      <w:r w:rsidRPr="00D66557">
        <w:rPr>
          <w:rFonts w:asciiTheme="minorHAnsi" w:hAnsiTheme="minorHAnsi" w:cstheme="minorHAnsi"/>
          <w:sz w:val="22"/>
          <w:szCs w:val="22"/>
        </w:rPr>
        <w:t xml:space="preserve"> Zeus lithium property.</w:t>
      </w:r>
      <w:r w:rsidR="00242240" w:rsidRPr="00242240">
        <w:rPr>
          <w:rFonts w:asciiTheme="minorHAnsi" w:hAnsiTheme="minorHAnsi" w:cstheme="minorHAnsi"/>
          <w:sz w:val="22"/>
          <w:szCs w:val="22"/>
        </w:rPr>
        <w:t xml:space="preserve"> </w:t>
      </w:r>
    </w:p>
    <w:p w14:paraId="01953F97" w14:textId="76E349F1" w:rsidR="008C77D7" w:rsidRDefault="008C77D7" w:rsidP="004C2944">
      <w:pPr>
        <w:pStyle w:val="NormalWeb"/>
        <w:jc w:val="both"/>
        <w:rPr>
          <w:rFonts w:asciiTheme="minorHAnsi" w:hAnsiTheme="minorHAnsi" w:cstheme="minorHAnsi"/>
          <w:sz w:val="22"/>
          <w:szCs w:val="22"/>
        </w:rPr>
      </w:pPr>
      <w:r w:rsidRPr="00242240">
        <w:rPr>
          <w:rFonts w:asciiTheme="minorHAnsi" w:hAnsiTheme="minorHAnsi" w:cstheme="minorHAnsi"/>
          <w:sz w:val="22"/>
          <w:szCs w:val="22"/>
        </w:rPr>
        <w:t xml:space="preserve">Samples were sent to ALS Labs in North Vancouver on a rush basis and assays are pending.  These lakebed sediments have shown very uniform lithologies and lithium grades over large areas of Clayton Valley.  </w:t>
      </w:r>
    </w:p>
    <w:p w14:paraId="0898ABF9" w14:textId="0C542DAC" w:rsidR="004C2944" w:rsidRDefault="004C2944" w:rsidP="004C2944">
      <w:pPr>
        <w:pStyle w:val="NoSpacing"/>
        <w:jc w:val="both"/>
        <w:rPr>
          <w:rFonts w:cstheme="minorHAnsi"/>
          <w:bCs/>
        </w:rPr>
      </w:pPr>
      <w:r w:rsidRPr="009D7E0F">
        <w:rPr>
          <w:rFonts w:cstheme="minorHAnsi"/>
        </w:rPr>
        <w:t>The technical information contained in this news release has been reviewed and approved by Brad Peek.,</w:t>
      </w:r>
      <w:r w:rsidRPr="009D7E0F">
        <w:rPr>
          <w:rFonts w:cstheme="minorHAnsi"/>
          <w:bCs/>
        </w:rPr>
        <w:t xml:space="preserve"> M.Sc., CPG, who is a Qualified Person with respect to </w:t>
      </w:r>
      <w:proofErr w:type="spellStart"/>
      <w:r w:rsidRPr="009D7E0F">
        <w:rPr>
          <w:rFonts w:cstheme="minorHAnsi"/>
          <w:bCs/>
        </w:rPr>
        <w:t>Noram’s</w:t>
      </w:r>
      <w:proofErr w:type="spellEnd"/>
      <w:r w:rsidRPr="009D7E0F">
        <w:rPr>
          <w:rFonts w:cstheme="minorHAnsi"/>
          <w:bCs/>
        </w:rPr>
        <w:t xml:space="preserve"> Clayton Valley Lithium Project as defined under National Instrument 43-101.</w:t>
      </w:r>
    </w:p>
    <w:p w14:paraId="1468D8A8" w14:textId="77777777" w:rsidR="004C2944" w:rsidRPr="004C2944" w:rsidRDefault="004C2944" w:rsidP="004C2944">
      <w:pPr>
        <w:pStyle w:val="NoSpacing"/>
        <w:jc w:val="both"/>
        <w:rPr>
          <w:rFonts w:cstheme="minorHAnsi"/>
          <w:bCs/>
        </w:rPr>
      </w:pPr>
    </w:p>
    <w:p w14:paraId="016E8E03" w14:textId="77777777" w:rsidR="004C2944" w:rsidRDefault="00237C49" w:rsidP="004C2944">
      <w:pPr>
        <w:pStyle w:val="NoSpacing"/>
        <w:rPr>
          <w:b/>
          <w:sz w:val="20"/>
          <w:szCs w:val="20"/>
          <w:u w:val="single"/>
        </w:rPr>
      </w:pPr>
      <w:r w:rsidRPr="004C2944">
        <w:rPr>
          <w:b/>
          <w:sz w:val="20"/>
          <w:szCs w:val="20"/>
          <w:u w:val="single"/>
        </w:rPr>
        <w:t xml:space="preserve">About </w:t>
      </w:r>
      <w:proofErr w:type="spellStart"/>
      <w:r w:rsidRPr="004C2944">
        <w:rPr>
          <w:b/>
          <w:sz w:val="20"/>
          <w:szCs w:val="20"/>
          <w:u w:val="single"/>
        </w:rPr>
        <w:t>Noram</w:t>
      </w:r>
      <w:proofErr w:type="spellEnd"/>
      <w:r w:rsidRPr="004C2944">
        <w:rPr>
          <w:b/>
          <w:sz w:val="20"/>
          <w:szCs w:val="20"/>
          <w:u w:val="single"/>
        </w:rPr>
        <w:t xml:space="preserve"> Ventures Inc.</w:t>
      </w:r>
    </w:p>
    <w:p w14:paraId="131139C6" w14:textId="77777777" w:rsidR="004C2944" w:rsidRDefault="004C2944" w:rsidP="004C2944">
      <w:pPr>
        <w:pStyle w:val="NoSpacing"/>
        <w:rPr>
          <w:b/>
          <w:sz w:val="20"/>
          <w:szCs w:val="20"/>
          <w:u w:val="single"/>
        </w:rPr>
      </w:pPr>
    </w:p>
    <w:p w14:paraId="74BDDB27" w14:textId="16E2266E" w:rsidR="00237C49" w:rsidRDefault="00237C49" w:rsidP="004C2944">
      <w:pPr>
        <w:pStyle w:val="NoSpacing"/>
        <w:jc w:val="both"/>
        <w:rPr>
          <w:sz w:val="20"/>
          <w:szCs w:val="20"/>
        </w:rPr>
      </w:pPr>
      <w:proofErr w:type="spellStart"/>
      <w:r w:rsidRPr="004C2944">
        <w:rPr>
          <w:sz w:val="20"/>
          <w:szCs w:val="20"/>
        </w:rPr>
        <w:t>Noram</w:t>
      </w:r>
      <w:proofErr w:type="spellEnd"/>
      <w:r w:rsidRPr="004C2944">
        <w:rPr>
          <w:sz w:val="20"/>
          <w:szCs w:val="20"/>
        </w:rPr>
        <w:t xml:space="preserve"> Ventures Inc. (TSX - Venture: NRM / Frankfurt: N7R / OTCQB: NRVTF) is a Canadian based junior exploration company, with a goal of developing lithium deposits and becoming a low - cost supplier. The Company’s primary business is the Zeus Lithium Project (“Zeus”) in Clayton Valley, Nevada. The Zeus Project has a current resource estimate of </w:t>
      </w:r>
      <w:r w:rsidRPr="004C2944">
        <w:rPr>
          <w:b/>
          <w:bCs/>
          <w:sz w:val="20"/>
          <w:szCs w:val="20"/>
        </w:rPr>
        <w:t xml:space="preserve">124 million </w:t>
      </w:r>
      <w:proofErr w:type="spellStart"/>
      <w:r w:rsidRPr="004C2944">
        <w:rPr>
          <w:b/>
          <w:bCs/>
          <w:sz w:val="20"/>
          <w:szCs w:val="20"/>
        </w:rPr>
        <w:t>tonnes</w:t>
      </w:r>
      <w:proofErr w:type="spellEnd"/>
      <w:r w:rsidRPr="004C2944">
        <w:rPr>
          <w:b/>
          <w:bCs/>
          <w:sz w:val="20"/>
          <w:szCs w:val="20"/>
        </w:rPr>
        <w:t xml:space="preserve"> at 1136 ppm lithium as Indicated Resources, and 77 million </w:t>
      </w:r>
      <w:proofErr w:type="spellStart"/>
      <w:r w:rsidRPr="004C2944">
        <w:rPr>
          <w:b/>
          <w:bCs/>
          <w:sz w:val="20"/>
          <w:szCs w:val="20"/>
        </w:rPr>
        <w:t>tonnes</w:t>
      </w:r>
      <w:proofErr w:type="spellEnd"/>
      <w:r w:rsidRPr="004C2944">
        <w:rPr>
          <w:b/>
          <w:bCs/>
          <w:sz w:val="20"/>
          <w:szCs w:val="20"/>
        </w:rPr>
        <w:t xml:space="preserve"> lithium at 1045 ppm lithium as Inferred Resources </w:t>
      </w:r>
      <w:r w:rsidRPr="004C2944">
        <w:rPr>
          <w:sz w:val="20"/>
          <w:szCs w:val="20"/>
        </w:rPr>
        <w:t xml:space="preserve">(900 ppm Li cut-off: 1.18 million </w:t>
      </w:r>
      <w:proofErr w:type="spellStart"/>
      <w:r w:rsidRPr="004C2944">
        <w:rPr>
          <w:sz w:val="20"/>
          <w:szCs w:val="20"/>
        </w:rPr>
        <w:t>tonnes</w:t>
      </w:r>
      <w:proofErr w:type="spellEnd"/>
      <w:r w:rsidRPr="004C2944">
        <w:rPr>
          <w:sz w:val="20"/>
          <w:szCs w:val="20"/>
        </w:rPr>
        <w:t xml:space="preserve"> lithium carbonate equivalent – “LCE”.</w:t>
      </w:r>
    </w:p>
    <w:p w14:paraId="7CE8FC59" w14:textId="77777777" w:rsidR="004C2944" w:rsidRPr="004C2944" w:rsidRDefault="004C2944" w:rsidP="004C2944">
      <w:pPr>
        <w:pStyle w:val="NoSpacing"/>
        <w:jc w:val="both"/>
        <w:rPr>
          <w:b/>
          <w:sz w:val="20"/>
          <w:szCs w:val="20"/>
          <w:u w:val="single"/>
        </w:rPr>
      </w:pPr>
    </w:p>
    <w:p w14:paraId="328D6952" w14:textId="1125D53D" w:rsidR="00237C49" w:rsidRDefault="00237C49" w:rsidP="004C2944">
      <w:pPr>
        <w:pStyle w:val="NoSpacing"/>
        <w:jc w:val="both"/>
        <w:rPr>
          <w:sz w:val="20"/>
          <w:szCs w:val="20"/>
        </w:rPr>
      </w:pPr>
      <w:proofErr w:type="spellStart"/>
      <w:r w:rsidRPr="004C2944">
        <w:rPr>
          <w:sz w:val="20"/>
          <w:szCs w:val="20"/>
        </w:rPr>
        <w:t>Noram’s</w:t>
      </w:r>
      <w:proofErr w:type="spellEnd"/>
      <w:r w:rsidRPr="004C2944">
        <w:rPr>
          <w:sz w:val="20"/>
          <w:szCs w:val="20"/>
        </w:rPr>
        <w:t xml:space="preserve"> long term strategy is to build a multi-national lithium minerals company to produce and sell lithium into the markets of Europe, North America and Asia. </w:t>
      </w:r>
    </w:p>
    <w:p w14:paraId="73723A6E" w14:textId="77777777" w:rsidR="004C2944" w:rsidRPr="004C2944" w:rsidRDefault="004C2944" w:rsidP="004C2944">
      <w:pPr>
        <w:pStyle w:val="NoSpacing"/>
        <w:rPr>
          <w:b/>
          <w:sz w:val="20"/>
          <w:szCs w:val="20"/>
          <w:u w:val="single"/>
        </w:rPr>
      </w:pPr>
    </w:p>
    <w:p w14:paraId="760E35E5" w14:textId="77777777" w:rsidR="00237C49" w:rsidRPr="009D7E0F" w:rsidRDefault="00237C49" w:rsidP="00237C49">
      <w:pPr>
        <w:pStyle w:val="NoSpacing"/>
        <w:rPr>
          <w:rFonts w:cstheme="minorHAnsi"/>
        </w:rPr>
      </w:pPr>
      <w:r w:rsidRPr="009D7E0F">
        <w:rPr>
          <w:rFonts w:cstheme="minorHAnsi"/>
        </w:rPr>
        <w:t xml:space="preserve">Please visit our web site for further information: </w:t>
      </w:r>
      <w:hyperlink r:id="rId9" w:history="1">
        <w:r w:rsidRPr="009D7E0F">
          <w:rPr>
            <w:rStyle w:val="Hyperlink"/>
            <w:rFonts w:cstheme="minorHAnsi"/>
          </w:rPr>
          <w:t>www.noramventures.com</w:t>
        </w:r>
      </w:hyperlink>
      <w:r w:rsidRPr="009D7E0F">
        <w:rPr>
          <w:rFonts w:cstheme="minorHAnsi"/>
        </w:rPr>
        <w:t xml:space="preserve"> </w:t>
      </w:r>
    </w:p>
    <w:p w14:paraId="1A367A7F" w14:textId="77777777" w:rsidR="00237C49" w:rsidRPr="009D7E0F" w:rsidRDefault="00237C49" w:rsidP="00237C49">
      <w:pPr>
        <w:pStyle w:val="NoSpacing"/>
        <w:rPr>
          <w:rFonts w:cstheme="minorHAnsi"/>
        </w:rPr>
      </w:pPr>
    </w:p>
    <w:p w14:paraId="3706079E" w14:textId="77777777" w:rsidR="00237C49" w:rsidRPr="009D7E0F" w:rsidRDefault="00237C49" w:rsidP="00237C49">
      <w:pPr>
        <w:pStyle w:val="NoSpacing"/>
        <w:rPr>
          <w:rFonts w:cstheme="minorHAnsi"/>
          <w:b/>
          <w:bCs/>
        </w:rPr>
      </w:pPr>
      <w:r w:rsidRPr="009D7E0F">
        <w:rPr>
          <w:rFonts w:cstheme="minorHAnsi"/>
          <w:b/>
          <w:bCs/>
        </w:rPr>
        <w:t>ON BEHALF OF THE BOARD OF DIRECTORS</w:t>
      </w:r>
    </w:p>
    <w:p w14:paraId="7D5F1C0D" w14:textId="77777777" w:rsidR="00237C49" w:rsidRPr="009D7E0F" w:rsidRDefault="00237C49" w:rsidP="00237C49">
      <w:pPr>
        <w:pStyle w:val="NoSpacing"/>
        <w:rPr>
          <w:rFonts w:cstheme="minorHAnsi"/>
          <w:i/>
          <w:sz w:val="24"/>
          <w:szCs w:val="24"/>
        </w:rPr>
      </w:pPr>
      <w:r w:rsidRPr="009D7E0F">
        <w:rPr>
          <w:rFonts w:cstheme="minorHAnsi"/>
          <w:i/>
        </w:rPr>
        <w:t xml:space="preserve">/s/ </w:t>
      </w:r>
      <w:r w:rsidRPr="009D7E0F">
        <w:rPr>
          <w:rFonts w:cstheme="minorHAnsi"/>
          <w:i/>
          <w:sz w:val="24"/>
          <w:szCs w:val="24"/>
        </w:rPr>
        <w:t>“Anita Algie”</w:t>
      </w:r>
    </w:p>
    <w:p w14:paraId="44C40EE4" w14:textId="77777777" w:rsidR="00237C49" w:rsidRPr="009D7E0F" w:rsidRDefault="00237C49" w:rsidP="00237C49">
      <w:pPr>
        <w:pStyle w:val="NoSpacing"/>
        <w:rPr>
          <w:rFonts w:cstheme="minorHAnsi"/>
        </w:rPr>
      </w:pPr>
      <w:r w:rsidRPr="009D7E0F">
        <w:rPr>
          <w:rFonts w:cstheme="minorHAnsi"/>
        </w:rPr>
        <w:t>Director and CFO</w:t>
      </w:r>
    </w:p>
    <w:p w14:paraId="307C1785" w14:textId="77777777" w:rsidR="00237C49" w:rsidRPr="009D7E0F" w:rsidRDefault="00237C49" w:rsidP="00237C49">
      <w:pPr>
        <w:pStyle w:val="NoSpacing"/>
        <w:rPr>
          <w:rFonts w:cstheme="minorHAnsi"/>
        </w:rPr>
      </w:pPr>
      <w:r w:rsidRPr="009D7E0F">
        <w:rPr>
          <w:rFonts w:cstheme="minorHAnsi"/>
        </w:rPr>
        <w:t>Office: (604) 553-2279</w:t>
      </w:r>
    </w:p>
    <w:p w14:paraId="3429BCE5" w14:textId="5566CF82" w:rsidR="00B82422" w:rsidRPr="004C2944" w:rsidRDefault="00237C49" w:rsidP="004C2944">
      <w:pPr>
        <w:pStyle w:val="NoSpacing"/>
        <w:jc w:val="both"/>
        <w:rPr>
          <w:rFonts w:ascii="Times New Roman" w:hAnsi="Times New Roman" w:cs="Times New Roman"/>
          <w:i/>
          <w:sz w:val="14"/>
          <w:szCs w:val="14"/>
        </w:rPr>
      </w:pPr>
      <w:r w:rsidRPr="00CD2DAA">
        <w:rPr>
          <w:rFonts w:ascii="Times New Roman" w:hAnsi="Times New Roman" w:cs="Times New Roman"/>
          <w:i/>
        </w:rPr>
        <w:br/>
      </w:r>
      <w:r w:rsidRPr="004C2944">
        <w:rPr>
          <w:rFonts w:ascii="Times New Roman" w:hAnsi="Times New Roman" w:cs="Times New Roman"/>
          <w:i/>
          <w:sz w:val="14"/>
          <w:szCs w:val="14"/>
        </w:rPr>
        <w:t xml:space="preserve">Neither the TSX Venture Exchange nor its Regulation Services Provider (as that term is defined in the policies of the TSX Venture Exchange) accepts responsibility for the adequacy or accuracy of this release. This news release may contain forward-looking information which is not comprised of historical facts. Forward-looking information involves risks, uncertainties and other factors that could cause actual events, results, performance, prospects and opportunities to differ materially from </w:t>
      </w:r>
      <w:r w:rsidRPr="004C2944">
        <w:rPr>
          <w:rFonts w:ascii="Times New Roman" w:hAnsi="Times New Roman" w:cs="Times New Roman"/>
          <w:i/>
          <w:sz w:val="14"/>
          <w:szCs w:val="14"/>
        </w:rPr>
        <w:lastRenderedPageBreak/>
        <w:t xml:space="preserve">those expressed or implied by such forward-looking information. Forward-looking information in this news release includes statements regarding, among other things, the completion transactions completed in the Agreement. Factors that could cause actual results to differ materially from such forward-looking information include, but are not limited to, regulatory approval processes. Although </w:t>
      </w:r>
      <w:proofErr w:type="spellStart"/>
      <w:r w:rsidRPr="004C2944">
        <w:rPr>
          <w:rFonts w:ascii="Times New Roman" w:hAnsi="Times New Roman" w:cs="Times New Roman"/>
          <w:i/>
          <w:sz w:val="14"/>
          <w:szCs w:val="14"/>
        </w:rPr>
        <w:t>Noram</w:t>
      </w:r>
      <w:proofErr w:type="spellEnd"/>
      <w:r w:rsidRPr="004C2944">
        <w:rPr>
          <w:rFonts w:ascii="Times New Roman" w:hAnsi="Times New Roman" w:cs="Times New Roman"/>
          <w:i/>
          <w:sz w:val="14"/>
          <w:szCs w:val="14"/>
        </w:rPr>
        <w:t xml:space="preserve"> believes that the assumptions used in preparing the forward-looking information in this news release are reasonable, including that all necessary regulatory approvals will be obtained in a timely manner, undue reliance should not be placed on such information, which only applies as of the date of this news release, and no assurance can be given that such events will occur in the disclosed time frames or at all. </w:t>
      </w:r>
      <w:proofErr w:type="spellStart"/>
      <w:r w:rsidRPr="004C2944">
        <w:rPr>
          <w:rFonts w:ascii="Times New Roman" w:hAnsi="Times New Roman" w:cs="Times New Roman"/>
          <w:i/>
          <w:sz w:val="14"/>
          <w:szCs w:val="14"/>
        </w:rPr>
        <w:t>Noram</w:t>
      </w:r>
      <w:proofErr w:type="spellEnd"/>
      <w:r w:rsidRPr="004C2944">
        <w:rPr>
          <w:rFonts w:ascii="Times New Roman" w:hAnsi="Times New Roman" w:cs="Times New Roman"/>
          <w:i/>
          <w:sz w:val="14"/>
          <w:szCs w:val="14"/>
        </w:rPr>
        <w:t xml:space="preserve"> disclaims any intention or obligation to update or revise any forward-looking information, whether as a result of new information, future events or otherwise, other than as required by applicable securities laws.</w:t>
      </w:r>
    </w:p>
    <w:sectPr w:rsidR="00B82422" w:rsidRPr="004C2944" w:rsidSect="004C2944">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064D6" w14:textId="77777777" w:rsidR="004C2944" w:rsidRDefault="004C2944" w:rsidP="004C2944">
      <w:pPr>
        <w:spacing w:after="0" w:line="240" w:lineRule="auto"/>
      </w:pPr>
      <w:r>
        <w:separator/>
      </w:r>
    </w:p>
  </w:endnote>
  <w:endnote w:type="continuationSeparator" w:id="0">
    <w:p w14:paraId="0CC50B9D" w14:textId="77777777" w:rsidR="004C2944" w:rsidRDefault="004C2944" w:rsidP="004C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25ECA" w14:textId="77777777" w:rsidR="004C2944" w:rsidRDefault="004C2944" w:rsidP="004C2944">
      <w:pPr>
        <w:spacing w:after="0" w:line="240" w:lineRule="auto"/>
      </w:pPr>
      <w:r>
        <w:separator/>
      </w:r>
    </w:p>
  </w:footnote>
  <w:footnote w:type="continuationSeparator" w:id="0">
    <w:p w14:paraId="3A3560D2" w14:textId="77777777" w:rsidR="004C2944" w:rsidRDefault="004C2944" w:rsidP="004C2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6CA1B" w14:textId="25151582" w:rsidR="004C2944" w:rsidRDefault="004C2944" w:rsidP="004C2944">
    <w:pPr>
      <w:pStyle w:val="Header"/>
      <w:ind w:left="-360"/>
      <w:jc w:val="right"/>
    </w:pPr>
    <w:r>
      <w:rPr>
        <w:noProof/>
      </w:rPr>
      <mc:AlternateContent>
        <mc:Choice Requires="wps">
          <w:drawing>
            <wp:anchor distT="0" distB="0" distL="114300" distR="114300" simplePos="0" relativeHeight="251659264" behindDoc="0" locked="0" layoutInCell="1" allowOverlap="1" wp14:anchorId="60FFCC39" wp14:editId="504A9AD8">
              <wp:simplePos x="0" y="0"/>
              <wp:positionH relativeFrom="column">
                <wp:posOffset>0</wp:posOffset>
              </wp:positionH>
              <wp:positionV relativeFrom="paragraph">
                <wp:posOffset>57150</wp:posOffset>
              </wp:positionV>
              <wp:extent cx="1676400" cy="762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0" cy="76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15C800" w14:textId="77777777" w:rsidR="004C2944" w:rsidRPr="00CD2DAA" w:rsidRDefault="004C2944" w:rsidP="004C2944">
                          <w:pPr>
                            <w:pStyle w:val="NoSpacing"/>
                            <w:rPr>
                              <w:rFonts w:ascii="Times New Roman" w:hAnsi="Times New Roman" w:cs="Times New Roman"/>
                              <w:b/>
                              <w:bCs/>
                              <w:sz w:val="24"/>
                              <w:szCs w:val="24"/>
                            </w:rPr>
                          </w:pPr>
                          <w:r w:rsidRPr="00CD2DAA">
                            <w:rPr>
                              <w:rFonts w:ascii="Times New Roman" w:hAnsi="Times New Roman" w:cs="Times New Roman"/>
                              <w:b/>
                              <w:bCs/>
                              <w:sz w:val="24"/>
                              <w:szCs w:val="24"/>
                            </w:rPr>
                            <w:t>TSX.V: NRM</w:t>
                          </w:r>
                        </w:p>
                        <w:p w14:paraId="78A698C4" w14:textId="77777777" w:rsidR="004C2944" w:rsidRPr="00CD2DAA" w:rsidRDefault="004C2944" w:rsidP="004C2944">
                          <w:pPr>
                            <w:pStyle w:val="NoSpacing"/>
                            <w:rPr>
                              <w:rFonts w:ascii="Times New Roman" w:hAnsi="Times New Roman" w:cs="Times New Roman"/>
                              <w:b/>
                              <w:bCs/>
                              <w:sz w:val="24"/>
                              <w:szCs w:val="24"/>
                            </w:rPr>
                          </w:pPr>
                          <w:r w:rsidRPr="00CD2DAA">
                            <w:rPr>
                              <w:rFonts w:ascii="Times New Roman" w:hAnsi="Times New Roman" w:cs="Times New Roman"/>
                              <w:b/>
                              <w:bCs/>
                              <w:sz w:val="24"/>
                              <w:szCs w:val="24"/>
                            </w:rPr>
                            <w:t>Frankfurt: N7R</w:t>
                          </w:r>
                          <w:r w:rsidRPr="00CD2DAA">
                            <w:rPr>
                              <w:rFonts w:ascii="Times New Roman" w:hAnsi="Times New Roman" w:cs="Times New Roman"/>
                              <w:b/>
                              <w:bCs/>
                              <w:color w:val="000000" w:themeColor="text1"/>
                              <w:sz w:val="24"/>
                              <w:szCs w:val="24"/>
                            </w:rPr>
                            <w:t xml:space="preserve"> OTCQB: NRVTF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0FFCC39" id="_x0000_t202" coordsize="21600,21600" o:spt="202" path="m,l,21600r21600,l21600,xe">
              <v:stroke joinstyle="miter"/>
              <v:path gradientshapeok="t" o:connecttype="rect"/>
            </v:shapetype>
            <v:shape id="Text Box 5" o:spid="_x0000_s1026" type="#_x0000_t202" style="position:absolute;left:0;text-align:left;margin-left:0;margin-top:4.5pt;width:13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" filled="f" stroked="f">
              <v:textbox>
                <w:txbxContent>
                  <w:p w14:paraId="6215C800" w14:textId="77777777" w:rsidR="004C2944" w:rsidRPr="00CD2DAA" w:rsidRDefault="004C2944" w:rsidP="004C2944">
                    <w:pPr>
                      <w:pStyle w:val="NoSpacing"/>
                      <w:rPr>
                        <w:rFonts w:ascii="Times New Roman" w:hAnsi="Times New Roman" w:cs="Times New Roman"/>
                        <w:b/>
                        <w:bCs/>
                        <w:sz w:val="24"/>
                        <w:szCs w:val="24"/>
                      </w:rPr>
                    </w:pPr>
                    <w:r w:rsidRPr="00CD2DAA">
                      <w:rPr>
                        <w:rFonts w:ascii="Times New Roman" w:hAnsi="Times New Roman" w:cs="Times New Roman"/>
                        <w:b/>
                        <w:bCs/>
                        <w:sz w:val="24"/>
                        <w:szCs w:val="24"/>
                      </w:rPr>
                      <w:t>TSX.V: NRM</w:t>
                    </w:r>
                  </w:p>
                  <w:p w14:paraId="78A698C4" w14:textId="77777777" w:rsidR="004C2944" w:rsidRPr="00CD2DAA" w:rsidRDefault="004C2944" w:rsidP="004C2944">
                    <w:pPr>
                      <w:pStyle w:val="NoSpacing"/>
                      <w:rPr>
                        <w:rFonts w:ascii="Times New Roman" w:hAnsi="Times New Roman" w:cs="Times New Roman"/>
                        <w:b/>
                        <w:bCs/>
                        <w:sz w:val="24"/>
                        <w:szCs w:val="24"/>
                      </w:rPr>
                    </w:pPr>
                    <w:r w:rsidRPr="00CD2DAA">
                      <w:rPr>
                        <w:rFonts w:ascii="Times New Roman" w:hAnsi="Times New Roman" w:cs="Times New Roman"/>
                        <w:b/>
                        <w:bCs/>
                        <w:sz w:val="24"/>
                        <w:szCs w:val="24"/>
                      </w:rPr>
                      <w:t>Frankfurt: N7R</w:t>
                    </w:r>
                    <w:r w:rsidRPr="00CD2DAA">
                      <w:rPr>
                        <w:rFonts w:ascii="Times New Roman" w:hAnsi="Times New Roman" w:cs="Times New Roman"/>
                        <w:b/>
                        <w:bCs/>
                        <w:color w:val="000000" w:themeColor="text1"/>
                        <w:sz w:val="24"/>
                        <w:szCs w:val="24"/>
                      </w:rPr>
                      <w:t xml:space="preserve"> OTCQB: NRVTF</w:t>
                    </w:r>
                  </w:p>
                </w:txbxContent>
              </v:textbox>
            </v:shape>
          </w:pict>
        </mc:Fallback>
      </mc:AlternateContent>
    </w:r>
    <w:r>
      <w:rPr>
        <w:noProof/>
      </w:rPr>
      <w:drawing>
        <wp:inline distT="0" distB="0" distL="0" distR="0" wp14:anchorId="59233F23" wp14:editId="383A066B">
          <wp:extent cx="2838450" cy="986155"/>
          <wp:effectExtent l="19050" t="0" r="0" b="0"/>
          <wp:docPr id="6" name="Picture 1" descr="NRM_N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M_NR-logo"/>
                  <pic:cNvPicPr>
                    <a:picLocks noChangeAspect="1" noChangeArrowheads="1"/>
                  </pic:cNvPicPr>
                </pic:nvPicPr>
                <pic:blipFill>
                  <a:blip r:embed="rId1"/>
                  <a:srcRect/>
                  <a:stretch>
                    <a:fillRect/>
                  </a:stretch>
                </pic:blipFill>
                <pic:spPr bwMode="auto">
                  <a:xfrm>
                    <a:off x="0" y="0"/>
                    <a:ext cx="2838450" cy="9861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472603"/>
    <w:multiLevelType w:val="hybridMultilevel"/>
    <w:tmpl w:val="FEA83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22"/>
    <w:rsid w:val="00000A98"/>
    <w:rsid w:val="00006E11"/>
    <w:rsid w:val="00011A34"/>
    <w:rsid w:val="00012D3F"/>
    <w:rsid w:val="00020179"/>
    <w:rsid w:val="00023733"/>
    <w:rsid w:val="00023F06"/>
    <w:rsid w:val="00026370"/>
    <w:rsid w:val="0002674C"/>
    <w:rsid w:val="00030C78"/>
    <w:rsid w:val="0003116E"/>
    <w:rsid w:val="00031C3C"/>
    <w:rsid w:val="0003241D"/>
    <w:rsid w:val="000348C0"/>
    <w:rsid w:val="00034CA1"/>
    <w:rsid w:val="00035A8E"/>
    <w:rsid w:val="00041775"/>
    <w:rsid w:val="00042CC9"/>
    <w:rsid w:val="00044C6A"/>
    <w:rsid w:val="000551AA"/>
    <w:rsid w:val="00055F9A"/>
    <w:rsid w:val="00073B55"/>
    <w:rsid w:val="00075E31"/>
    <w:rsid w:val="00086706"/>
    <w:rsid w:val="00086DAA"/>
    <w:rsid w:val="00092952"/>
    <w:rsid w:val="00095FED"/>
    <w:rsid w:val="000A4C78"/>
    <w:rsid w:val="000A562C"/>
    <w:rsid w:val="000A58F1"/>
    <w:rsid w:val="000B1FD0"/>
    <w:rsid w:val="000B5185"/>
    <w:rsid w:val="000C76B8"/>
    <w:rsid w:val="000D130C"/>
    <w:rsid w:val="000D3760"/>
    <w:rsid w:val="000E4F61"/>
    <w:rsid w:val="000E7217"/>
    <w:rsid w:val="000F35F7"/>
    <w:rsid w:val="000F38A8"/>
    <w:rsid w:val="000F6AC4"/>
    <w:rsid w:val="00103D21"/>
    <w:rsid w:val="001100E1"/>
    <w:rsid w:val="00112218"/>
    <w:rsid w:val="0011546E"/>
    <w:rsid w:val="001161A4"/>
    <w:rsid w:val="00116B8C"/>
    <w:rsid w:val="00120770"/>
    <w:rsid w:val="001216F0"/>
    <w:rsid w:val="0013215C"/>
    <w:rsid w:val="001325F3"/>
    <w:rsid w:val="00134D94"/>
    <w:rsid w:val="00140FF6"/>
    <w:rsid w:val="0014237E"/>
    <w:rsid w:val="001433A9"/>
    <w:rsid w:val="001504A0"/>
    <w:rsid w:val="00150BB6"/>
    <w:rsid w:val="001558F0"/>
    <w:rsid w:val="00156B1B"/>
    <w:rsid w:val="00160FCE"/>
    <w:rsid w:val="00161614"/>
    <w:rsid w:val="0016399B"/>
    <w:rsid w:val="00164C4C"/>
    <w:rsid w:val="001655D1"/>
    <w:rsid w:val="00167A16"/>
    <w:rsid w:val="00172338"/>
    <w:rsid w:val="00175DC3"/>
    <w:rsid w:val="0017702F"/>
    <w:rsid w:val="001773B9"/>
    <w:rsid w:val="0018196E"/>
    <w:rsid w:val="00181DC4"/>
    <w:rsid w:val="001839D3"/>
    <w:rsid w:val="00187F2A"/>
    <w:rsid w:val="001911FA"/>
    <w:rsid w:val="00193AC1"/>
    <w:rsid w:val="00193C88"/>
    <w:rsid w:val="001941F1"/>
    <w:rsid w:val="00197AF4"/>
    <w:rsid w:val="001A5B68"/>
    <w:rsid w:val="001C232A"/>
    <w:rsid w:val="001C7432"/>
    <w:rsid w:val="001D1860"/>
    <w:rsid w:val="001D79D9"/>
    <w:rsid w:val="001E1AF5"/>
    <w:rsid w:val="001E3DB7"/>
    <w:rsid w:val="001E52C8"/>
    <w:rsid w:val="001E6D12"/>
    <w:rsid w:val="001E7EB8"/>
    <w:rsid w:val="001F0DE6"/>
    <w:rsid w:val="00203444"/>
    <w:rsid w:val="00207599"/>
    <w:rsid w:val="00216579"/>
    <w:rsid w:val="002172FF"/>
    <w:rsid w:val="00220F04"/>
    <w:rsid w:val="002211C3"/>
    <w:rsid w:val="00223E09"/>
    <w:rsid w:val="00223EC6"/>
    <w:rsid w:val="0022446B"/>
    <w:rsid w:val="0023199E"/>
    <w:rsid w:val="0023547B"/>
    <w:rsid w:val="002369A2"/>
    <w:rsid w:val="00237C49"/>
    <w:rsid w:val="00240506"/>
    <w:rsid w:val="00242240"/>
    <w:rsid w:val="00243E89"/>
    <w:rsid w:val="0024678A"/>
    <w:rsid w:val="00246A55"/>
    <w:rsid w:val="002605F4"/>
    <w:rsid w:val="0026085B"/>
    <w:rsid w:val="00262D96"/>
    <w:rsid w:val="00263ED1"/>
    <w:rsid w:val="002652D7"/>
    <w:rsid w:val="00274951"/>
    <w:rsid w:val="00275BC5"/>
    <w:rsid w:val="00280281"/>
    <w:rsid w:val="00281FA4"/>
    <w:rsid w:val="0028458B"/>
    <w:rsid w:val="00284678"/>
    <w:rsid w:val="00286AA5"/>
    <w:rsid w:val="002873B4"/>
    <w:rsid w:val="00291683"/>
    <w:rsid w:val="002931EF"/>
    <w:rsid w:val="0029339B"/>
    <w:rsid w:val="00295CAF"/>
    <w:rsid w:val="00296494"/>
    <w:rsid w:val="002A5235"/>
    <w:rsid w:val="002B486B"/>
    <w:rsid w:val="002C26B9"/>
    <w:rsid w:val="002C76F1"/>
    <w:rsid w:val="002D39BE"/>
    <w:rsid w:val="002D46B2"/>
    <w:rsid w:val="002E4FC4"/>
    <w:rsid w:val="002E50AB"/>
    <w:rsid w:val="002E6F43"/>
    <w:rsid w:val="002F02A4"/>
    <w:rsid w:val="002F12EE"/>
    <w:rsid w:val="002F2B48"/>
    <w:rsid w:val="002F4343"/>
    <w:rsid w:val="002F44A3"/>
    <w:rsid w:val="00300EDF"/>
    <w:rsid w:val="00303C8D"/>
    <w:rsid w:val="00304608"/>
    <w:rsid w:val="00310A16"/>
    <w:rsid w:val="003132F2"/>
    <w:rsid w:val="00317028"/>
    <w:rsid w:val="00325D9B"/>
    <w:rsid w:val="00327568"/>
    <w:rsid w:val="00327C13"/>
    <w:rsid w:val="00341222"/>
    <w:rsid w:val="00341376"/>
    <w:rsid w:val="003503FF"/>
    <w:rsid w:val="00351F85"/>
    <w:rsid w:val="00352935"/>
    <w:rsid w:val="00355F7E"/>
    <w:rsid w:val="00362708"/>
    <w:rsid w:val="003664A9"/>
    <w:rsid w:val="00371F37"/>
    <w:rsid w:val="00377137"/>
    <w:rsid w:val="00380D0B"/>
    <w:rsid w:val="00384313"/>
    <w:rsid w:val="003843F4"/>
    <w:rsid w:val="00384B11"/>
    <w:rsid w:val="00392008"/>
    <w:rsid w:val="003922AF"/>
    <w:rsid w:val="00394843"/>
    <w:rsid w:val="003A3026"/>
    <w:rsid w:val="003A6E95"/>
    <w:rsid w:val="003B1F31"/>
    <w:rsid w:val="003B54A7"/>
    <w:rsid w:val="003C17FD"/>
    <w:rsid w:val="003C363C"/>
    <w:rsid w:val="003C7E3F"/>
    <w:rsid w:val="003D1B4D"/>
    <w:rsid w:val="003E3C55"/>
    <w:rsid w:val="003F7E6E"/>
    <w:rsid w:val="00402830"/>
    <w:rsid w:val="00417AC1"/>
    <w:rsid w:val="004214E2"/>
    <w:rsid w:val="00423A5B"/>
    <w:rsid w:val="004248E5"/>
    <w:rsid w:val="004325E2"/>
    <w:rsid w:val="00433222"/>
    <w:rsid w:val="004353D4"/>
    <w:rsid w:val="00452A5A"/>
    <w:rsid w:val="004543A7"/>
    <w:rsid w:val="00454BE1"/>
    <w:rsid w:val="00461DA6"/>
    <w:rsid w:val="00463C08"/>
    <w:rsid w:val="0047117A"/>
    <w:rsid w:val="004716A4"/>
    <w:rsid w:val="00474258"/>
    <w:rsid w:val="00476D3D"/>
    <w:rsid w:val="004778DD"/>
    <w:rsid w:val="00484E99"/>
    <w:rsid w:val="00490D12"/>
    <w:rsid w:val="00491923"/>
    <w:rsid w:val="00492583"/>
    <w:rsid w:val="00492730"/>
    <w:rsid w:val="00492E07"/>
    <w:rsid w:val="00495673"/>
    <w:rsid w:val="004A02FE"/>
    <w:rsid w:val="004B73D1"/>
    <w:rsid w:val="004C1084"/>
    <w:rsid w:val="004C2944"/>
    <w:rsid w:val="004D6CB8"/>
    <w:rsid w:val="004E0702"/>
    <w:rsid w:val="004E1C84"/>
    <w:rsid w:val="004E6E19"/>
    <w:rsid w:val="004F49F0"/>
    <w:rsid w:val="00501221"/>
    <w:rsid w:val="00501A67"/>
    <w:rsid w:val="00503597"/>
    <w:rsid w:val="005050D8"/>
    <w:rsid w:val="0051464E"/>
    <w:rsid w:val="00522526"/>
    <w:rsid w:val="0052309B"/>
    <w:rsid w:val="005265C9"/>
    <w:rsid w:val="005309D8"/>
    <w:rsid w:val="00537F0B"/>
    <w:rsid w:val="00542F32"/>
    <w:rsid w:val="00550D43"/>
    <w:rsid w:val="00561586"/>
    <w:rsid w:val="005640E2"/>
    <w:rsid w:val="00567183"/>
    <w:rsid w:val="005715AF"/>
    <w:rsid w:val="00574E07"/>
    <w:rsid w:val="00576DED"/>
    <w:rsid w:val="00580588"/>
    <w:rsid w:val="00580F8A"/>
    <w:rsid w:val="00583813"/>
    <w:rsid w:val="005846C3"/>
    <w:rsid w:val="00586B68"/>
    <w:rsid w:val="00591D86"/>
    <w:rsid w:val="00592F96"/>
    <w:rsid w:val="00596896"/>
    <w:rsid w:val="00596F86"/>
    <w:rsid w:val="005A0E45"/>
    <w:rsid w:val="005A5BC6"/>
    <w:rsid w:val="005A66F4"/>
    <w:rsid w:val="005A76B7"/>
    <w:rsid w:val="005B3D40"/>
    <w:rsid w:val="005B6634"/>
    <w:rsid w:val="005B78D4"/>
    <w:rsid w:val="005C1946"/>
    <w:rsid w:val="005C541C"/>
    <w:rsid w:val="005C76B9"/>
    <w:rsid w:val="005C78F5"/>
    <w:rsid w:val="005E02E8"/>
    <w:rsid w:val="005E147E"/>
    <w:rsid w:val="005E4566"/>
    <w:rsid w:val="005E550D"/>
    <w:rsid w:val="005F4A22"/>
    <w:rsid w:val="005F5545"/>
    <w:rsid w:val="005F73E6"/>
    <w:rsid w:val="006004FE"/>
    <w:rsid w:val="006011F7"/>
    <w:rsid w:val="00607FFC"/>
    <w:rsid w:val="00617BE1"/>
    <w:rsid w:val="0062268B"/>
    <w:rsid w:val="00623B98"/>
    <w:rsid w:val="00625494"/>
    <w:rsid w:val="006257ED"/>
    <w:rsid w:val="00631875"/>
    <w:rsid w:val="00644DCC"/>
    <w:rsid w:val="00660CF1"/>
    <w:rsid w:val="006666B6"/>
    <w:rsid w:val="00667F5A"/>
    <w:rsid w:val="00672576"/>
    <w:rsid w:val="006828BD"/>
    <w:rsid w:val="00683C43"/>
    <w:rsid w:val="0068459B"/>
    <w:rsid w:val="006B04D9"/>
    <w:rsid w:val="006B419D"/>
    <w:rsid w:val="006B4912"/>
    <w:rsid w:val="006B6957"/>
    <w:rsid w:val="006B6E32"/>
    <w:rsid w:val="006C0DF5"/>
    <w:rsid w:val="006C7262"/>
    <w:rsid w:val="006D0510"/>
    <w:rsid w:val="006D2387"/>
    <w:rsid w:val="006D35A9"/>
    <w:rsid w:val="006E0A2E"/>
    <w:rsid w:val="006E19EC"/>
    <w:rsid w:val="006F116C"/>
    <w:rsid w:val="006F5FBB"/>
    <w:rsid w:val="007010E4"/>
    <w:rsid w:val="00710EC8"/>
    <w:rsid w:val="00712D02"/>
    <w:rsid w:val="00714E48"/>
    <w:rsid w:val="007208F7"/>
    <w:rsid w:val="0073025E"/>
    <w:rsid w:val="0073385C"/>
    <w:rsid w:val="00741CEF"/>
    <w:rsid w:val="007420C2"/>
    <w:rsid w:val="007438B7"/>
    <w:rsid w:val="0074531F"/>
    <w:rsid w:val="0074762A"/>
    <w:rsid w:val="007477E8"/>
    <w:rsid w:val="00750D8D"/>
    <w:rsid w:val="00751883"/>
    <w:rsid w:val="00757BAF"/>
    <w:rsid w:val="00763D8C"/>
    <w:rsid w:val="007656EA"/>
    <w:rsid w:val="007675EC"/>
    <w:rsid w:val="00767FAE"/>
    <w:rsid w:val="00774A73"/>
    <w:rsid w:val="00775137"/>
    <w:rsid w:val="00776488"/>
    <w:rsid w:val="00782391"/>
    <w:rsid w:val="00782FE4"/>
    <w:rsid w:val="00785A05"/>
    <w:rsid w:val="007902DB"/>
    <w:rsid w:val="00790B2C"/>
    <w:rsid w:val="00791F99"/>
    <w:rsid w:val="00792353"/>
    <w:rsid w:val="00792DB1"/>
    <w:rsid w:val="00794B2A"/>
    <w:rsid w:val="00797BC2"/>
    <w:rsid w:val="00797E37"/>
    <w:rsid w:val="007A0FF9"/>
    <w:rsid w:val="007A13DD"/>
    <w:rsid w:val="007A5FEB"/>
    <w:rsid w:val="007B0776"/>
    <w:rsid w:val="007B141A"/>
    <w:rsid w:val="007B1DD9"/>
    <w:rsid w:val="007B3896"/>
    <w:rsid w:val="007C31BA"/>
    <w:rsid w:val="007C783E"/>
    <w:rsid w:val="007D4720"/>
    <w:rsid w:val="007D75A2"/>
    <w:rsid w:val="007E1FDA"/>
    <w:rsid w:val="007E4A0F"/>
    <w:rsid w:val="007E4FBF"/>
    <w:rsid w:val="007E6456"/>
    <w:rsid w:val="007E7F06"/>
    <w:rsid w:val="007E7F4A"/>
    <w:rsid w:val="00806717"/>
    <w:rsid w:val="00806E83"/>
    <w:rsid w:val="00813EFF"/>
    <w:rsid w:val="00817FE8"/>
    <w:rsid w:val="0082037F"/>
    <w:rsid w:val="00820964"/>
    <w:rsid w:val="00821E4B"/>
    <w:rsid w:val="00824971"/>
    <w:rsid w:val="0083393D"/>
    <w:rsid w:val="0084626D"/>
    <w:rsid w:val="0085011A"/>
    <w:rsid w:val="00850221"/>
    <w:rsid w:val="00850388"/>
    <w:rsid w:val="00852412"/>
    <w:rsid w:val="00855BBB"/>
    <w:rsid w:val="00856DCB"/>
    <w:rsid w:val="00857612"/>
    <w:rsid w:val="00861B34"/>
    <w:rsid w:val="00861DC1"/>
    <w:rsid w:val="008632C4"/>
    <w:rsid w:val="008645CC"/>
    <w:rsid w:val="0086665C"/>
    <w:rsid w:val="00867655"/>
    <w:rsid w:val="008715B6"/>
    <w:rsid w:val="00874223"/>
    <w:rsid w:val="0087593F"/>
    <w:rsid w:val="0088016E"/>
    <w:rsid w:val="008809FC"/>
    <w:rsid w:val="00880F10"/>
    <w:rsid w:val="00882ACD"/>
    <w:rsid w:val="008859DE"/>
    <w:rsid w:val="0089262E"/>
    <w:rsid w:val="00895B11"/>
    <w:rsid w:val="008964C8"/>
    <w:rsid w:val="008A23FA"/>
    <w:rsid w:val="008A27A5"/>
    <w:rsid w:val="008A627A"/>
    <w:rsid w:val="008A6811"/>
    <w:rsid w:val="008B11DF"/>
    <w:rsid w:val="008B2939"/>
    <w:rsid w:val="008B6C56"/>
    <w:rsid w:val="008C0EB9"/>
    <w:rsid w:val="008C29C6"/>
    <w:rsid w:val="008C2F39"/>
    <w:rsid w:val="008C4AB0"/>
    <w:rsid w:val="008C55EB"/>
    <w:rsid w:val="008C77D7"/>
    <w:rsid w:val="008D2A23"/>
    <w:rsid w:val="008D4618"/>
    <w:rsid w:val="008E0202"/>
    <w:rsid w:val="008E26C6"/>
    <w:rsid w:val="008E32F2"/>
    <w:rsid w:val="008E6920"/>
    <w:rsid w:val="008F2E32"/>
    <w:rsid w:val="008F316D"/>
    <w:rsid w:val="008F4F02"/>
    <w:rsid w:val="00902457"/>
    <w:rsid w:val="0090503C"/>
    <w:rsid w:val="009115E1"/>
    <w:rsid w:val="00914CDA"/>
    <w:rsid w:val="00915DFF"/>
    <w:rsid w:val="00923930"/>
    <w:rsid w:val="00936C47"/>
    <w:rsid w:val="00936FEE"/>
    <w:rsid w:val="009405F2"/>
    <w:rsid w:val="00942416"/>
    <w:rsid w:val="00943567"/>
    <w:rsid w:val="00945217"/>
    <w:rsid w:val="009546FD"/>
    <w:rsid w:val="00955016"/>
    <w:rsid w:val="0095552A"/>
    <w:rsid w:val="00957CC3"/>
    <w:rsid w:val="00957DAC"/>
    <w:rsid w:val="00971C78"/>
    <w:rsid w:val="00973B04"/>
    <w:rsid w:val="00977916"/>
    <w:rsid w:val="009811EE"/>
    <w:rsid w:val="009955F6"/>
    <w:rsid w:val="009A0FD2"/>
    <w:rsid w:val="009B13D3"/>
    <w:rsid w:val="009B2398"/>
    <w:rsid w:val="009B313A"/>
    <w:rsid w:val="009B7E65"/>
    <w:rsid w:val="009C0A46"/>
    <w:rsid w:val="009C12C9"/>
    <w:rsid w:val="009C1645"/>
    <w:rsid w:val="009C5F16"/>
    <w:rsid w:val="009D6618"/>
    <w:rsid w:val="009E2486"/>
    <w:rsid w:val="009E26AF"/>
    <w:rsid w:val="009E4606"/>
    <w:rsid w:val="009E573D"/>
    <w:rsid w:val="009E739C"/>
    <w:rsid w:val="009F23C8"/>
    <w:rsid w:val="009F5EF2"/>
    <w:rsid w:val="00A01191"/>
    <w:rsid w:val="00A01DF7"/>
    <w:rsid w:val="00A0398C"/>
    <w:rsid w:val="00A05346"/>
    <w:rsid w:val="00A13D95"/>
    <w:rsid w:val="00A14DB6"/>
    <w:rsid w:val="00A203A9"/>
    <w:rsid w:val="00A23050"/>
    <w:rsid w:val="00A236F1"/>
    <w:rsid w:val="00A2585A"/>
    <w:rsid w:val="00A3262A"/>
    <w:rsid w:val="00A47046"/>
    <w:rsid w:val="00A47F96"/>
    <w:rsid w:val="00A50316"/>
    <w:rsid w:val="00A55DDB"/>
    <w:rsid w:val="00A60EB3"/>
    <w:rsid w:val="00A766E1"/>
    <w:rsid w:val="00A8262B"/>
    <w:rsid w:val="00A96801"/>
    <w:rsid w:val="00AA1E86"/>
    <w:rsid w:val="00AA377A"/>
    <w:rsid w:val="00AA388C"/>
    <w:rsid w:val="00AC17D6"/>
    <w:rsid w:val="00AC2B91"/>
    <w:rsid w:val="00AC2CFF"/>
    <w:rsid w:val="00AD0D72"/>
    <w:rsid w:val="00AD48D0"/>
    <w:rsid w:val="00AD60FA"/>
    <w:rsid w:val="00AD76E6"/>
    <w:rsid w:val="00AE056A"/>
    <w:rsid w:val="00AE63C8"/>
    <w:rsid w:val="00AF1659"/>
    <w:rsid w:val="00AF5150"/>
    <w:rsid w:val="00AF6586"/>
    <w:rsid w:val="00AF752D"/>
    <w:rsid w:val="00AF7784"/>
    <w:rsid w:val="00B018B2"/>
    <w:rsid w:val="00B1047E"/>
    <w:rsid w:val="00B12E38"/>
    <w:rsid w:val="00B139AE"/>
    <w:rsid w:val="00B14F77"/>
    <w:rsid w:val="00B16561"/>
    <w:rsid w:val="00B17225"/>
    <w:rsid w:val="00B2006B"/>
    <w:rsid w:val="00B208F0"/>
    <w:rsid w:val="00B22BE7"/>
    <w:rsid w:val="00B235FB"/>
    <w:rsid w:val="00B2697B"/>
    <w:rsid w:val="00B2735E"/>
    <w:rsid w:val="00B27870"/>
    <w:rsid w:val="00B3372A"/>
    <w:rsid w:val="00B34901"/>
    <w:rsid w:val="00B457A8"/>
    <w:rsid w:val="00B46607"/>
    <w:rsid w:val="00B50823"/>
    <w:rsid w:val="00B53870"/>
    <w:rsid w:val="00B611FF"/>
    <w:rsid w:val="00B61470"/>
    <w:rsid w:val="00B65448"/>
    <w:rsid w:val="00B67C78"/>
    <w:rsid w:val="00B80BFF"/>
    <w:rsid w:val="00B82422"/>
    <w:rsid w:val="00B83027"/>
    <w:rsid w:val="00B86583"/>
    <w:rsid w:val="00B86D5A"/>
    <w:rsid w:val="00B87EF5"/>
    <w:rsid w:val="00B959A9"/>
    <w:rsid w:val="00B96D55"/>
    <w:rsid w:val="00BA4186"/>
    <w:rsid w:val="00BB2CF9"/>
    <w:rsid w:val="00BB392C"/>
    <w:rsid w:val="00BB5361"/>
    <w:rsid w:val="00BB5CAD"/>
    <w:rsid w:val="00BB7DF9"/>
    <w:rsid w:val="00BC2B56"/>
    <w:rsid w:val="00BC463F"/>
    <w:rsid w:val="00BC6153"/>
    <w:rsid w:val="00BD0116"/>
    <w:rsid w:val="00BE096E"/>
    <w:rsid w:val="00BE2155"/>
    <w:rsid w:val="00BE3F25"/>
    <w:rsid w:val="00BF056F"/>
    <w:rsid w:val="00BF1D49"/>
    <w:rsid w:val="00C00A86"/>
    <w:rsid w:val="00C02BB4"/>
    <w:rsid w:val="00C04E87"/>
    <w:rsid w:val="00C141D5"/>
    <w:rsid w:val="00C17563"/>
    <w:rsid w:val="00C2246B"/>
    <w:rsid w:val="00C22FE8"/>
    <w:rsid w:val="00C243BC"/>
    <w:rsid w:val="00C33F08"/>
    <w:rsid w:val="00C34581"/>
    <w:rsid w:val="00C34D6D"/>
    <w:rsid w:val="00C358EE"/>
    <w:rsid w:val="00C42924"/>
    <w:rsid w:val="00C5572A"/>
    <w:rsid w:val="00C578C6"/>
    <w:rsid w:val="00C62A24"/>
    <w:rsid w:val="00C64C5C"/>
    <w:rsid w:val="00C658D9"/>
    <w:rsid w:val="00C67487"/>
    <w:rsid w:val="00C7692A"/>
    <w:rsid w:val="00C76B4F"/>
    <w:rsid w:val="00C84FE1"/>
    <w:rsid w:val="00C85E9E"/>
    <w:rsid w:val="00C87F09"/>
    <w:rsid w:val="00C90D10"/>
    <w:rsid w:val="00C91E3A"/>
    <w:rsid w:val="00C92D15"/>
    <w:rsid w:val="00C96DEA"/>
    <w:rsid w:val="00C97E14"/>
    <w:rsid w:val="00CA6606"/>
    <w:rsid w:val="00CA7B42"/>
    <w:rsid w:val="00CB065C"/>
    <w:rsid w:val="00CB1EE0"/>
    <w:rsid w:val="00CB2E2A"/>
    <w:rsid w:val="00CB376C"/>
    <w:rsid w:val="00CB620D"/>
    <w:rsid w:val="00CC5ED4"/>
    <w:rsid w:val="00CE30C6"/>
    <w:rsid w:val="00CF217C"/>
    <w:rsid w:val="00D151B8"/>
    <w:rsid w:val="00D26880"/>
    <w:rsid w:val="00D3283F"/>
    <w:rsid w:val="00D329D6"/>
    <w:rsid w:val="00D35833"/>
    <w:rsid w:val="00D3697D"/>
    <w:rsid w:val="00D369F1"/>
    <w:rsid w:val="00D42795"/>
    <w:rsid w:val="00D468B3"/>
    <w:rsid w:val="00D47DCD"/>
    <w:rsid w:val="00D5079E"/>
    <w:rsid w:val="00D60E4E"/>
    <w:rsid w:val="00D61800"/>
    <w:rsid w:val="00D66557"/>
    <w:rsid w:val="00D7209E"/>
    <w:rsid w:val="00D72887"/>
    <w:rsid w:val="00D72CA0"/>
    <w:rsid w:val="00D73DFF"/>
    <w:rsid w:val="00D747CC"/>
    <w:rsid w:val="00D77F42"/>
    <w:rsid w:val="00D8580A"/>
    <w:rsid w:val="00D8743B"/>
    <w:rsid w:val="00D92ACB"/>
    <w:rsid w:val="00D94DE7"/>
    <w:rsid w:val="00D9506B"/>
    <w:rsid w:val="00D9792C"/>
    <w:rsid w:val="00D97AAD"/>
    <w:rsid w:val="00D97FEA"/>
    <w:rsid w:val="00DA0A43"/>
    <w:rsid w:val="00DA4304"/>
    <w:rsid w:val="00DA48B7"/>
    <w:rsid w:val="00DA5643"/>
    <w:rsid w:val="00DC58A7"/>
    <w:rsid w:val="00DC67E0"/>
    <w:rsid w:val="00DD114D"/>
    <w:rsid w:val="00DE2FF0"/>
    <w:rsid w:val="00DE5D44"/>
    <w:rsid w:val="00DE7B06"/>
    <w:rsid w:val="00DF1FD5"/>
    <w:rsid w:val="00DF2AB9"/>
    <w:rsid w:val="00DF30B3"/>
    <w:rsid w:val="00DF67C9"/>
    <w:rsid w:val="00E01D9A"/>
    <w:rsid w:val="00E0212F"/>
    <w:rsid w:val="00E026F3"/>
    <w:rsid w:val="00E0399F"/>
    <w:rsid w:val="00E10C0B"/>
    <w:rsid w:val="00E15560"/>
    <w:rsid w:val="00E15BDC"/>
    <w:rsid w:val="00E16863"/>
    <w:rsid w:val="00E17E5E"/>
    <w:rsid w:val="00E21548"/>
    <w:rsid w:val="00E3294F"/>
    <w:rsid w:val="00E32C0A"/>
    <w:rsid w:val="00E3423D"/>
    <w:rsid w:val="00E41294"/>
    <w:rsid w:val="00E459CE"/>
    <w:rsid w:val="00E51EDE"/>
    <w:rsid w:val="00E53644"/>
    <w:rsid w:val="00E5636E"/>
    <w:rsid w:val="00E67B3A"/>
    <w:rsid w:val="00E67C9D"/>
    <w:rsid w:val="00E70271"/>
    <w:rsid w:val="00E71B5C"/>
    <w:rsid w:val="00E73730"/>
    <w:rsid w:val="00E74512"/>
    <w:rsid w:val="00E8362B"/>
    <w:rsid w:val="00E866CD"/>
    <w:rsid w:val="00E87C80"/>
    <w:rsid w:val="00E90AE7"/>
    <w:rsid w:val="00E92911"/>
    <w:rsid w:val="00E93D37"/>
    <w:rsid w:val="00E95C5B"/>
    <w:rsid w:val="00E965CD"/>
    <w:rsid w:val="00E97CB4"/>
    <w:rsid w:val="00EA00F6"/>
    <w:rsid w:val="00EA2169"/>
    <w:rsid w:val="00EA3E8C"/>
    <w:rsid w:val="00EA7141"/>
    <w:rsid w:val="00EB14C4"/>
    <w:rsid w:val="00EB2A2E"/>
    <w:rsid w:val="00EC13A7"/>
    <w:rsid w:val="00EC27E0"/>
    <w:rsid w:val="00EC61D0"/>
    <w:rsid w:val="00ED0081"/>
    <w:rsid w:val="00ED10C4"/>
    <w:rsid w:val="00EE0D35"/>
    <w:rsid w:val="00EE0F4C"/>
    <w:rsid w:val="00EE348D"/>
    <w:rsid w:val="00EF109D"/>
    <w:rsid w:val="00F00872"/>
    <w:rsid w:val="00F044EA"/>
    <w:rsid w:val="00F071C7"/>
    <w:rsid w:val="00F07AE7"/>
    <w:rsid w:val="00F20D78"/>
    <w:rsid w:val="00F24297"/>
    <w:rsid w:val="00F30DB3"/>
    <w:rsid w:val="00F33E45"/>
    <w:rsid w:val="00F44BDC"/>
    <w:rsid w:val="00F468B8"/>
    <w:rsid w:val="00F46EF0"/>
    <w:rsid w:val="00F55F30"/>
    <w:rsid w:val="00F5797B"/>
    <w:rsid w:val="00F616B9"/>
    <w:rsid w:val="00F663FB"/>
    <w:rsid w:val="00F7030C"/>
    <w:rsid w:val="00F80175"/>
    <w:rsid w:val="00F85B72"/>
    <w:rsid w:val="00F86417"/>
    <w:rsid w:val="00F868F8"/>
    <w:rsid w:val="00F9074A"/>
    <w:rsid w:val="00FA5CDE"/>
    <w:rsid w:val="00FB38DF"/>
    <w:rsid w:val="00FB4705"/>
    <w:rsid w:val="00FB6BE0"/>
    <w:rsid w:val="00FB7367"/>
    <w:rsid w:val="00FC1E39"/>
    <w:rsid w:val="00FC627C"/>
    <w:rsid w:val="00FC71B6"/>
    <w:rsid w:val="00FC73FC"/>
    <w:rsid w:val="00FD0B86"/>
    <w:rsid w:val="00FD5215"/>
    <w:rsid w:val="00FD5D38"/>
    <w:rsid w:val="00FD6F28"/>
    <w:rsid w:val="00FD7B77"/>
    <w:rsid w:val="00FF201D"/>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5C53"/>
  <w15:chartTrackingRefBased/>
  <w15:docId w15:val="{5A44DA8F-6E5C-4CA2-8C90-F90071779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C2944"/>
    <w:pPr>
      <w:keepNext/>
      <w:widowControl w:val="0"/>
      <w:autoSpaceDE w:val="0"/>
      <w:autoSpaceDN w:val="0"/>
      <w:adjustRightInd w:val="0"/>
      <w:spacing w:after="120" w:line="240" w:lineRule="auto"/>
      <w:outlineLvl w:val="0"/>
    </w:pPr>
    <w:rPr>
      <w:rFonts w:ascii="Times" w:eastAsia="Times New Roman" w:hAnsi="Times" w:cs="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1E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C6153"/>
    <w:rPr>
      <w:color w:val="0000FF"/>
      <w:u w:val="single"/>
    </w:rPr>
  </w:style>
  <w:style w:type="character" w:customStyle="1" w:styleId="apple-converted-space">
    <w:name w:val="apple-converted-space"/>
    <w:basedOn w:val="DefaultParagraphFont"/>
    <w:rsid w:val="00BC6153"/>
  </w:style>
  <w:style w:type="character" w:styleId="CommentReference">
    <w:name w:val="annotation reference"/>
    <w:basedOn w:val="DefaultParagraphFont"/>
    <w:uiPriority w:val="99"/>
    <w:semiHidden/>
    <w:unhideWhenUsed/>
    <w:rsid w:val="00281FA4"/>
    <w:rPr>
      <w:sz w:val="16"/>
      <w:szCs w:val="16"/>
    </w:rPr>
  </w:style>
  <w:style w:type="paragraph" w:styleId="CommentText">
    <w:name w:val="annotation text"/>
    <w:basedOn w:val="Normal"/>
    <w:link w:val="CommentTextChar"/>
    <w:uiPriority w:val="99"/>
    <w:semiHidden/>
    <w:unhideWhenUsed/>
    <w:rsid w:val="00281FA4"/>
    <w:pPr>
      <w:spacing w:line="240" w:lineRule="auto"/>
    </w:pPr>
    <w:rPr>
      <w:sz w:val="20"/>
      <w:szCs w:val="20"/>
    </w:rPr>
  </w:style>
  <w:style w:type="character" w:customStyle="1" w:styleId="CommentTextChar">
    <w:name w:val="Comment Text Char"/>
    <w:basedOn w:val="DefaultParagraphFont"/>
    <w:link w:val="CommentText"/>
    <w:uiPriority w:val="99"/>
    <w:semiHidden/>
    <w:rsid w:val="00281FA4"/>
    <w:rPr>
      <w:sz w:val="20"/>
      <w:szCs w:val="20"/>
    </w:rPr>
  </w:style>
  <w:style w:type="paragraph" w:styleId="CommentSubject">
    <w:name w:val="annotation subject"/>
    <w:basedOn w:val="CommentText"/>
    <w:next w:val="CommentText"/>
    <w:link w:val="CommentSubjectChar"/>
    <w:uiPriority w:val="99"/>
    <w:semiHidden/>
    <w:unhideWhenUsed/>
    <w:rsid w:val="00281FA4"/>
    <w:rPr>
      <w:b/>
      <w:bCs/>
    </w:rPr>
  </w:style>
  <w:style w:type="character" w:customStyle="1" w:styleId="CommentSubjectChar">
    <w:name w:val="Comment Subject Char"/>
    <w:basedOn w:val="CommentTextChar"/>
    <w:link w:val="CommentSubject"/>
    <w:uiPriority w:val="99"/>
    <w:semiHidden/>
    <w:rsid w:val="00281FA4"/>
    <w:rPr>
      <w:b/>
      <w:bCs/>
      <w:sz w:val="20"/>
      <w:szCs w:val="20"/>
    </w:rPr>
  </w:style>
  <w:style w:type="paragraph" w:styleId="NoSpacing">
    <w:name w:val="No Spacing"/>
    <w:uiPriority w:val="1"/>
    <w:qFormat/>
    <w:rsid w:val="00237C49"/>
    <w:pPr>
      <w:spacing w:after="0" w:line="240" w:lineRule="auto"/>
    </w:pPr>
  </w:style>
  <w:style w:type="paragraph" w:styleId="ListParagraph">
    <w:name w:val="List Paragraph"/>
    <w:basedOn w:val="Normal"/>
    <w:uiPriority w:val="34"/>
    <w:qFormat/>
    <w:rsid w:val="00D3697D"/>
    <w:pPr>
      <w:ind w:left="720"/>
      <w:contextualSpacing/>
    </w:pPr>
  </w:style>
  <w:style w:type="table" w:styleId="TableGrid">
    <w:name w:val="Table Grid"/>
    <w:basedOn w:val="TableNormal"/>
    <w:uiPriority w:val="59"/>
    <w:rsid w:val="008C7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8C77D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24224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24224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24224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nhideWhenUsed/>
    <w:rsid w:val="004C2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44"/>
  </w:style>
  <w:style w:type="paragraph" w:styleId="Footer">
    <w:name w:val="footer"/>
    <w:basedOn w:val="Normal"/>
    <w:link w:val="FooterChar"/>
    <w:uiPriority w:val="99"/>
    <w:unhideWhenUsed/>
    <w:rsid w:val="004C2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44"/>
  </w:style>
  <w:style w:type="character" w:customStyle="1" w:styleId="Heading1Char">
    <w:name w:val="Heading 1 Char"/>
    <w:basedOn w:val="DefaultParagraphFont"/>
    <w:link w:val="Heading1"/>
    <w:rsid w:val="004C2944"/>
    <w:rPr>
      <w:rFonts w:ascii="Times" w:eastAsia="Times New Roman" w:hAnsi="Times" w:cs="Times New Roman"/>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871994">
      <w:bodyDiv w:val="1"/>
      <w:marLeft w:val="0"/>
      <w:marRight w:val="0"/>
      <w:marTop w:val="0"/>
      <w:marBottom w:val="0"/>
      <w:divBdr>
        <w:top w:val="none" w:sz="0" w:space="0" w:color="auto"/>
        <w:left w:val="none" w:sz="0" w:space="0" w:color="auto"/>
        <w:bottom w:val="none" w:sz="0" w:space="0" w:color="auto"/>
        <w:right w:val="none" w:sz="0" w:space="0" w:color="auto"/>
      </w:divBdr>
    </w:div>
    <w:div w:id="405226943">
      <w:bodyDiv w:val="1"/>
      <w:marLeft w:val="0"/>
      <w:marRight w:val="0"/>
      <w:marTop w:val="0"/>
      <w:marBottom w:val="0"/>
      <w:divBdr>
        <w:top w:val="none" w:sz="0" w:space="0" w:color="auto"/>
        <w:left w:val="none" w:sz="0" w:space="0" w:color="auto"/>
        <w:bottom w:val="none" w:sz="0" w:space="0" w:color="auto"/>
        <w:right w:val="none" w:sz="0" w:space="0" w:color="auto"/>
      </w:divBdr>
      <w:divsChild>
        <w:div w:id="2108033976">
          <w:marLeft w:val="0"/>
          <w:marRight w:val="0"/>
          <w:marTop w:val="0"/>
          <w:marBottom w:val="0"/>
          <w:divBdr>
            <w:top w:val="none" w:sz="0" w:space="0" w:color="auto"/>
            <w:left w:val="none" w:sz="0" w:space="0" w:color="auto"/>
            <w:bottom w:val="none" w:sz="0" w:space="0" w:color="auto"/>
            <w:right w:val="none" w:sz="0" w:space="0" w:color="auto"/>
          </w:divBdr>
          <w:divsChild>
            <w:div w:id="344751363">
              <w:marLeft w:val="0"/>
              <w:marRight w:val="0"/>
              <w:marTop w:val="0"/>
              <w:marBottom w:val="0"/>
              <w:divBdr>
                <w:top w:val="none" w:sz="0" w:space="0" w:color="auto"/>
                <w:left w:val="none" w:sz="0" w:space="0" w:color="auto"/>
                <w:bottom w:val="none" w:sz="0" w:space="0" w:color="auto"/>
                <w:right w:val="none" w:sz="0" w:space="0" w:color="auto"/>
              </w:divBdr>
              <w:divsChild>
                <w:div w:id="173607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706521">
      <w:bodyDiv w:val="1"/>
      <w:marLeft w:val="0"/>
      <w:marRight w:val="0"/>
      <w:marTop w:val="0"/>
      <w:marBottom w:val="0"/>
      <w:divBdr>
        <w:top w:val="none" w:sz="0" w:space="0" w:color="auto"/>
        <w:left w:val="none" w:sz="0" w:space="0" w:color="auto"/>
        <w:bottom w:val="none" w:sz="0" w:space="0" w:color="auto"/>
        <w:right w:val="none" w:sz="0" w:space="0" w:color="auto"/>
      </w:divBdr>
    </w:div>
    <w:div w:id="1009718085">
      <w:bodyDiv w:val="1"/>
      <w:marLeft w:val="0"/>
      <w:marRight w:val="0"/>
      <w:marTop w:val="0"/>
      <w:marBottom w:val="0"/>
      <w:divBdr>
        <w:top w:val="none" w:sz="0" w:space="0" w:color="auto"/>
        <w:left w:val="none" w:sz="0" w:space="0" w:color="auto"/>
        <w:bottom w:val="none" w:sz="0" w:space="0" w:color="auto"/>
        <w:right w:val="none" w:sz="0" w:space="0" w:color="auto"/>
      </w:divBdr>
    </w:div>
    <w:div w:id="1204710005">
      <w:bodyDiv w:val="1"/>
      <w:marLeft w:val="0"/>
      <w:marRight w:val="0"/>
      <w:marTop w:val="0"/>
      <w:marBottom w:val="0"/>
      <w:divBdr>
        <w:top w:val="none" w:sz="0" w:space="0" w:color="auto"/>
        <w:left w:val="none" w:sz="0" w:space="0" w:color="auto"/>
        <w:bottom w:val="none" w:sz="0" w:space="0" w:color="auto"/>
        <w:right w:val="none" w:sz="0" w:space="0" w:color="auto"/>
      </w:divBdr>
      <w:divsChild>
        <w:div w:id="806167810">
          <w:marLeft w:val="0"/>
          <w:marRight w:val="0"/>
          <w:marTop w:val="0"/>
          <w:marBottom w:val="0"/>
          <w:divBdr>
            <w:top w:val="none" w:sz="0" w:space="0" w:color="auto"/>
            <w:left w:val="none" w:sz="0" w:space="0" w:color="auto"/>
            <w:bottom w:val="none" w:sz="0" w:space="0" w:color="auto"/>
            <w:right w:val="none" w:sz="0" w:space="0" w:color="auto"/>
          </w:divBdr>
          <w:divsChild>
            <w:div w:id="696854058">
              <w:marLeft w:val="0"/>
              <w:marRight w:val="0"/>
              <w:marTop w:val="0"/>
              <w:marBottom w:val="0"/>
              <w:divBdr>
                <w:top w:val="none" w:sz="0" w:space="0" w:color="auto"/>
                <w:left w:val="none" w:sz="0" w:space="0" w:color="auto"/>
                <w:bottom w:val="none" w:sz="0" w:space="0" w:color="auto"/>
                <w:right w:val="none" w:sz="0" w:space="0" w:color="auto"/>
              </w:divBdr>
              <w:divsChild>
                <w:div w:id="108711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8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oramventur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Peek</dc:creator>
  <cp:keywords/>
  <dc:description/>
  <cp:lastModifiedBy>Samantha Stewart</cp:lastModifiedBy>
  <cp:revision>12</cp:revision>
  <dcterms:created xsi:type="dcterms:W3CDTF">2021-02-21T22:38:00Z</dcterms:created>
  <dcterms:modified xsi:type="dcterms:W3CDTF">2021-02-22T03:53:00Z</dcterms:modified>
</cp:coreProperties>
</file>