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F7084F" w14:textId="111F4634" w:rsidR="007F5B44" w:rsidRDefault="007F5B44" w:rsidP="007F5B44">
      <w:pPr>
        <w:pStyle w:val="NormalWeb"/>
        <w:shd w:val="clear" w:color="auto" w:fill="FFFFFF"/>
        <w:spacing w:before="0" w:beforeAutospacing="0" w:after="0" w:afterAutospacing="0" w:line="398" w:lineRule="atLeast"/>
        <w:jc w:val="center"/>
        <w:textAlignment w:val="baseline"/>
        <w:rPr>
          <w:rStyle w:val="Strong"/>
          <w:rFonts w:ascii="Arial" w:hAnsi="Arial" w:cs="Arial"/>
          <w:color w:val="48697D"/>
          <w:sz w:val="22"/>
          <w:szCs w:val="22"/>
          <w:bdr w:val="none" w:sz="0" w:space="0" w:color="auto" w:frame="1"/>
        </w:rPr>
      </w:pPr>
      <w:r>
        <w:rPr>
          <w:noProof/>
        </w:rPr>
        <w:drawing>
          <wp:inline distT="0" distB="0" distL="0" distR="0" wp14:anchorId="77D4E266" wp14:editId="08F6E52C">
            <wp:extent cx="2482850" cy="831850"/>
            <wp:effectExtent l="0" t="0" r="0" b="6350"/>
            <wp:docPr id="1" name="6ADC4734-5107-4538-8CBF-005F0DEBB275"/>
            <wp:cNvGraphicFramePr/>
            <a:graphic xmlns:a="http://schemas.openxmlformats.org/drawingml/2006/main">
              <a:graphicData uri="http://schemas.openxmlformats.org/drawingml/2006/picture">
                <pic:pic xmlns:pic="http://schemas.openxmlformats.org/drawingml/2006/picture">
                  <pic:nvPicPr>
                    <pic:cNvPr id="1" name="6ADC4734-5107-4538-8CBF-005F0DEBB275"/>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82850" cy="831850"/>
                    </a:xfrm>
                    <a:prstGeom prst="rect">
                      <a:avLst/>
                    </a:prstGeom>
                    <a:noFill/>
                    <a:ln>
                      <a:noFill/>
                    </a:ln>
                  </pic:spPr>
                </pic:pic>
              </a:graphicData>
            </a:graphic>
          </wp:inline>
        </w:drawing>
      </w:r>
    </w:p>
    <w:p w14:paraId="7B9C845E" w14:textId="77777777" w:rsidR="00D1372F" w:rsidRDefault="00D1372F" w:rsidP="006F063B">
      <w:pPr>
        <w:pStyle w:val="NormalWeb"/>
        <w:shd w:val="clear" w:color="auto" w:fill="FFFFFF"/>
        <w:spacing w:before="0" w:beforeAutospacing="0" w:after="0" w:afterAutospacing="0" w:line="398" w:lineRule="atLeast"/>
        <w:jc w:val="center"/>
        <w:textAlignment w:val="baseline"/>
        <w:rPr>
          <w:rStyle w:val="Strong"/>
          <w:rFonts w:ascii="Arial" w:hAnsi="Arial" w:cs="Arial"/>
          <w:color w:val="48697D"/>
          <w:sz w:val="22"/>
          <w:szCs w:val="22"/>
          <w:bdr w:val="none" w:sz="0" w:space="0" w:color="auto" w:frame="1"/>
        </w:rPr>
      </w:pPr>
    </w:p>
    <w:p w14:paraId="46247EF0" w14:textId="2D64623C" w:rsidR="00451D23" w:rsidRPr="00D1372F" w:rsidRDefault="00C774D2" w:rsidP="006F063B">
      <w:pPr>
        <w:pStyle w:val="NormalWeb"/>
        <w:shd w:val="clear" w:color="auto" w:fill="FFFFFF"/>
        <w:spacing w:before="0" w:beforeAutospacing="0" w:after="0" w:afterAutospacing="0" w:line="398" w:lineRule="atLeast"/>
        <w:jc w:val="center"/>
        <w:textAlignment w:val="baseline"/>
        <w:rPr>
          <w:rStyle w:val="Strong"/>
          <w:rFonts w:ascii="Arial" w:hAnsi="Arial" w:cs="Arial"/>
          <w:color w:val="48697D"/>
          <w:sz w:val="28"/>
          <w:szCs w:val="28"/>
          <w:bdr w:val="none" w:sz="0" w:space="0" w:color="auto" w:frame="1"/>
        </w:rPr>
      </w:pPr>
      <w:r>
        <w:rPr>
          <w:rStyle w:val="Strong"/>
          <w:rFonts w:ascii="Arial" w:hAnsi="Arial" w:cs="Arial"/>
          <w:color w:val="48697D"/>
          <w:sz w:val="28"/>
          <w:szCs w:val="28"/>
          <w:bdr w:val="none" w:sz="0" w:space="0" w:color="auto" w:frame="1"/>
        </w:rPr>
        <w:t xml:space="preserve">NEUTRISCI: </w:t>
      </w:r>
      <w:r w:rsidR="00790ACE">
        <w:rPr>
          <w:rStyle w:val="Strong"/>
          <w:rFonts w:ascii="Arial" w:hAnsi="Arial" w:cs="Arial"/>
          <w:color w:val="48697D"/>
          <w:sz w:val="28"/>
          <w:szCs w:val="28"/>
          <w:bdr w:val="none" w:sz="0" w:space="0" w:color="auto" w:frame="1"/>
        </w:rPr>
        <w:t>HARMONIZED CODE APPROVAL</w:t>
      </w:r>
      <w:r w:rsidR="00A76C05">
        <w:rPr>
          <w:rStyle w:val="Strong"/>
          <w:rFonts w:ascii="Arial" w:hAnsi="Arial" w:cs="Arial"/>
          <w:color w:val="48697D"/>
          <w:sz w:val="28"/>
          <w:szCs w:val="28"/>
          <w:bdr w:val="none" w:sz="0" w:space="0" w:color="auto" w:frame="1"/>
        </w:rPr>
        <w:t xml:space="preserve"> </w:t>
      </w:r>
      <w:r w:rsidR="00847B4D">
        <w:rPr>
          <w:rStyle w:val="Strong"/>
          <w:rFonts w:ascii="Arial" w:hAnsi="Arial" w:cs="Arial"/>
          <w:color w:val="48697D"/>
          <w:sz w:val="28"/>
          <w:szCs w:val="28"/>
          <w:bdr w:val="none" w:sz="0" w:space="0" w:color="auto" w:frame="1"/>
        </w:rPr>
        <w:t xml:space="preserve">RECEIVED BY TABLETZ </w:t>
      </w:r>
      <w:r w:rsidR="001F0D6B">
        <w:rPr>
          <w:rStyle w:val="Strong"/>
          <w:rFonts w:ascii="Arial" w:hAnsi="Arial" w:cs="Arial"/>
          <w:color w:val="48697D"/>
          <w:sz w:val="28"/>
          <w:szCs w:val="28"/>
          <w:bdr w:val="none" w:sz="0" w:space="0" w:color="auto" w:frame="1"/>
        </w:rPr>
        <w:t xml:space="preserve">LLC., </w:t>
      </w:r>
      <w:r w:rsidR="00A76C05">
        <w:rPr>
          <w:rStyle w:val="Strong"/>
          <w:rFonts w:ascii="Arial" w:hAnsi="Arial" w:cs="Arial"/>
          <w:color w:val="48697D"/>
          <w:sz w:val="28"/>
          <w:szCs w:val="28"/>
          <w:bdr w:val="none" w:sz="0" w:space="0" w:color="auto" w:frame="1"/>
        </w:rPr>
        <w:t xml:space="preserve">IN </w:t>
      </w:r>
      <w:r w:rsidR="000110B5">
        <w:rPr>
          <w:rStyle w:val="Strong"/>
          <w:rFonts w:ascii="Arial" w:hAnsi="Arial" w:cs="Arial"/>
          <w:color w:val="48697D"/>
          <w:sz w:val="28"/>
          <w:szCs w:val="28"/>
          <w:bdr w:val="none" w:sz="0" w:space="0" w:color="auto" w:frame="1"/>
        </w:rPr>
        <w:t>JAPAN</w:t>
      </w:r>
      <w:r w:rsidR="00847B4D">
        <w:rPr>
          <w:rStyle w:val="Strong"/>
          <w:rFonts w:ascii="Arial" w:hAnsi="Arial" w:cs="Arial"/>
          <w:color w:val="48697D"/>
          <w:sz w:val="28"/>
          <w:szCs w:val="28"/>
          <w:bdr w:val="none" w:sz="0" w:space="0" w:color="auto" w:frame="1"/>
        </w:rPr>
        <w:t xml:space="preserve"> </w:t>
      </w:r>
      <w:r w:rsidR="00615357" w:rsidRPr="00D1372F">
        <w:rPr>
          <w:rStyle w:val="Strong"/>
          <w:rFonts w:ascii="Arial" w:hAnsi="Arial" w:cs="Arial"/>
          <w:color w:val="48697D"/>
          <w:sz w:val="28"/>
          <w:szCs w:val="28"/>
          <w:bdr w:val="none" w:sz="0" w:space="0" w:color="auto" w:frame="1"/>
        </w:rPr>
        <w:t xml:space="preserve"> </w:t>
      </w:r>
      <w:r w:rsidR="001D62B9" w:rsidRPr="00D1372F">
        <w:rPr>
          <w:rStyle w:val="Strong"/>
          <w:rFonts w:ascii="Arial" w:hAnsi="Arial" w:cs="Arial"/>
          <w:color w:val="48697D"/>
          <w:sz w:val="28"/>
          <w:szCs w:val="28"/>
          <w:bdr w:val="none" w:sz="0" w:space="0" w:color="auto" w:frame="1"/>
        </w:rPr>
        <w:t xml:space="preserve"> </w:t>
      </w:r>
    </w:p>
    <w:p w14:paraId="05F5A623" w14:textId="77777777" w:rsidR="00D1372F" w:rsidRPr="00833F19" w:rsidRDefault="00D1372F" w:rsidP="004A3158">
      <w:pPr>
        <w:pStyle w:val="NormalWeb"/>
        <w:shd w:val="clear" w:color="auto" w:fill="FFFFFF"/>
        <w:spacing w:before="0" w:beforeAutospacing="0" w:after="0" w:afterAutospacing="0" w:line="398" w:lineRule="atLeast"/>
        <w:jc w:val="both"/>
        <w:textAlignment w:val="baseline"/>
        <w:rPr>
          <w:rStyle w:val="Strong"/>
          <w:rFonts w:ascii="Arial" w:hAnsi="Arial" w:cs="Arial"/>
          <w:color w:val="48697D"/>
          <w:sz w:val="22"/>
          <w:szCs w:val="22"/>
          <w:bdr w:val="none" w:sz="0" w:space="0" w:color="auto" w:frame="1"/>
        </w:rPr>
      </w:pPr>
    </w:p>
    <w:p w14:paraId="449BA99C" w14:textId="2240BC0F" w:rsidR="00790ACE" w:rsidRPr="004A3158" w:rsidRDefault="005373C1" w:rsidP="004A3158">
      <w:pPr>
        <w:pStyle w:val="NormalWeb"/>
        <w:shd w:val="clear" w:color="auto" w:fill="FFFFFF"/>
        <w:spacing w:before="0" w:beforeAutospacing="0" w:after="0" w:afterAutospacing="0" w:line="23" w:lineRule="atLeast"/>
        <w:jc w:val="both"/>
        <w:textAlignment w:val="baseline"/>
        <w:rPr>
          <w:sz w:val="22"/>
          <w:szCs w:val="22"/>
        </w:rPr>
      </w:pPr>
      <w:r w:rsidRPr="00D1372F">
        <w:rPr>
          <w:rStyle w:val="Strong"/>
          <w:rFonts w:ascii="Arial" w:hAnsi="Arial" w:cs="Arial"/>
          <w:sz w:val="22"/>
          <w:szCs w:val="22"/>
          <w:bdr w:val="none" w:sz="0" w:space="0" w:color="auto" w:frame="1"/>
        </w:rPr>
        <w:t>Vancouver, British Columbia</w:t>
      </w:r>
      <w:r w:rsidRPr="00D1372F">
        <w:rPr>
          <w:rFonts w:ascii="Arial" w:hAnsi="Arial" w:cs="Arial"/>
          <w:sz w:val="22"/>
          <w:szCs w:val="22"/>
        </w:rPr>
        <w:t> – </w:t>
      </w:r>
      <w:r w:rsidR="00790ACE">
        <w:rPr>
          <w:rFonts w:ascii="Arial" w:hAnsi="Arial" w:cs="Arial"/>
          <w:sz w:val="22"/>
          <w:szCs w:val="22"/>
        </w:rPr>
        <w:t>Mar 8</w:t>
      </w:r>
      <w:r w:rsidRPr="00D1372F">
        <w:rPr>
          <w:rFonts w:ascii="Arial" w:hAnsi="Arial" w:cs="Arial"/>
          <w:sz w:val="22"/>
          <w:szCs w:val="22"/>
        </w:rPr>
        <w:t>, 202</w:t>
      </w:r>
      <w:r w:rsidR="00790ACE">
        <w:rPr>
          <w:rFonts w:ascii="Arial" w:hAnsi="Arial" w:cs="Arial"/>
          <w:sz w:val="22"/>
          <w:szCs w:val="22"/>
        </w:rPr>
        <w:t>1</w:t>
      </w:r>
      <w:r w:rsidRPr="00D1372F">
        <w:rPr>
          <w:rFonts w:ascii="Arial" w:hAnsi="Arial" w:cs="Arial"/>
          <w:sz w:val="22"/>
          <w:szCs w:val="22"/>
        </w:rPr>
        <w:t> – NeutriSci International Inc. </w:t>
      </w:r>
      <w:r w:rsidRPr="00D1372F">
        <w:rPr>
          <w:rStyle w:val="Strong"/>
          <w:rFonts w:ascii="Arial" w:hAnsi="Arial" w:cs="Arial"/>
          <w:sz w:val="22"/>
          <w:szCs w:val="22"/>
          <w:bdr w:val="none" w:sz="0" w:space="0" w:color="auto" w:frame="1"/>
        </w:rPr>
        <w:t>(“NeutriSci” or the “Company”)</w:t>
      </w:r>
      <w:r w:rsidRPr="00D1372F">
        <w:rPr>
          <w:rFonts w:ascii="Arial" w:hAnsi="Arial" w:cs="Arial"/>
          <w:sz w:val="22"/>
          <w:szCs w:val="22"/>
        </w:rPr>
        <w:t> </w:t>
      </w:r>
      <w:r w:rsidRPr="00D1372F">
        <w:rPr>
          <w:rStyle w:val="Strong"/>
          <w:rFonts w:ascii="Arial" w:hAnsi="Arial" w:cs="Arial"/>
          <w:sz w:val="22"/>
          <w:szCs w:val="22"/>
          <w:bdr w:val="none" w:sz="0" w:space="0" w:color="auto" w:frame="1"/>
        </w:rPr>
        <w:t>(TSX-V: NU, OTCQB: NRXCF, FRANKFURT: 1N9)</w:t>
      </w:r>
      <w:r w:rsidR="00675579" w:rsidRPr="00D1372F">
        <w:rPr>
          <w:rFonts w:ascii="Arial" w:hAnsi="Arial" w:cs="Arial"/>
          <w:sz w:val="22"/>
          <w:szCs w:val="22"/>
        </w:rPr>
        <w:t xml:space="preserve">, </w:t>
      </w:r>
      <w:r w:rsidR="00D1372F" w:rsidRPr="00D1372F">
        <w:rPr>
          <w:rFonts w:ascii="Arial" w:hAnsi="Arial" w:cs="Arial"/>
          <w:sz w:val="22"/>
          <w:szCs w:val="22"/>
        </w:rPr>
        <w:t xml:space="preserve">an innovative technology company developing products for the nutraceutical industry, in conjunction with its partner, Tabletz LLC, is very pleased to </w:t>
      </w:r>
      <w:r w:rsidR="00790ACE" w:rsidRPr="004A3158">
        <w:rPr>
          <w:rFonts w:ascii="Arial" w:eastAsia="Arial" w:hAnsi="Arial" w:cs="Arial"/>
          <w:color w:val="252525"/>
          <w:sz w:val="22"/>
          <w:szCs w:val="22"/>
        </w:rPr>
        <w:t xml:space="preserve">announce that its partner Tabletz LLC. has received approval and classification for a Harmonized Code (HS Code) </w:t>
      </w:r>
      <w:r w:rsidR="00B56B18">
        <w:rPr>
          <w:rFonts w:ascii="Arial" w:eastAsia="Arial" w:hAnsi="Arial" w:cs="Arial"/>
          <w:color w:val="252525"/>
          <w:sz w:val="22"/>
          <w:szCs w:val="22"/>
        </w:rPr>
        <w:t>for the TABLETZ product from</w:t>
      </w:r>
      <w:r w:rsidR="00790ACE" w:rsidRPr="004A3158">
        <w:rPr>
          <w:rFonts w:ascii="Arial" w:eastAsia="Arial" w:hAnsi="Arial" w:cs="Arial"/>
          <w:color w:val="252525"/>
          <w:sz w:val="22"/>
          <w:szCs w:val="22"/>
        </w:rPr>
        <w:t xml:space="preserve"> Japanese customs. The classification is within the candy category and the HS code is 2106.90.299.</w:t>
      </w:r>
      <w:r w:rsidR="00847B4D">
        <w:rPr>
          <w:rFonts w:ascii="Arial" w:eastAsia="Arial" w:hAnsi="Arial" w:cs="Arial"/>
          <w:color w:val="252525"/>
          <w:sz w:val="22"/>
          <w:szCs w:val="22"/>
        </w:rPr>
        <w:t xml:space="preserve"> </w:t>
      </w:r>
    </w:p>
    <w:p w14:paraId="22C69B04" w14:textId="77777777" w:rsidR="00790ACE" w:rsidRPr="00847B4D" w:rsidRDefault="00790ACE" w:rsidP="004A3158">
      <w:pPr>
        <w:spacing w:after="0" w:line="23" w:lineRule="atLeast"/>
        <w:jc w:val="both"/>
        <w:rPr>
          <w:rFonts w:ascii="Arial" w:hAnsi="Arial" w:cs="Arial"/>
        </w:rPr>
      </w:pPr>
    </w:p>
    <w:p w14:paraId="00C7B04B" w14:textId="4943E46B" w:rsidR="00790ACE" w:rsidRPr="00BD7387" w:rsidRDefault="00790ACE" w:rsidP="004A3158">
      <w:pPr>
        <w:spacing w:after="0" w:line="23" w:lineRule="atLeast"/>
        <w:jc w:val="both"/>
        <w:rPr>
          <w:rFonts w:ascii="Arial" w:hAnsi="Arial" w:cs="Arial"/>
        </w:rPr>
      </w:pPr>
      <w:r w:rsidRPr="00BD7387">
        <w:rPr>
          <w:rFonts w:ascii="Arial" w:hAnsi="Arial" w:cs="Arial"/>
          <w:color w:val="2C2C2C"/>
        </w:rPr>
        <w:t>HS Codes are commonly used throughout the export process for goods. The Harmonized System is a standardized numerical method of classifying traded products. It is used by customs authorities around the world to identify products when assessing duties and taxes and for gathering statistics.</w:t>
      </w:r>
      <w:r>
        <w:rPr>
          <w:rFonts w:ascii="Arial" w:hAnsi="Arial" w:cs="Arial"/>
          <w:color w:val="2C2C2C"/>
          <w:sz w:val="27"/>
          <w:szCs w:val="27"/>
        </w:rPr>
        <w:t> </w:t>
      </w:r>
      <w:r>
        <w:rPr>
          <w:rFonts w:ascii="Arial" w:hAnsi="Arial" w:cs="Arial"/>
          <w:color w:val="2C2C2C"/>
        </w:rPr>
        <w:t xml:space="preserve">The </w:t>
      </w:r>
      <w:r w:rsidRPr="00BD7387">
        <w:rPr>
          <w:rFonts w:ascii="Arial" w:eastAsia="Arial" w:hAnsi="Arial" w:cs="Arial"/>
          <w:color w:val="252525"/>
        </w:rPr>
        <w:t xml:space="preserve">approval and classification </w:t>
      </w:r>
      <w:r>
        <w:rPr>
          <w:rFonts w:ascii="Arial" w:eastAsia="Arial" w:hAnsi="Arial" w:cs="Arial"/>
          <w:color w:val="252525"/>
        </w:rPr>
        <w:t>clear the way for Tabletz</w:t>
      </w:r>
      <w:r w:rsidRPr="00BD7387">
        <w:rPr>
          <w:rFonts w:ascii="Arial" w:eastAsia="Arial" w:hAnsi="Arial" w:cs="Arial"/>
          <w:color w:val="252525"/>
        </w:rPr>
        <w:t xml:space="preserve"> to</w:t>
      </w:r>
      <w:r>
        <w:rPr>
          <w:rFonts w:ascii="Arial" w:eastAsia="Arial" w:hAnsi="Arial" w:cs="Arial"/>
          <w:color w:val="252525"/>
        </w:rPr>
        <w:t xml:space="preserve"> import </w:t>
      </w:r>
      <w:r w:rsidR="00B56B18">
        <w:rPr>
          <w:rFonts w:ascii="Arial" w:eastAsia="Arial" w:hAnsi="Arial" w:cs="Arial"/>
          <w:color w:val="252525"/>
        </w:rPr>
        <w:t>the TABLETZ</w:t>
      </w:r>
      <w:r>
        <w:rPr>
          <w:rFonts w:ascii="Arial" w:eastAsia="Arial" w:hAnsi="Arial" w:cs="Arial"/>
          <w:color w:val="252525"/>
        </w:rPr>
        <w:t xml:space="preserve"> product line into Japan. </w:t>
      </w:r>
      <w:r w:rsidRPr="00BD7387">
        <w:rPr>
          <w:rFonts w:ascii="Arial" w:eastAsia="Arial" w:hAnsi="Arial" w:cs="Arial"/>
          <w:color w:val="252525"/>
        </w:rPr>
        <w:t xml:space="preserve"> </w:t>
      </w:r>
    </w:p>
    <w:p w14:paraId="191DC6BB" w14:textId="3D8E81B9" w:rsidR="00755D21" w:rsidRPr="004A3158" w:rsidRDefault="00755D21" w:rsidP="004A3158">
      <w:pPr>
        <w:spacing w:before="100" w:beforeAutospacing="1" w:after="100" w:afterAutospacing="1" w:line="23" w:lineRule="atLeast"/>
        <w:jc w:val="both"/>
        <w:rPr>
          <w:rFonts w:ascii="Arial" w:eastAsia="Times New Roman" w:hAnsi="Arial" w:cs="Arial"/>
          <w:lang w:val="en-GB" w:eastAsia="de-DE"/>
        </w:rPr>
      </w:pPr>
      <w:r w:rsidRPr="004A3158">
        <w:rPr>
          <w:rFonts w:ascii="Arial" w:eastAsia="Times New Roman" w:hAnsi="Arial" w:cs="Arial"/>
          <w:lang w:val="en-GB" w:eastAsia="de-DE"/>
        </w:rPr>
        <w:t>Th</w:t>
      </w:r>
      <w:r w:rsidR="00B56B18">
        <w:rPr>
          <w:rFonts w:ascii="Arial" w:eastAsia="Times New Roman" w:hAnsi="Arial" w:cs="Arial"/>
          <w:lang w:val="en-GB" w:eastAsia="de-DE"/>
        </w:rPr>
        <w:t>e TABLETZ</w:t>
      </w:r>
      <w:r w:rsidRPr="004A3158">
        <w:rPr>
          <w:rFonts w:ascii="Arial" w:eastAsia="Times New Roman" w:hAnsi="Arial" w:cs="Arial"/>
          <w:lang w:val="en-GB" w:eastAsia="de-DE"/>
        </w:rPr>
        <w:t xml:space="preserve"> </w:t>
      </w:r>
      <w:r>
        <w:rPr>
          <w:rFonts w:ascii="Arial" w:eastAsia="Times New Roman" w:hAnsi="Arial" w:cs="Arial"/>
          <w:lang w:val="en-GB" w:eastAsia="de-DE"/>
        </w:rPr>
        <w:t>product line consists of</w:t>
      </w:r>
      <w:r w:rsidRPr="004A3158">
        <w:rPr>
          <w:rFonts w:ascii="Arial" w:eastAsia="Times New Roman" w:hAnsi="Arial" w:cs="Arial"/>
          <w:lang w:val="en-GB" w:eastAsia="de-DE"/>
        </w:rPr>
        <w:t xml:space="preserve"> </w:t>
      </w:r>
      <w:r w:rsidR="00B56B18" w:rsidRPr="00755D21">
        <w:rPr>
          <w:rFonts w:ascii="Arial" w:eastAsia="Times New Roman" w:hAnsi="Arial" w:cs="Arial"/>
          <w:lang w:val="en-GB" w:eastAsia="de-DE"/>
        </w:rPr>
        <w:t>3- and 7-tab</w:t>
      </w:r>
      <w:r w:rsidRPr="004A3158">
        <w:rPr>
          <w:rFonts w:ascii="Arial" w:eastAsia="Times New Roman" w:hAnsi="Arial" w:cs="Arial"/>
          <w:lang w:val="en-GB" w:eastAsia="de-DE"/>
        </w:rPr>
        <w:t xml:space="preserve"> TABLETZ sticks</w:t>
      </w:r>
      <w:r w:rsidR="00B56B18">
        <w:rPr>
          <w:rFonts w:ascii="Arial" w:eastAsia="Times New Roman" w:hAnsi="Arial" w:cs="Arial"/>
          <w:lang w:val="en-GB" w:eastAsia="de-DE"/>
        </w:rPr>
        <w:t xml:space="preserve">, each available in </w:t>
      </w:r>
      <w:r w:rsidRPr="004A3158">
        <w:rPr>
          <w:rFonts w:ascii="Arial" w:eastAsia="Times New Roman" w:hAnsi="Arial" w:cs="Arial"/>
          <w:lang w:val="en-GB" w:eastAsia="de-DE"/>
        </w:rPr>
        <w:t>Lemon, Berry, and Mint</w:t>
      </w:r>
      <w:r w:rsidR="00B56B18">
        <w:rPr>
          <w:rFonts w:ascii="Arial" w:eastAsia="Times New Roman" w:hAnsi="Arial" w:cs="Arial"/>
          <w:lang w:val="en-GB" w:eastAsia="de-DE"/>
        </w:rPr>
        <w:t xml:space="preserve"> </w:t>
      </w:r>
      <w:r w:rsidR="00326E57">
        <w:rPr>
          <w:rFonts w:ascii="Arial" w:eastAsia="Times New Roman" w:hAnsi="Arial" w:cs="Arial"/>
          <w:lang w:val="en-GB" w:eastAsia="de-DE"/>
        </w:rPr>
        <w:t>flavours</w:t>
      </w:r>
      <w:r w:rsidRPr="004A3158">
        <w:rPr>
          <w:rFonts w:ascii="Arial" w:eastAsia="Times New Roman" w:hAnsi="Arial" w:cs="Arial"/>
          <w:lang w:val="en-GB" w:eastAsia="de-DE"/>
        </w:rPr>
        <w:t xml:space="preserve">. Both companies have also </w:t>
      </w:r>
      <w:r>
        <w:rPr>
          <w:rFonts w:ascii="Arial" w:eastAsia="Times New Roman" w:hAnsi="Arial" w:cs="Arial"/>
          <w:lang w:val="en-GB" w:eastAsia="de-DE"/>
        </w:rPr>
        <w:t>finalized</w:t>
      </w:r>
      <w:r w:rsidRPr="004A3158">
        <w:rPr>
          <w:rFonts w:ascii="Arial" w:eastAsia="Times New Roman" w:hAnsi="Arial" w:cs="Arial"/>
          <w:lang w:val="en-GB" w:eastAsia="de-DE"/>
        </w:rPr>
        <w:t xml:space="preserve"> the design of a bulk bottle format of TABLETZ. This SKU will consist of a 35 tablet (500mg) bottle and will be available in all 3 </w:t>
      </w:r>
      <w:proofErr w:type="spellStart"/>
      <w:r w:rsidRPr="004A3158">
        <w:rPr>
          <w:rFonts w:ascii="Arial" w:eastAsia="Times New Roman" w:hAnsi="Arial" w:cs="Arial"/>
          <w:lang w:val="en-GB" w:eastAsia="de-DE"/>
        </w:rPr>
        <w:t>flavor</w:t>
      </w:r>
      <w:proofErr w:type="spellEnd"/>
      <w:r w:rsidRPr="004A3158">
        <w:rPr>
          <w:rFonts w:ascii="Arial" w:eastAsia="Times New Roman" w:hAnsi="Arial" w:cs="Arial"/>
          <w:lang w:val="en-GB" w:eastAsia="de-DE"/>
        </w:rPr>
        <w:t xml:space="preserve"> varieties. Although this SKU was not included in the initial purchase order, </w:t>
      </w:r>
      <w:r>
        <w:rPr>
          <w:rFonts w:ascii="Arial" w:eastAsia="Times New Roman" w:hAnsi="Arial" w:cs="Arial"/>
          <w:lang w:val="en-GB" w:eastAsia="de-DE"/>
        </w:rPr>
        <w:t xml:space="preserve">a </w:t>
      </w:r>
      <w:r w:rsidRPr="004A3158">
        <w:rPr>
          <w:rFonts w:ascii="Arial" w:eastAsia="Times New Roman" w:hAnsi="Arial" w:cs="Arial"/>
          <w:lang w:val="en-GB" w:eastAsia="de-DE"/>
        </w:rPr>
        <w:t>second order</w:t>
      </w:r>
      <w:r>
        <w:rPr>
          <w:rFonts w:ascii="Arial" w:eastAsia="Times New Roman" w:hAnsi="Arial" w:cs="Arial"/>
          <w:lang w:val="en-GB" w:eastAsia="de-DE"/>
        </w:rPr>
        <w:t xml:space="preserve"> is expected in Q2</w:t>
      </w:r>
      <w:r w:rsidR="00B56B18">
        <w:rPr>
          <w:rFonts w:ascii="Arial" w:eastAsia="Times New Roman" w:hAnsi="Arial" w:cs="Arial"/>
          <w:lang w:val="en-GB" w:eastAsia="de-DE"/>
        </w:rPr>
        <w:t>-</w:t>
      </w:r>
      <w:r>
        <w:rPr>
          <w:rFonts w:ascii="Arial" w:eastAsia="Times New Roman" w:hAnsi="Arial" w:cs="Arial"/>
          <w:lang w:val="en-GB" w:eastAsia="de-DE"/>
        </w:rPr>
        <w:t>2021</w:t>
      </w:r>
      <w:r w:rsidRPr="004A3158">
        <w:rPr>
          <w:rFonts w:ascii="Arial" w:eastAsia="Times New Roman" w:hAnsi="Arial" w:cs="Arial"/>
          <w:lang w:val="en-GB" w:eastAsia="de-DE"/>
        </w:rPr>
        <w:t>.</w:t>
      </w:r>
    </w:p>
    <w:p w14:paraId="07C2E4FF" w14:textId="66C1B56E" w:rsidR="00790ACE" w:rsidRPr="00BD7387" w:rsidRDefault="004A3158" w:rsidP="004A3158">
      <w:pPr>
        <w:spacing w:after="0" w:line="23" w:lineRule="atLeast"/>
        <w:jc w:val="both"/>
      </w:pPr>
      <w:r>
        <w:rPr>
          <w:rFonts w:ascii="Arial" w:eastAsia="Arial" w:hAnsi="Arial" w:cs="Arial"/>
          <w:color w:val="252525"/>
          <w:lang w:val="en-GB"/>
        </w:rPr>
        <w:t>R</w:t>
      </w:r>
      <w:r w:rsidR="00755D21">
        <w:rPr>
          <w:rFonts w:ascii="Arial" w:eastAsia="Arial" w:hAnsi="Arial" w:cs="Arial"/>
          <w:color w:val="252525"/>
        </w:rPr>
        <w:t>eceipt of the HS code</w:t>
      </w:r>
      <w:r w:rsidR="00755D21" w:rsidRPr="00BD7387">
        <w:rPr>
          <w:rFonts w:ascii="Arial" w:eastAsia="Arial" w:hAnsi="Arial" w:cs="Arial"/>
          <w:color w:val="252525"/>
        </w:rPr>
        <w:t xml:space="preserve"> </w:t>
      </w:r>
      <w:r w:rsidR="00790ACE" w:rsidRPr="00BD7387">
        <w:rPr>
          <w:rFonts w:ascii="Arial" w:eastAsia="Arial" w:hAnsi="Arial" w:cs="Arial"/>
          <w:color w:val="252525"/>
        </w:rPr>
        <w:t xml:space="preserve">is a significant development as </w:t>
      </w:r>
      <w:r w:rsidR="00790ACE">
        <w:rPr>
          <w:rFonts w:ascii="Arial" w:eastAsia="Arial" w:hAnsi="Arial" w:cs="Arial"/>
          <w:color w:val="252525"/>
        </w:rPr>
        <w:t>it c</w:t>
      </w:r>
      <w:r w:rsidR="00790ACE" w:rsidRPr="00BD7387">
        <w:rPr>
          <w:rFonts w:ascii="Arial" w:eastAsia="Arial" w:hAnsi="Arial" w:cs="Arial"/>
          <w:color w:val="252525"/>
        </w:rPr>
        <w:t xml:space="preserve">ompletes the entire process for the </w:t>
      </w:r>
      <w:r w:rsidR="00790ACE">
        <w:rPr>
          <w:rFonts w:ascii="Arial" w:eastAsia="Arial" w:hAnsi="Arial" w:cs="Arial"/>
          <w:color w:val="252525"/>
        </w:rPr>
        <w:t>T</w:t>
      </w:r>
      <w:r w:rsidR="00B56B18">
        <w:rPr>
          <w:rFonts w:ascii="Arial" w:eastAsia="Arial" w:hAnsi="Arial" w:cs="Arial"/>
          <w:color w:val="252525"/>
        </w:rPr>
        <w:t>ABLETZ</w:t>
      </w:r>
      <w:r w:rsidR="00790ACE" w:rsidRPr="00BD7387">
        <w:rPr>
          <w:rFonts w:ascii="Arial" w:eastAsia="Arial" w:hAnsi="Arial" w:cs="Arial"/>
          <w:color w:val="252525"/>
        </w:rPr>
        <w:t xml:space="preserve"> product </w:t>
      </w:r>
      <w:r w:rsidR="00790ACE">
        <w:rPr>
          <w:rFonts w:ascii="Arial" w:eastAsia="Arial" w:hAnsi="Arial" w:cs="Arial"/>
          <w:color w:val="252525"/>
        </w:rPr>
        <w:t xml:space="preserve">line </w:t>
      </w:r>
      <w:r w:rsidR="00790ACE" w:rsidRPr="00BD7387">
        <w:rPr>
          <w:rFonts w:ascii="Arial" w:eastAsia="Arial" w:hAnsi="Arial" w:cs="Arial"/>
          <w:color w:val="252525"/>
        </w:rPr>
        <w:t xml:space="preserve">and makes it available for complete distribution throughout </w:t>
      </w:r>
      <w:r w:rsidR="00790ACE">
        <w:rPr>
          <w:rFonts w:ascii="Arial" w:eastAsia="Arial" w:hAnsi="Arial" w:cs="Arial"/>
          <w:color w:val="252525"/>
        </w:rPr>
        <w:t>J</w:t>
      </w:r>
      <w:r w:rsidR="00790ACE" w:rsidRPr="00BD7387">
        <w:rPr>
          <w:rFonts w:ascii="Arial" w:eastAsia="Arial" w:hAnsi="Arial" w:cs="Arial"/>
          <w:color w:val="252525"/>
        </w:rPr>
        <w:t xml:space="preserve">apan. </w:t>
      </w:r>
      <w:r w:rsidR="00847B4D" w:rsidRPr="00BD7387">
        <w:rPr>
          <w:rFonts w:ascii="Arial" w:eastAsia="Arial" w:hAnsi="Arial" w:cs="Arial"/>
          <w:color w:val="252525"/>
        </w:rPr>
        <w:t>Tablet</w:t>
      </w:r>
      <w:r w:rsidR="00847B4D">
        <w:rPr>
          <w:rFonts w:ascii="Arial" w:eastAsia="Arial" w:hAnsi="Arial" w:cs="Arial"/>
          <w:color w:val="252525"/>
        </w:rPr>
        <w:t>z</w:t>
      </w:r>
      <w:r w:rsidR="00847B4D" w:rsidRPr="00BD7387">
        <w:rPr>
          <w:rFonts w:ascii="Arial" w:eastAsia="Arial" w:hAnsi="Arial" w:cs="Arial"/>
          <w:color w:val="252525"/>
        </w:rPr>
        <w:t xml:space="preserve"> </w:t>
      </w:r>
      <w:r w:rsidR="00790ACE">
        <w:rPr>
          <w:rFonts w:ascii="Arial" w:eastAsia="Arial" w:hAnsi="Arial" w:cs="Arial"/>
          <w:color w:val="252525"/>
        </w:rPr>
        <w:t>pl</w:t>
      </w:r>
      <w:r w:rsidR="00790ACE" w:rsidRPr="00BD7387">
        <w:rPr>
          <w:rFonts w:ascii="Arial" w:eastAsia="Arial" w:hAnsi="Arial" w:cs="Arial"/>
          <w:color w:val="252525"/>
        </w:rPr>
        <w:t xml:space="preserve">ans to take full advantage of the </w:t>
      </w:r>
      <w:r w:rsidR="00790ACE">
        <w:rPr>
          <w:rFonts w:ascii="Arial" w:eastAsia="Arial" w:hAnsi="Arial" w:cs="Arial"/>
          <w:color w:val="252525"/>
        </w:rPr>
        <w:t>n</w:t>
      </w:r>
      <w:r w:rsidR="00790ACE" w:rsidRPr="00BD7387">
        <w:rPr>
          <w:rFonts w:ascii="Arial" w:eastAsia="Arial" w:hAnsi="Arial" w:cs="Arial"/>
          <w:color w:val="252525"/>
        </w:rPr>
        <w:t xml:space="preserve">etwork that they have in place with their </w:t>
      </w:r>
      <w:r w:rsidR="00790ACE">
        <w:rPr>
          <w:rFonts w:ascii="Arial" w:eastAsia="Arial" w:hAnsi="Arial" w:cs="Arial"/>
          <w:color w:val="252525"/>
        </w:rPr>
        <w:t xml:space="preserve">distribution </w:t>
      </w:r>
      <w:r w:rsidR="00790ACE" w:rsidRPr="00BD7387">
        <w:rPr>
          <w:rFonts w:ascii="Arial" w:eastAsia="Arial" w:hAnsi="Arial" w:cs="Arial"/>
          <w:color w:val="252525"/>
        </w:rPr>
        <w:t xml:space="preserve">partners to fully </w:t>
      </w:r>
      <w:r w:rsidR="00847B4D">
        <w:rPr>
          <w:rFonts w:ascii="Arial" w:eastAsia="Arial" w:hAnsi="Arial" w:cs="Arial"/>
          <w:color w:val="252525"/>
        </w:rPr>
        <w:t>roll out</w:t>
      </w:r>
      <w:r w:rsidR="00847B4D" w:rsidRPr="00BD7387">
        <w:rPr>
          <w:rFonts w:ascii="Arial" w:eastAsia="Arial" w:hAnsi="Arial" w:cs="Arial"/>
          <w:color w:val="252525"/>
        </w:rPr>
        <w:t xml:space="preserve"> </w:t>
      </w:r>
      <w:r w:rsidR="00790ACE" w:rsidRPr="00BD7387">
        <w:rPr>
          <w:rFonts w:ascii="Arial" w:eastAsia="Arial" w:hAnsi="Arial" w:cs="Arial"/>
          <w:color w:val="252525"/>
        </w:rPr>
        <w:t xml:space="preserve">the product </w:t>
      </w:r>
      <w:r w:rsidR="00790ACE">
        <w:rPr>
          <w:rFonts w:ascii="Arial" w:eastAsia="Arial" w:hAnsi="Arial" w:cs="Arial"/>
          <w:color w:val="252525"/>
        </w:rPr>
        <w:t xml:space="preserve">in the </w:t>
      </w:r>
      <w:r w:rsidR="00790ACE" w:rsidRPr="00BD7387">
        <w:rPr>
          <w:rFonts w:ascii="Arial" w:eastAsia="Arial" w:hAnsi="Arial" w:cs="Arial"/>
          <w:color w:val="252525"/>
        </w:rPr>
        <w:t>planned 46,000 destinations across the country.</w:t>
      </w:r>
    </w:p>
    <w:p w14:paraId="2B9ABC62" w14:textId="748ED32C" w:rsidR="00847B4D" w:rsidRPr="004A3158" w:rsidRDefault="00847B4D" w:rsidP="004A3158">
      <w:pPr>
        <w:spacing w:before="100" w:beforeAutospacing="1" w:after="100" w:afterAutospacing="1" w:line="23" w:lineRule="atLeast"/>
        <w:jc w:val="both"/>
        <w:rPr>
          <w:rFonts w:ascii="Arial" w:eastAsia="Times New Roman" w:hAnsi="Arial" w:cs="Arial"/>
          <w:lang w:val="en-GB" w:eastAsia="de-DE"/>
        </w:rPr>
      </w:pPr>
      <w:r w:rsidRPr="004A3158">
        <w:rPr>
          <w:rFonts w:ascii="Arial" w:eastAsia="Times New Roman" w:hAnsi="Arial" w:cs="Arial"/>
          <w:lang w:val="en-GB" w:eastAsia="de-DE"/>
        </w:rPr>
        <w:t>With huge buying power and a strong health care system, Japanese people are advocating plant-derived health care products, which makes products such as TABLETZ extremely popular in the Japanese market. According to Prohibition Partners' Asia Cannabis Report, Japan will become the second-largest medical cannabis market in Asia with a scale of $800 million USD.</w:t>
      </w:r>
    </w:p>
    <w:p w14:paraId="22743266" w14:textId="58619BA8" w:rsidR="00790ACE" w:rsidRPr="00B00C1C" w:rsidRDefault="00790ACE" w:rsidP="004A3158">
      <w:pPr>
        <w:spacing w:after="0" w:line="23" w:lineRule="atLeast"/>
        <w:jc w:val="both"/>
        <w:rPr>
          <w:rFonts w:ascii="Arial" w:eastAsia="Arial" w:hAnsi="Arial" w:cs="Arial"/>
          <w:color w:val="252525"/>
        </w:rPr>
      </w:pPr>
      <w:r>
        <w:rPr>
          <w:rFonts w:ascii="Arial" w:eastAsia="Arial" w:hAnsi="Arial" w:cs="Arial"/>
          <w:color w:val="252525"/>
        </w:rPr>
        <w:t>Glen Rehman</w:t>
      </w:r>
      <w:r w:rsidRPr="00BD7387">
        <w:rPr>
          <w:rFonts w:ascii="Arial" w:eastAsia="Arial" w:hAnsi="Arial" w:cs="Arial"/>
          <w:color w:val="252525"/>
        </w:rPr>
        <w:t xml:space="preserve">, </w:t>
      </w:r>
      <w:r>
        <w:rPr>
          <w:rFonts w:ascii="Arial" w:eastAsia="Arial" w:hAnsi="Arial" w:cs="Arial"/>
          <w:color w:val="252525"/>
        </w:rPr>
        <w:t xml:space="preserve">CEO </w:t>
      </w:r>
      <w:r w:rsidR="00847B4D">
        <w:rPr>
          <w:rFonts w:ascii="Arial" w:eastAsia="Arial" w:hAnsi="Arial" w:cs="Arial"/>
          <w:color w:val="252525"/>
        </w:rPr>
        <w:t xml:space="preserve">of NeutriSci, </w:t>
      </w:r>
      <w:r>
        <w:rPr>
          <w:rFonts w:ascii="Arial" w:eastAsia="Arial" w:hAnsi="Arial" w:cs="Arial"/>
          <w:color w:val="252525"/>
        </w:rPr>
        <w:t>commented</w:t>
      </w:r>
      <w:r w:rsidR="00B56B18">
        <w:rPr>
          <w:rFonts w:ascii="Arial" w:eastAsia="Arial" w:hAnsi="Arial" w:cs="Arial"/>
          <w:color w:val="252525"/>
        </w:rPr>
        <w:t>,</w:t>
      </w:r>
      <w:r>
        <w:rPr>
          <w:rFonts w:ascii="Arial" w:eastAsia="Arial" w:hAnsi="Arial" w:cs="Arial"/>
          <w:color w:val="252525"/>
        </w:rPr>
        <w:t xml:space="preserve"> “W</w:t>
      </w:r>
      <w:r w:rsidRPr="00BD7387">
        <w:rPr>
          <w:rFonts w:ascii="Arial" w:eastAsia="Arial" w:hAnsi="Arial" w:cs="Arial"/>
          <w:color w:val="252525"/>
        </w:rPr>
        <w:t>e</w:t>
      </w:r>
      <w:r>
        <w:rPr>
          <w:rFonts w:ascii="Arial" w:eastAsia="Arial" w:hAnsi="Arial" w:cs="Arial"/>
          <w:color w:val="252525"/>
        </w:rPr>
        <w:t xml:space="preserve"> a</w:t>
      </w:r>
      <w:r w:rsidRPr="00BD7387">
        <w:rPr>
          <w:rFonts w:ascii="Arial" w:eastAsia="Arial" w:hAnsi="Arial" w:cs="Arial"/>
          <w:color w:val="252525"/>
        </w:rPr>
        <w:t>re extremely pleased th</w:t>
      </w:r>
      <w:r>
        <w:rPr>
          <w:rFonts w:ascii="Arial" w:eastAsia="Arial" w:hAnsi="Arial" w:cs="Arial"/>
          <w:color w:val="252525"/>
        </w:rPr>
        <w:t>at</w:t>
      </w:r>
      <w:r w:rsidRPr="00BD7387">
        <w:rPr>
          <w:rFonts w:ascii="Arial" w:eastAsia="Arial" w:hAnsi="Arial" w:cs="Arial"/>
          <w:color w:val="252525"/>
        </w:rPr>
        <w:t xml:space="preserve"> </w:t>
      </w:r>
      <w:r>
        <w:rPr>
          <w:rFonts w:ascii="Arial" w:eastAsia="Arial" w:hAnsi="Arial" w:cs="Arial"/>
          <w:color w:val="252525"/>
        </w:rPr>
        <w:t>T</w:t>
      </w:r>
      <w:r w:rsidRPr="00BD7387">
        <w:rPr>
          <w:rFonts w:ascii="Arial" w:eastAsia="Arial" w:hAnsi="Arial" w:cs="Arial"/>
          <w:color w:val="252525"/>
        </w:rPr>
        <w:t>ablet</w:t>
      </w:r>
      <w:r>
        <w:rPr>
          <w:rFonts w:ascii="Arial" w:eastAsia="Arial" w:hAnsi="Arial" w:cs="Arial"/>
          <w:color w:val="252525"/>
        </w:rPr>
        <w:t xml:space="preserve">z </w:t>
      </w:r>
      <w:r w:rsidRPr="00BD7387">
        <w:rPr>
          <w:rFonts w:ascii="Arial" w:eastAsia="Arial" w:hAnsi="Arial" w:cs="Arial"/>
          <w:color w:val="252525"/>
        </w:rPr>
        <w:t>has been able to achieve harmonize</w:t>
      </w:r>
      <w:r w:rsidR="00B56B18">
        <w:rPr>
          <w:rFonts w:ascii="Arial" w:eastAsia="Arial" w:hAnsi="Arial" w:cs="Arial"/>
          <w:color w:val="252525"/>
        </w:rPr>
        <w:t>d</w:t>
      </w:r>
      <w:r w:rsidRPr="00BD7387">
        <w:rPr>
          <w:rFonts w:ascii="Arial" w:eastAsia="Arial" w:hAnsi="Arial" w:cs="Arial"/>
          <w:color w:val="252525"/>
        </w:rPr>
        <w:t xml:space="preserve"> code </w:t>
      </w:r>
      <w:r>
        <w:rPr>
          <w:rFonts w:ascii="Arial" w:eastAsia="Arial" w:hAnsi="Arial" w:cs="Arial"/>
          <w:color w:val="252525"/>
        </w:rPr>
        <w:t xml:space="preserve">status </w:t>
      </w:r>
      <w:r w:rsidRPr="00BD7387">
        <w:rPr>
          <w:rFonts w:ascii="Arial" w:eastAsia="Arial" w:hAnsi="Arial" w:cs="Arial"/>
          <w:color w:val="252525"/>
        </w:rPr>
        <w:t xml:space="preserve">for the </w:t>
      </w:r>
      <w:r w:rsidR="00B56B18">
        <w:rPr>
          <w:rFonts w:ascii="Arial" w:eastAsia="Arial" w:hAnsi="Arial" w:cs="Arial"/>
          <w:color w:val="252525"/>
        </w:rPr>
        <w:t xml:space="preserve">TABLETZ </w:t>
      </w:r>
      <w:r w:rsidRPr="00BD7387">
        <w:rPr>
          <w:rFonts w:ascii="Arial" w:eastAsia="Arial" w:hAnsi="Arial" w:cs="Arial"/>
          <w:color w:val="252525"/>
        </w:rPr>
        <w:t xml:space="preserve">product line. This </w:t>
      </w:r>
      <w:r>
        <w:rPr>
          <w:rFonts w:ascii="Arial" w:eastAsia="Arial" w:hAnsi="Arial" w:cs="Arial"/>
          <w:color w:val="252525"/>
        </w:rPr>
        <w:t xml:space="preserve">significant and final milestone </w:t>
      </w:r>
      <w:r w:rsidRPr="00BD7387">
        <w:rPr>
          <w:rFonts w:ascii="Arial" w:eastAsia="Arial" w:hAnsi="Arial" w:cs="Arial"/>
          <w:color w:val="252525"/>
        </w:rPr>
        <w:t xml:space="preserve">opens the door for us to </w:t>
      </w:r>
      <w:r w:rsidR="00B56B18">
        <w:rPr>
          <w:rFonts w:ascii="Arial" w:eastAsia="Arial" w:hAnsi="Arial" w:cs="Arial"/>
          <w:color w:val="252525"/>
        </w:rPr>
        <w:t>complet</w:t>
      </w:r>
      <w:r w:rsidRPr="00BD7387">
        <w:rPr>
          <w:rFonts w:ascii="Arial" w:eastAsia="Arial" w:hAnsi="Arial" w:cs="Arial"/>
          <w:color w:val="252525"/>
        </w:rPr>
        <w:t>e with the production process</w:t>
      </w:r>
      <w:r>
        <w:rPr>
          <w:rFonts w:ascii="Arial" w:eastAsia="Arial" w:hAnsi="Arial" w:cs="Arial"/>
          <w:color w:val="252525"/>
        </w:rPr>
        <w:t xml:space="preserve"> we have already begun. N</w:t>
      </w:r>
      <w:r w:rsidRPr="00BD7387">
        <w:rPr>
          <w:rFonts w:ascii="Arial" w:eastAsia="Arial" w:hAnsi="Arial" w:cs="Arial"/>
          <w:color w:val="252525"/>
        </w:rPr>
        <w:t xml:space="preserve">ow </w:t>
      </w:r>
      <w:r>
        <w:rPr>
          <w:rFonts w:ascii="Arial" w:eastAsia="Arial" w:hAnsi="Arial" w:cs="Arial"/>
          <w:color w:val="252525"/>
        </w:rPr>
        <w:t>that the long-awaited approval has been granted, the process is complete. With the first order already in hand, and the production process under way, we look forward to shipping the first order to Japan in the coming weeks.”</w:t>
      </w:r>
    </w:p>
    <w:p w14:paraId="34C92B22" w14:textId="77777777" w:rsidR="00B56B18" w:rsidRDefault="00B56B18" w:rsidP="00A76C05">
      <w:pPr>
        <w:pStyle w:val="NormalWeb"/>
        <w:shd w:val="clear" w:color="auto" w:fill="FFFFFF"/>
        <w:spacing w:before="0" w:beforeAutospacing="0" w:after="0" w:afterAutospacing="0" w:line="300" w:lineRule="atLeast"/>
        <w:jc w:val="both"/>
        <w:textAlignment w:val="baseline"/>
        <w:rPr>
          <w:rStyle w:val="Strong"/>
          <w:rFonts w:ascii="Arial" w:hAnsi="Arial" w:cs="Arial"/>
          <w:sz w:val="22"/>
          <w:szCs w:val="22"/>
          <w:bdr w:val="none" w:sz="0" w:space="0" w:color="auto" w:frame="1"/>
        </w:rPr>
      </w:pPr>
    </w:p>
    <w:p w14:paraId="33C26179" w14:textId="339D4E14" w:rsidR="00104C3C" w:rsidRPr="008F3FC3" w:rsidRDefault="00104C3C" w:rsidP="00A76C05">
      <w:pPr>
        <w:pStyle w:val="NormalWeb"/>
        <w:shd w:val="clear" w:color="auto" w:fill="FFFFFF"/>
        <w:spacing w:before="0" w:beforeAutospacing="0" w:after="0" w:afterAutospacing="0" w:line="300" w:lineRule="atLeast"/>
        <w:jc w:val="both"/>
        <w:textAlignment w:val="baseline"/>
        <w:rPr>
          <w:rFonts w:ascii="Arial" w:hAnsi="Arial" w:cs="Arial"/>
          <w:sz w:val="22"/>
          <w:szCs w:val="22"/>
        </w:rPr>
      </w:pPr>
      <w:r w:rsidRPr="008F3FC3">
        <w:rPr>
          <w:rStyle w:val="Strong"/>
          <w:rFonts w:ascii="Arial" w:hAnsi="Arial" w:cs="Arial"/>
          <w:sz w:val="22"/>
          <w:szCs w:val="22"/>
          <w:bdr w:val="none" w:sz="0" w:space="0" w:color="auto" w:frame="1"/>
        </w:rPr>
        <w:t>About NeutriSci International Inc.</w:t>
      </w:r>
    </w:p>
    <w:p w14:paraId="43221B0D" w14:textId="77777777" w:rsidR="00104C3C" w:rsidRPr="008F3FC3" w:rsidRDefault="00104C3C" w:rsidP="00A76C05">
      <w:pPr>
        <w:pStyle w:val="NormalWeb"/>
        <w:shd w:val="clear" w:color="auto" w:fill="FFFFFF"/>
        <w:spacing w:before="0" w:beforeAutospacing="0" w:after="0" w:afterAutospacing="0" w:line="300" w:lineRule="atLeast"/>
        <w:jc w:val="both"/>
        <w:textAlignment w:val="baseline"/>
        <w:rPr>
          <w:rFonts w:ascii="Arial" w:hAnsi="Arial" w:cs="Arial"/>
          <w:sz w:val="22"/>
          <w:szCs w:val="22"/>
        </w:rPr>
      </w:pPr>
    </w:p>
    <w:p w14:paraId="0E748F20" w14:textId="77777777" w:rsidR="00104C3C" w:rsidRPr="00833F19" w:rsidRDefault="00104C3C" w:rsidP="00A76C05">
      <w:pPr>
        <w:pStyle w:val="NormalWeb"/>
        <w:shd w:val="clear" w:color="auto" w:fill="FFFFFF"/>
        <w:spacing w:before="0" w:beforeAutospacing="0" w:after="0" w:afterAutospacing="0" w:line="300" w:lineRule="atLeast"/>
        <w:jc w:val="both"/>
        <w:textAlignment w:val="baseline"/>
        <w:rPr>
          <w:rFonts w:ascii="Arial" w:hAnsi="Arial" w:cs="Arial"/>
          <w:color w:val="777777"/>
          <w:sz w:val="22"/>
          <w:szCs w:val="22"/>
        </w:rPr>
      </w:pPr>
      <w:r w:rsidRPr="008F3FC3">
        <w:rPr>
          <w:rFonts w:ascii="Arial" w:hAnsi="Arial" w:cs="Arial"/>
          <w:sz w:val="22"/>
          <w:szCs w:val="22"/>
        </w:rPr>
        <w:t>NeutriSci specializes in the innovation, production, and formulation of nutraceutical products. Established in 2009, NeutriSci’s is building sustainable sales models with Convenience, Chain Drug, and Mass Market and Supermarket retailers for neuenergy</w:t>
      </w:r>
      <w:r w:rsidRPr="008F3FC3">
        <w:rPr>
          <w:rFonts w:ascii="Arial" w:hAnsi="Arial" w:cs="Arial"/>
          <w:sz w:val="22"/>
          <w:szCs w:val="22"/>
          <w:bdr w:val="none" w:sz="0" w:space="0" w:color="auto" w:frame="1"/>
          <w:vertAlign w:val="superscript"/>
        </w:rPr>
        <w:t>®</w:t>
      </w:r>
      <w:r w:rsidRPr="008F3FC3">
        <w:rPr>
          <w:rFonts w:ascii="Arial" w:hAnsi="Arial" w:cs="Arial"/>
          <w:sz w:val="22"/>
          <w:szCs w:val="22"/>
        </w:rPr>
        <w:t xml:space="preserve">, the Company’s natural energy </w:t>
      </w:r>
      <w:r w:rsidRPr="008F3FC3">
        <w:rPr>
          <w:rFonts w:ascii="Arial" w:hAnsi="Arial" w:cs="Arial"/>
          <w:sz w:val="22"/>
          <w:szCs w:val="22"/>
        </w:rPr>
        <w:lastRenderedPageBreak/>
        <w:t>and focus supplement that has at its core, the beneficial effects of blueberries. For more information, please visit: </w:t>
      </w:r>
      <w:hyperlink r:id="rId6" w:history="1">
        <w:r w:rsidRPr="00833F19">
          <w:rPr>
            <w:rStyle w:val="Hyperlink"/>
            <w:rFonts w:ascii="Arial" w:hAnsi="Arial" w:cs="Arial"/>
            <w:sz w:val="22"/>
            <w:szCs w:val="22"/>
            <w:bdr w:val="none" w:sz="0" w:space="0" w:color="auto" w:frame="1"/>
          </w:rPr>
          <w:t>www.neutrisci.com</w:t>
        </w:r>
      </w:hyperlink>
      <w:r w:rsidRPr="00833F19">
        <w:rPr>
          <w:rFonts w:ascii="Arial" w:hAnsi="Arial" w:cs="Arial"/>
          <w:color w:val="777777"/>
          <w:sz w:val="22"/>
          <w:szCs w:val="22"/>
        </w:rPr>
        <w:t>.</w:t>
      </w:r>
    </w:p>
    <w:p w14:paraId="28A38A74" w14:textId="77777777" w:rsidR="00104C3C" w:rsidRDefault="00104C3C" w:rsidP="00104C3C">
      <w:pPr>
        <w:pStyle w:val="NormalWeb"/>
        <w:shd w:val="clear" w:color="auto" w:fill="FFFFFF"/>
        <w:spacing w:before="0" w:beforeAutospacing="0" w:after="0" w:afterAutospacing="0"/>
        <w:jc w:val="both"/>
        <w:textAlignment w:val="baseline"/>
        <w:rPr>
          <w:rStyle w:val="Strong"/>
          <w:rFonts w:ascii="Arial" w:hAnsi="Arial" w:cs="Arial"/>
          <w:color w:val="48697D"/>
          <w:sz w:val="22"/>
          <w:szCs w:val="22"/>
          <w:bdr w:val="none" w:sz="0" w:space="0" w:color="auto" w:frame="1"/>
        </w:rPr>
      </w:pPr>
    </w:p>
    <w:p w14:paraId="25035717" w14:textId="5A25239C" w:rsidR="00104C3C" w:rsidRPr="008F3FC3" w:rsidRDefault="00104C3C" w:rsidP="00104C3C">
      <w:pPr>
        <w:pStyle w:val="NormalWeb"/>
        <w:shd w:val="clear" w:color="auto" w:fill="FFFFFF"/>
        <w:spacing w:before="0" w:beforeAutospacing="0" w:after="300" w:afterAutospacing="0" w:line="398" w:lineRule="atLeast"/>
        <w:textAlignment w:val="baseline"/>
        <w:rPr>
          <w:rFonts w:ascii="Arial" w:hAnsi="Arial" w:cs="Arial"/>
          <w:sz w:val="22"/>
          <w:szCs w:val="22"/>
        </w:rPr>
      </w:pPr>
      <w:r w:rsidRPr="008F3FC3">
        <w:rPr>
          <w:rFonts w:ascii="Arial" w:hAnsi="Arial" w:cs="Arial"/>
          <w:sz w:val="22"/>
          <w:szCs w:val="22"/>
        </w:rPr>
        <w:t>On Behalf of the Board of Directors of</w:t>
      </w:r>
    </w:p>
    <w:p w14:paraId="0C30C3C2" w14:textId="77777777" w:rsidR="00104C3C" w:rsidRPr="008F3FC3" w:rsidRDefault="00104C3C" w:rsidP="00104C3C">
      <w:pPr>
        <w:pStyle w:val="NormalWeb"/>
        <w:shd w:val="clear" w:color="auto" w:fill="FFFFFF"/>
        <w:spacing w:before="0" w:beforeAutospacing="0" w:after="0" w:afterAutospacing="0" w:line="398" w:lineRule="atLeast"/>
        <w:textAlignment w:val="baseline"/>
        <w:rPr>
          <w:rFonts w:ascii="Arial" w:hAnsi="Arial" w:cs="Arial"/>
          <w:sz w:val="22"/>
          <w:szCs w:val="22"/>
        </w:rPr>
      </w:pPr>
      <w:r w:rsidRPr="008F3FC3">
        <w:rPr>
          <w:rStyle w:val="Strong"/>
          <w:rFonts w:ascii="Arial" w:hAnsi="Arial" w:cs="Arial"/>
          <w:sz w:val="22"/>
          <w:szCs w:val="22"/>
          <w:bdr w:val="none" w:sz="0" w:space="0" w:color="auto" w:frame="1"/>
        </w:rPr>
        <w:t>NEUTRISCI INTERNATIONAL INC.</w:t>
      </w:r>
      <w:r w:rsidRPr="008F3FC3">
        <w:rPr>
          <w:rFonts w:ascii="Arial" w:hAnsi="Arial" w:cs="Arial"/>
          <w:sz w:val="22"/>
          <w:szCs w:val="22"/>
        </w:rPr>
        <w:br/>
        <w:t>Glen Rehman</w:t>
      </w:r>
      <w:r w:rsidRPr="008F3FC3">
        <w:rPr>
          <w:rFonts w:ascii="Arial" w:hAnsi="Arial" w:cs="Arial"/>
          <w:sz w:val="22"/>
          <w:szCs w:val="22"/>
        </w:rPr>
        <w:br/>
        <w:t>CEO</w:t>
      </w:r>
      <w:r w:rsidRPr="008F3FC3">
        <w:rPr>
          <w:rFonts w:ascii="Arial" w:hAnsi="Arial" w:cs="Arial"/>
          <w:sz w:val="22"/>
          <w:szCs w:val="22"/>
        </w:rPr>
        <w:br/>
        <w:t>Tel: (403) 264-6320</w:t>
      </w:r>
    </w:p>
    <w:p w14:paraId="45D29802" w14:textId="77777777" w:rsidR="00104C3C" w:rsidRPr="00434517" w:rsidRDefault="00104C3C" w:rsidP="00104C3C">
      <w:pPr>
        <w:pStyle w:val="NormalWeb"/>
        <w:shd w:val="clear" w:color="auto" w:fill="FFFFFF"/>
        <w:spacing w:before="0" w:beforeAutospacing="0" w:after="0" w:afterAutospacing="0" w:line="398" w:lineRule="atLeast"/>
        <w:textAlignment w:val="baseline"/>
        <w:rPr>
          <w:rFonts w:ascii="Arial" w:hAnsi="Arial" w:cs="Arial"/>
          <w:color w:val="777777"/>
          <w:sz w:val="22"/>
          <w:szCs w:val="22"/>
        </w:rPr>
      </w:pPr>
      <w:r w:rsidRPr="008F3FC3">
        <w:rPr>
          <w:rFonts w:ascii="Arial" w:hAnsi="Arial" w:cs="Arial"/>
          <w:sz w:val="22"/>
          <w:szCs w:val="22"/>
        </w:rPr>
        <w:t>For investor inquiries, please contact</w:t>
      </w:r>
      <w:r w:rsidRPr="00434517">
        <w:rPr>
          <w:rFonts w:ascii="Arial" w:hAnsi="Arial" w:cs="Arial"/>
          <w:color w:val="777777"/>
          <w:sz w:val="22"/>
          <w:szCs w:val="22"/>
        </w:rPr>
        <w:t> </w:t>
      </w:r>
      <w:hyperlink r:id="rId7" w:history="1">
        <w:r w:rsidRPr="00434517">
          <w:rPr>
            <w:rStyle w:val="Hyperlink"/>
            <w:rFonts w:ascii="Arial" w:hAnsi="Arial" w:cs="Arial"/>
            <w:sz w:val="22"/>
            <w:szCs w:val="22"/>
            <w:bdr w:val="none" w:sz="0" w:space="0" w:color="auto" w:frame="1"/>
          </w:rPr>
          <w:t>investors@neutrisci.com</w:t>
        </w:r>
      </w:hyperlink>
    </w:p>
    <w:p w14:paraId="3B1E56D9" w14:textId="77777777" w:rsidR="00104C3C" w:rsidRDefault="00104C3C" w:rsidP="00104C3C">
      <w:pPr>
        <w:pStyle w:val="NormalWeb"/>
        <w:shd w:val="clear" w:color="auto" w:fill="FFFFFF"/>
        <w:spacing w:before="0" w:beforeAutospacing="0" w:after="0" w:afterAutospacing="0" w:line="398" w:lineRule="atLeast"/>
        <w:textAlignment w:val="baseline"/>
        <w:rPr>
          <w:rStyle w:val="Emphasis"/>
          <w:rFonts w:ascii="Arial" w:hAnsi="Arial" w:cs="Arial"/>
          <w:color w:val="777777"/>
          <w:sz w:val="22"/>
          <w:szCs w:val="22"/>
          <w:bdr w:val="none" w:sz="0" w:space="0" w:color="auto" w:frame="1"/>
        </w:rPr>
      </w:pPr>
    </w:p>
    <w:p w14:paraId="15F69FAC" w14:textId="77777777" w:rsidR="00104C3C" w:rsidRDefault="00104C3C" w:rsidP="00104C3C">
      <w:pPr>
        <w:pStyle w:val="NormalWeb"/>
        <w:shd w:val="clear" w:color="auto" w:fill="FFFFFF"/>
        <w:spacing w:before="0" w:beforeAutospacing="0" w:after="0" w:afterAutospacing="0"/>
        <w:jc w:val="both"/>
        <w:textAlignment w:val="baseline"/>
        <w:rPr>
          <w:rStyle w:val="Emphasis"/>
          <w:rFonts w:ascii="Arial" w:hAnsi="Arial" w:cs="Arial"/>
          <w:sz w:val="22"/>
          <w:szCs w:val="22"/>
          <w:bdr w:val="none" w:sz="0" w:space="0" w:color="auto" w:frame="1"/>
        </w:rPr>
      </w:pPr>
      <w:r w:rsidRPr="008F3FC3">
        <w:rPr>
          <w:rStyle w:val="Emphasis"/>
          <w:rFonts w:ascii="Arial" w:hAnsi="Arial" w:cs="Arial"/>
          <w:sz w:val="22"/>
          <w:szCs w:val="22"/>
          <w:bdr w:val="none" w:sz="0" w:space="0" w:color="auto" w:frame="1"/>
        </w:rPr>
        <w:t>Neither the TSX Venture Exchange nor its Regulation Services Provider (as that term is defined in policies of the TSX Venture Exchange) accept responsibility for the adequacy or accuracy of this release.</w:t>
      </w:r>
    </w:p>
    <w:p w14:paraId="31583EFC" w14:textId="77777777" w:rsidR="00104C3C" w:rsidRPr="008F3FC3" w:rsidRDefault="00104C3C" w:rsidP="00104C3C">
      <w:pPr>
        <w:pStyle w:val="NormalWeb"/>
        <w:shd w:val="clear" w:color="auto" w:fill="FFFFFF"/>
        <w:spacing w:before="0" w:beforeAutospacing="0" w:after="0" w:afterAutospacing="0"/>
        <w:jc w:val="both"/>
        <w:textAlignment w:val="baseline"/>
        <w:rPr>
          <w:rFonts w:ascii="Arial" w:hAnsi="Arial" w:cs="Arial"/>
          <w:sz w:val="22"/>
          <w:szCs w:val="22"/>
        </w:rPr>
      </w:pPr>
    </w:p>
    <w:p w14:paraId="2175178D" w14:textId="77777777" w:rsidR="00104C3C" w:rsidRPr="008F3FC3" w:rsidRDefault="00104C3C" w:rsidP="00104C3C">
      <w:pPr>
        <w:pStyle w:val="NormalWeb"/>
        <w:shd w:val="clear" w:color="auto" w:fill="FFFFFF"/>
        <w:spacing w:before="0" w:beforeAutospacing="0" w:after="0" w:afterAutospacing="0"/>
        <w:jc w:val="both"/>
        <w:textAlignment w:val="baseline"/>
        <w:rPr>
          <w:rFonts w:ascii="Arial" w:hAnsi="Arial" w:cs="Arial"/>
          <w:sz w:val="22"/>
          <w:szCs w:val="22"/>
        </w:rPr>
      </w:pPr>
      <w:r w:rsidRPr="008F3FC3">
        <w:rPr>
          <w:rStyle w:val="Emphasis"/>
          <w:rFonts w:ascii="Arial" w:hAnsi="Arial" w:cs="Arial"/>
          <w:sz w:val="22"/>
          <w:szCs w:val="22"/>
          <w:bdr w:val="none" w:sz="0" w:space="0" w:color="auto" w:frame="1"/>
        </w:rPr>
        <w:t xml:space="preserve">This news release may include forward-looking statements that are subject to risks and uncertainties. All statements within, other than statements of historical fact, are to be considered forward-looking.  Although the Company believes the expectations expressed in such forward-looking statements are based on reasonable assumptions, such statements are not </w:t>
      </w:r>
      <w:proofErr w:type="gramStart"/>
      <w:r w:rsidRPr="008F3FC3">
        <w:rPr>
          <w:rStyle w:val="Emphasis"/>
          <w:rFonts w:ascii="Arial" w:hAnsi="Arial" w:cs="Arial"/>
          <w:sz w:val="22"/>
          <w:szCs w:val="22"/>
          <w:bdr w:val="none" w:sz="0" w:space="0" w:color="auto" w:frame="1"/>
        </w:rPr>
        <w:t>guarantees</w:t>
      </w:r>
      <w:proofErr w:type="gramEnd"/>
      <w:r w:rsidRPr="008F3FC3">
        <w:rPr>
          <w:rStyle w:val="Emphasis"/>
          <w:rFonts w:ascii="Arial" w:hAnsi="Arial" w:cs="Arial"/>
          <w:sz w:val="22"/>
          <w:szCs w:val="22"/>
          <w:bdr w:val="none" w:sz="0" w:space="0" w:color="auto" w:frame="1"/>
        </w:rPr>
        <w:t xml:space="preserve"> of future performance and actual results or developments may differ materially from those in forward-looking statements.  Factors that could cause actual results to differ materially from those in forward-looking statements include market prices, continued availability of capital and financing, and general economic, market or business conditions.  There can be no assurances that such statements will prove accurate and, therefore, readers are advised to rely on their own evaluation of such uncertainties.  We do not assume any obligation to update any forward-looking statements except as required under the applicable laws.</w:t>
      </w:r>
    </w:p>
    <w:p w14:paraId="24153312" w14:textId="77777777" w:rsidR="00104C3C" w:rsidRPr="008F3FC3" w:rsidRDefault="00104C3C" w:rsidP="00104C3C">
      <w:pPr>
        <w:pStyle w:val="NormalWeb"/>
        <w:shd w:val="clear" w:color="auto" w:fill="FFFFFF"/>
        <w:spacing w:before="0" w:beforeAutospacing="0" w:after="0" w:afterAutospacing="0"/>
        <w:jc w:val="both"/>
        <w:textAlignment w:val="baseline"/>
        <w:rPr>
          <w:rStyle w:val="Strong"/>
          <w:rFonts w:ascii="Arial" w:hAnsi="Arial" w:cs="Arial"/>
          <w:sz w:val="22"/>
          <w:szCs w:val="22"/>
          <w:bdr w:val="none" w:sz="0" w:space="0" w:color="auto" w:frame="1"/>
        </w:rPr>
      </w:pPr>
    </w:p>
    <w:p w14:paraId="560B7749" w14:textId="1414D1E1" w:rsidR="005822D5" w:rsidRPr="00434517" w:rsidRDefault="00104C3C" w:rsidP="00104C3C">
      <w:pPr>
        <w:pStyle w:val="NormalWeb"/>
        <w:shd w:val="clear" w:color="auto" w:fill="FFFFFF"/>
        <w:spacing w:before="0" w:beforeAutospacing="0" w:after="0" w:afterAutospacing="0"/>
        <w:jc w:val="both"/>
        <w:textAlignment w:val="baseline"/>
        <w:rPr>
          <w:rFonts w:ascii="Arial" w:hAnsi="Arial" w:cs="Arial"/>
          <w:color w:val="777777"/>
          <w:sz w:val="22"/>
          <w:szCs w:val="22"/>
        </w:rPr>
      </w:pPr>
      <w:r w:rsidRPr="008F3FC3">
        <w:rPr>
          <w:rStyle w:val="Strong"/>
          <w:rFonts w:ascii="Arial" w:hAnsi="Arial" w:cs="Arial"/>
          <w:sz w:val="22"/>
          <w:szCs w:val="22"/>
          <w:bdr w:val="none" w:sz="0" w:space="0" w:color="auto" w:frame="1"/>
        </w:rPr>
        <w:t>Statements in this press release have not been evaluated by the Food and Drug Administration.  Products or ingredients are not intended to diagnose, treat, cure, or prevent any disease.</w:t>
      </w:r>
    </w:p>
    <w:sectPr w:rsidR="005822D5" w:rsidRPr="00434517" w:rsidSect="00104C3C">
      <w:pgSz w:w="12240" w:h="15840"/>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12779D"/>
    <w:multiLevelType w:val="hybridMultilevel"/>
    <w:tmpl w:val="FBF482BA"/>
    <w:lvl w:ilvl="0" w:tplc="053C4F1A">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D206DD9"/>
    <w:multiLevelType w:val="hybridMultilevel"/>
    <w:tmpl w:val="1E4238E6"/>
    <w:lvl w:ilvl="0" w:tplc="D1AAFFB2">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3C1"/>
    <w:rsid w:val="000110B5"/>
    <w:rsid w:val="000118F7"/>
    <w:rsid w:val="000167BF"/>
    <w:rsid w:val="00055356"/>
    <w:rsid w:val="00055C2F"/>
    <w:rsid w:val="00060447"/>
    <w:rsid w:val="00083908"/>
    <w:rsid w:val="00087472"/>
    <w:rsid w:val="000B558F"/>
    <w:rsid w:val="00104C3C"/>
    <w:rsid w:val="00111C80"/>
    <w:rsid w:val="0012340C"/>
    <w:rsid w:val="001308F7"/>
    <w:rsid w:val="001D62B9"/>
    <w:rsid w:val="001E5E94"/>
    <w:rsid w:val="001F0D6B"/>
    <w:rsid w:val="00210501"/>
    <w:rsid w:val="00223570"/>
    <w:rsid w:val="00232AEA"/>
    <w:rsid w:val="00266287"/>
    <w:rsid w:val="002A378E"/>
    <w:rsid w:val="002D687C"/>
    <w:rsid w:val="00322ECF"/>
    <w:rsid w:val="00326E57"/>
    <w:rsid w:val="00335315"/>
    <w:rsid w:val="00346789"/>
    <w:rsid w:val="00353A19"/>
    <w:rsid w:val="00353A79"/>
    <w:rsid w:val="00354E03"/>
    <w:rsid w:val="003D524D"/>
    <w:rsid w:val="00400BB8"/>
    <w:rsid w:val="0042698B"/>
    <w:rsid w:val="00434517"/>
    <w:rsid w:val="00451D23"/>
    <w:rsid w:val="00480FF4"/>
    <w:rsid w:val="004A3158"/>
    <w:rsid w:val="004B4CA4"/>
    <w:rsid w:val="00535080"/>
    <w:rsid w:val="005373C1"/>
    <w:rsid w:val="0054114E"/>
    <w:rsid w:val="005822D5"/>
    <w:rsid w:val="005B07E2"/>
    <w:rsid w:val="005C11E8"/>
    <w:rsid w:val="00615357"/>
    <w:rsid w:val="006254F5"/>
    <w:rsid w:val="00675579"/>
    <w:rsid w:val="00680A21"/>
    <w:rsid w:val="00686DF9"/>
    <w:rsid w:val="006C7A8D"/>
    <w:rsid w:val="006F063B"/>
    <w:rsid w:val="007147C4"/>
    <w:rsid w:val="00745750"/>
    <w:rsid w:val="00755D21"/>
    <w:rsid w:val="00790ACE"/>
    <w:rsid w:val="007A39BB"/>
    <w:rsid w:val="007B6E2E"/>
    <w:rsid w:val="007F5B44"/>
    <w:rsid w:val="0080252A"/>
    <w:rsid w:val="00833C07"/>
    <w:rsid w:val="00833F19"/>
    <w:rsid w:val="00847B4D"/>
    <w:rsid w:val="00875DC6"/>
    <w:rsid w:val="00890C3F"/>
    <w:rsid w:val="008C2D8B"/>
    <w:rsid w:val="00932D2C"/>
    <w:rsid w:val="009E1359"/>
    <w:rsid w:val="00A11C94"/>
    <w:rsid w:val="00A2193C"/>
    <w:rsid w:val="00A347D3"/>
    <w:rsid w:val="00A76C05"/>
    <w:rsid w:val="00AC257D"/>
    <w:rsid w:val="00AD3137"/>
    <w:rsid w:val="00AF394A"/>
    <w:rsid w:val="00AF40D2"/>
    <w:rsid w:val="00B14FDD"/>
    <w:rsid w:val="00B56B18"/>
    <w:rsid w:val="00BA144D"/>
    <w:rsid w:val="00BA7E5C"/>
    <w:rsid w:val="00C039EE"/>
    <w:rsid w:val="00C33683"/>
    <w:rsid w:val="00C50818"/>
    <w:rsid w:val="00C700FF"/>
    <w:rsid w:val="00C71DA0"/>
    <w:rsid w:val="00C76F6A"/>
    <w:rsid w:val="00C774D2"/>
    <w:rsid w:val="00CA5B9C"/>
    <w:rsid w:val="00CC648C"/>
    <w:rsid w:val="00CD3E1B"/>
    <w:rsid w:val="00D00870"/>
    <w:rsid w:val="00D1074D"/>
    <w:rsid w:val="00D1372F"/>
    <w:rsid w:val="00D530FF"/>
    <w:rsid w:val="00DC0662"/>
    <w:rsid w:val="00DE4BAF"/>
    <w:rsid w:val="00E10F1E"/>
    <w:rsid w:val="00E21C84"/>
    <w:rsid w:val="00E24687"/>
    <w:rsid w:val="00E552D4"/>
    <w:rsid w:val="00E97AB4"/>
    <w:rsid w:val="00EA4999"/>
    <w:rsid w:val="00ED2A4D"/>
    <w:rsid w:val="00F45BA4"/>
    <w:rsid w:val="00F5195E"/>
    <w:rsid w:val="00F625C9"/>
    <w:rsid w:val="00F65CE2"/>
    <w:rsid w:val="00FA1B1D"/>
    <w:rsid w:val="00FE005F"/>
    <w:rsid w:val="00FE3F67"/>
    <w:rsid w:val="00FE5FEF"/>
    <w:rsid w:val="00FF69D7"/>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3ACBC"/>
  <w15:chartTrackingRefBased/>
  <w15:docId w15:val="{72D75183-0217-40C0-BDA3-081E8E396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36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5822D5"/>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73C1"/>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5373C1"/>
    <w:rPr>
      <w:b/>
      <w:bCs/>
    </w:rPr>
  </w:style>
  <w:style w:type="character" w:styleId="Hyperlink">
    <w:name w:val="Hyperlink"/>
    <w:basedOn w:val="DefaultParagraphFont"/>
    <w:uiPriority w:val="99"/>
    <w:unhideWhenUsed/>
    <w:rsid w:val="005822D5"/>
    <w:rPr>
      <w:color w:val="0000FF"/>
      <w:u w:val="single"/>
    </w:rPr>
  </w:style>
  <w:style w:type="character" w:styleId="Emphasis">
    <w:name w:val="Emphasis"/>
    <w:basedOn w:val="DefaultParagraphFont"/>
    <w:uiPriority w:val="20"/>
    <w:qFormat/>
    <w:rsid w:val="005822D5"/>
    <w:rPr>
      <w:i/>
      <w:iCs/>
    </w:rPr>
  </w:style>
  <w:style w:type="character" w:customStyle="1" w:styleId="Heading2Char">
    <w:name w:val="Heading 2 Char"/>
    <w:basedOn w:val="DefaultParagraphFont"/>
    <w:link w:val="Heading2"/>
    <w:uiPriority w:val="9"/>
    <w:rsid w:val="005822D5"/>
    <w:rPr>
      <w:rFonts w:ascii="Times New Roman" w:eastAsia="Times New Roman" w:hAnsi="Times New Roman" w:cs="Times New Roman"/>
      <w:b/>
      <w:bCs/>
      <w:sz w:val="36"/>
      <w:szCs w:val="36"/>
      <w:lang w:eastAsia="en-CA"/>
    </w:rPr>
  </w:style>
  <w:style w:type="paragraph" w:styleId="ListParagraph">
    <w:name w:val="List Paragraph"/>
    <w:basedOn w:val="Normal"/>
    <w:uiPriority w:val="34"/>
    <w:qFormat/>
    <w:rsid w:val="001308F7"/>
    <w:pPr>
      <w:ind w:left="720"/>
      <w:contextualSpacing/>
    </w:pPr>
  </w:style>
  <w:style w:type="paragraph" w:styleId="BalloonText">
    <w:name w:val="Balloon Text"/>
    <w:basedOn w:val="Normal"/>
    <w:link w:val="BalloonTextChar"/>
    <w:uiPriority w:val="99"/>
    <w:semiHidden/>
    <w:unhideWhenUsed/>
    <w:rsid w:val="00ED2A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2A4D"/>
    <w:rPr>
      <w:rFonts w:ascii="Segoe UI" w:hAnsi="Segoe UI" w:cs="Segoe UI"/>
      <w:sz w:val="18"/>
      <w:szCs w:val="18"/>
    </w:rPr>
  </w:style>
  <w:style w:type="character" w:customStyle="1" w:styleId="Heading1Char">
    <w:name w:val="Heading 1 Char"/>
    <w:basedOn w:val="DefaultParagraphFont"/>
    <w:link w:val="Heading1"/>
    <w:uiPriority w:val="9"/>
    <w:rsid w:val="00C33683"/>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335315"/>
    <w:rPr>
      <w:color w:val="605E5C"/>
      <w:shd w:val="clear" w:color="auto" w:fill="E1DFDD"/>
    </w:rPr>
  </w:style>
  <w:style w:type="character" w:styleId="CommentReference">
    <w:name w:val="annotation reference"/>
    <w:basedOn w:val="DefaultParagraphFont"/>
    <w:uiPriority w:val="99"/>
    <w:semiHidden/>
    <w:unhideWhenUsed/>
    <w:rsid w:val="000110B5"/>
    <w:rPr>
      <w:sz w:val="16"/>
      <w:szCs w:val="16"/>
    </w:rPr>
  </w:style>
  <w:style w:type="paragraph" w:styleId="CommentText">
    <w:name w:val="annotation text"/>
    <w:basedOn w:val="Normal"/>
    <w:link w:val="CommentTextChar"/>
    <w:uiPriority w:val="99"/>
    <w:semiHidden/>
    <w:unhideWhenUsed/>
    <w:rsid w:val="000110B5"/>
    <w:pPr>
      <w:spacing w:line="240" w:lineRule="auto"/>
    </w:pPr>
    <w:rPr>
      <w:sz w:val="20"/>
      <w:szCs w:val="20"/>
    </w:rPr>
  </w:style>
  <w:style w:type="character" w:customStyle="1" w:styleId="CommentTextChar">
    <w:name w:val="Comment Text Char"/>
    <w:basedOn w:val="DefaultParagraphFont"/>
    <w:link w:val="CommentText"/>
    <w:uiPriority w:val="99"/>
    <w:semiHidden/>
    <w:rsid w:val="000110B5"/>
    <w:rPr>
      <w:sz w:val="20"/>
      <w:szCs w:val="20"/>
    </w:rPr>
  </w:style>
  <w:style w:type="paragraph" w:styleId="CommentSubject">
    <w:name w:val="annotation subject"/>
    <w:basedOn w:val="CommentText"/>
    <w:next w:val="CommentText"/>
    <w:link w:val="CommentSubjectChar"/>
    <w:uiPriority w:val="99"/>
    <w:semiHidden/>
    <w:unhideWhenUsed/>
    <w:rsid w:val="000110B5"/>
    <w:rPr>
      <w:b/>
      <w:bCs/>
    </w:rPr>
  </w:style>
  <w:style w:type="character" w:customStyle="1" w:styleId="CommentSubjectChar">
    <w:name w:val="Comment Subject Char"/>
    <w:basedOn w:val="CommentTextChar"/>
    <w:link w:val="CommentSubject"/>
    <w:uiPriority w:val="99"/>
    <w:semiHidden/>
    <w:rsid w:val="000110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4335611">
      <w:bodyDiv w:val="1"/>
      <w:marLeft w:val="0"/>
      <w:marRight w:val="0"/>
      <w:marTop w:val="0"/>
      <w:marBottom w:val="0"/>
      <w:divBdr>
        <w:top w:val="none" w:sz="0" w:space="0" w:color="auto"/>
        <w:left w:val="none" w:sz="0" w:space="0" w:color="auto"/>
        <w:bottom w:val="none" w:sz="0" w:space="0" w:color="auto"/>
        <w:right w:val="none" w:sz="0" w:space="0" w:color="auto"/>
      </w:divBdr>
    </w:div>
    <w:div w:id="325399452">
      <w:bodyDiv w:val="1"/>
      <w:marLeft w:val="0"/>
      <w:marRight w:val="0"/>
      <w:marTop w:val="0"/>
      <w:marBottom w:val="0"/>
      <w:divBdr>
        <w:top w:val="none" w:sz="0" w:space="0" w:color="auto"/>
        <w:left w:val="none" w:sz="0" w:space="0" w:color="auto"/>
        <w:bottom w:val="none" w:sz="0" w:space="0" w:color="auto"/>
        <w:right w:val="none" w:sz="0" w:space="0" w:color="auto"/>
      </w:divBdr>
    </w:div>
    <w:div w:id="487401782">
      <w:bodyDiv w:val="1"/>
      <w:marLeft w:val="0"/>
      <w:marRight w:val="0"/>
      <w:marTop w:val="0"/>
      <w:marBottom w:val="0"/>
      <w:divBdr>
        <w:top w:val="none" w:sz="0" w:space="0" w:color="auto"/>
        <w:left w:val="none" w:sz="0" w:space="0" w:color="auto"/>
        <w:bottom w:val="none" w:sz="0" w:space="0" w:color="auto"/>
        <w:right w:val="none" w:sz="0" w:space="0" w:color="auto"/>
      </w:divBdr>
    </w:div>
    <w:div w:id="970282504">
      <w:bodyDiv w:val="1"/>
      <w:marLeft w:val="0"/>
      <w:marRight w:val="0"/>
      <w:marTop w:val="0"/>
      <w:marBottom w:val="0"/>
      <w:divBdr>
        <w:top w:val="none" w:sz="0" w:space="0" w:color="auto"/>
        <w:left w:val="none" w:sz="0" w:space="0" w:color="auto"/>
        <w:bottom w:val="none" w:sz="0" w:space="0" w:color="auto"/>
        <w:right w:val="none" w:sz="0" w:space="0" w:color="auto"/>
      </w:divBdr>
    </w:div>
    <w:div w:id="1182890264">
      <w:bodyDiv w:val="1"/>
      <w:marLeft w:val="0"/>
      <w:marRight w:val="0"/>
      <w:marTop w:val="0"/>
      <w:marBottom w:val="0"/>
      <w:divBdr>
        <w:top w:val="none" w:sz="0" w:space="0" w:color="auto"/>
        <w:left w:val="none" w:sz="0" w:space="0" w:color="auto"/>
        <w:bottom w:val="none" w:sz="0" w:space="0" w:color="auto"/>
        <w:right w:val="none" w:sz="0" w:space="0" w:color="auto"/>
      </w:divBdr>
    </w:div>
    <w:div w:id="1258706978">
      <w:bodyDiv w:val="1"/>
      <w:marLeft w:val="0"/>
      <w:marRight w:val="0"/>
      <w:marTop w:val="0"/>
      <w:marBottom w:val="0"/>
      <w:divBdr>
        <w:top w:val="none" w:sz="0" w:space="0" w:color="auto"/>
        <w:left w:val="none" w:sz="0" w:space="0" w:color="auto"/>
        <w:bottom w:val="none" w:sz="0" w:space="0" w:color="auto"/>
        <w:right w:val="none" w:sz="0" w:space="0" w:color="auto"/>
      </w:divBdr>
    </w:div>
    <w:div w:id="1430275903">
      <w:bodyDiv w:val="1"/>
      <w:marLeft w:val="0"/>
      <w:marRight w:val="0"/>
      <w:marTop w:val="0"/>
      <w:marBottom w:val="0"/>
      <w:divBdr>
        <w:top w:val="none" w:sz="0" w:space="0" w:color="auto"/>
        <w:left w:val="none" w:sz="0" w:space="0" w:color="auto"/>
        <w:bottom w:val="none" w:sz="0" w:space="0" w:color="auto"/>
        <w:right w:val="none" w:sz="0" w:space="0" w:color="auto"/>
      </w:divBdr>
    </w:div>
    <w:div w:id="1719932377">
      <w:bodyDiv w:val="1"/>
      <w:marLeft w:val="0"/>
      <w:marRight w:val="0"/>
      <w:marTop w:val="0"/>
      <w:marBottom w:val="0"/>
      <w:divBdr>
        <w:top w:val="none" w:sz="0" w:space="0" w:color="auto"/>
        <w:left w:val="none" w:sz="0" w:space="0" w:color="auto"/>
        <w:bottom w:val="none" w:sz="0" w:space="0" w:color="auto"/>
        <w:right w:val="none" w:sz="0" w:space="0" w:color="auto"/>
      </w:divBdr>
    </w:div>
    <w:div w:id="208217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vestors@neutrisc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eutrisci.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712</Words>
  <Characters>4062</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Rehman</dc:creator>
  <cp:keywords/>
  <dc:description/>
  <cp:lastModifiedBy>G Rehman</cp:lastModifiedBy>
  <cp:revision>2</cp:revision>
  <dcterms:created xsi:type="dcterms:W3CDTF">2021-03-07T23:08:00Z</dcterms:created>
  <dcterms:modified xsi:type="dcterms:W3CDTF">2021-03-07T23:08:00Z</dcterms:modified>
</cp:coreProperties>
</file>