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43F6963" w14:textId="77777777" w:rsidR="004F4CFE" w:rsidRDefault="00224173" w:rsidP="004847DC">
      <w:pPr>
        <w:tabs>
          <w:tab w:val="right" w:pos="6521"/>
          <w:tab w:val="right" w:pos="9779"/>
        </w:tabs>
        <w:jc w:val="right"/>
        <w:rPr>
          <w:b/>
          <w:color w:val="595959"/>
          <w:sz w:val="28"/>
          <w:szCs w:val="28"/>
        </w:rPr>
      </w:pPr>
    </w:p>
    <w:p w14:paraId="1FBAD8B4" w14:textId="77777777" w:rsidR="00A52D16" w:rsidRPr="00CD2024" w:rsidRDefault="0090665A" w:rsidP="004847DC">
      <w:pPr>
        <w:tabs>
          <w:tab w:val="right" w:pos="6521"/>
          <w:tab w:val="right" w:pos="9779"/>
        </w:tabs>
        <w:jc w:val="right"/>
        <w:rPr>
          <w:b/>
          <w:color w:val="595959"/>
          <w:sz w:val="28"/>
          <w:szCs w:val="28"/>
        </w:rPr>
      </w:pPr>
      <w:r w:rsidRPr="00CD2024">
        <w:rPr>
          <w:b/>
          <w:color w:val="595959"/>
          <w:sz w:val="28"/>
          <w:szCs w:val="28"/>
        </w:rPr>
        <w:t>NEWS RELEASE</w:t>
      </w:r>
    </w:p>
    <w:p w14:paraId="5E182DC8" w14:textId="77777777" w:rsidR="00A52D16" w:rsidRPr="00CD2024" w:rsidRDefault="00224173" w:rsidP="00A52D16">
      <w:pPr>
        <w:rPr>
          <w:color w:val="595959"/>
        </w:rPr>
      </w:pPr>
    </w:p>
    <w:p w14:paraId="60A13AEE" w14:textId="77777777" w:rsidR="003460F1" w:rsidRDefault="0090665A" w:rsidP="003460F1">
      <w:pPr>
        <w:tabs>
          <w:tab w:val="right" w:pos="10065"/>
        </w:tabs>
        <w:jc w:val="left"/>
        <w:rPr>
          <w:b/>
        </w:rPr>
      </w:pPr>
      <w:r w:rsidRPr="00CD2024">
        <w:rPr>
          <w:b/>
        </w:rPr>
        <w:t xml:space="preserve">March </w:t>
      </w:r>
      <w:r w:rsidRPr="000D19F7">
        <w:rPr>
          <w:b/>
        </w:rPr>
        <w:t>16</w:t>
      </w:r>
      <w:r w:rsidRPr="00CD2024">
        <w:rPr>
          <w:b/>
        </w:rPr>
        <w:t xml:space="preserve">, 2021 </w:t>
      </w:r>
      <w:r>
        <w:rPr>
          <w:b/>
        </w:rPr>
        <w:tab/>
      </w:r>
      <w:r w:rsidRPr="00CD2024">
        <w:rPr>
          <w:b/>
        </w:rPr>
        <w:t>TSX:JAG</w:t>
      </w:r>
      <w:r>
        <w:rPr>
          <w:b/>
        </w:rPr>
        <w:t xml:space="preserve"> </w:t>
      </w:r>
    </w:p>
    <w:p w14:paraId="245E9E2B" w14:textId="77777777" w:rsidR="003460F1" w:rsidRPr="00CD2024" w:rsidRDefault="0090665A" w:rsidP="003460F1">
      <w:pPr>
        <w:tabs>
          <w:tab w:val="right" w:pos="10065"/>
        </w:tabs>
        <w:jc w:val="left"/>
        <w:rPr>
          <w:b/>
        </w:rPr>
      </w:pPr>
      <w:r w:rsidRPr="00CD2024">
        <w:rPr>
          <w:b/>
        </w:rPr>
        <w:t>FOR IMMEDIATE RELEASE</w:t>
      </w:r>
      <w:r w:rsidRPr="00500F85">
        <w:rPr>
          <w:b/>
        </w:rPr>
        <w:t xml:space="preserve"> </w:t>
      </w:r>
      <w:r>
        <w:rPr>
          <w:b/>
        </w:rPr>
        <w:tab/>
        <w:t>OTCQX:JAGGF</w:t>
      </w:r>
    </w:p>
    <w:p w14:paraId="5CE6AC10" w14:textId="77777777" w:rsidR="005248BC" w:rsidRPr="00AC5FF7" w:rsidRDefault="00224173"/>
    <w:p w14:paraId="1863D6DA" w14:textId="77777777" w:rsidR="0074651B" w:rsidRDefault="0090665A" w:rsidP="0074651B">
      <w:pPr>
        <w:spacing w:line="276" w:lineRule="auto"/>
        <w:ind w:right="-284"/>
        <w:jc w:val="center"/>
        <w:rPr>
          <w:b/>
          <w:sz w:val="28"/>
          <w:szCs w:val="28"/>
        </w:rPr>
      </w:pPr>
      <w:r w:rsidRPr="0006083E">
        <w:rPr>
          <w:b/>
          <w:sz w:val="28"/>
          <w:szCs w:val="28"/>
        </w:rPr>
        <w:t xml:space="preserve">Jaguar Mining Announces Sale of CentroGold Royalty </w:t>
      </w:r>
      <w:r>
        <w:rPr>
          <w:b/>
          <w:sz w:val="28"/>
          <w:szCs w:val="28"/>
        </w:rPr>
        <w:t xml:space="preserve">to </w:t>
      </w:r>
    </w:p>
    <w:p w14:paraId="49363865" w14:textId="77777777" w:rsidR="00E45D49" w:rsidRPr="0006083E" w:rsidRDefault="0090665A" w:rsidP="0074651B">
      <w:pPr>
        <w:spacing w:line="276" w:lineRule="auto"/>
        <w:ind w:right="-284"/>
        <w:jc w:val="center"/>
        <w:rPr>
          <w:b/>
          <w:sz w:val="28"/>
          <w:szCs w:val="28"/>
        </w:rPr>
      </w:pPr>
      <w:r>
        <w:rPr>
          <w:b/>
          <w:sz w:val="28"/>
          <w:szCs w:val="28"/>
        </w:rPr>
        <w:t xml:space="preserve">Metalla Royalty &amp; Streaming </w:t>
      </w:r>
      <w:r w:rsidRPr="0006083E">
        <w:rPr>
          <w:b/>
          <w:sz w:val="28"/>
          <w:szCs w:val="28"/>
        </w:rPr>
        <w:t>for up to US$18M</w:t>
      </w:r>
    </w:p>
    <w:p w14:paraId="401E544E" w14:textId="77777777" w:rsidR="005248BC" w:rsidRPr="00AC5FF7" w:rsidRDefault="0090665A" w:rsidP="000F5234">
      <w:pPr>
        <w:ind w:right="-284"/>
        <w:jc w:val="center"/>
      </w:pPr>
      <w:r w:rsidRPr="00AC5FF7">
        <w:t>__________________________________________________________________________________________</w:t>
      </w:r>
    </w:p>
    <w:p w14:paraId="66951777" w14:textId="77777777" w:rsidR="005248BC" w:rsidRPr="00AC5FF7" w:rsidRDefault="00224173">
      <w:pPr>
        <w:widowControl/>
        <w:pBdr>
          <w:top w:val="nil"/>
          <w:left w:val="nil"/>
          <w:bottom w:val="nil"/>
          <w:right w:val="nil"/>
          <w:between w:val="nil"/>
        </w:pBdr>
      </w:pPr>
    </w:p>
    <w:p w14:paraId="00B215FD" w14:textId="77777777" w:rsidR="003460F1" w:rsidRPr="00A1257A" w:rsidRDefault="0090665A" w:rsidP="003460F1">
      <w:pPr>
        <w:widowControl/>
        <w:pBdr>
          <w:top w:val="nil"/>
          <w:left w:val="nil"/>
          <w:bottom w:val="nil"/>
          <w:right w:val="nil"/>
          <w:between w:val="nil"/>
        </w:pBdr>
        <w:spacing w:line="276" w:lineRule="auto"/>
        <w:rPr>
          <w:color w:val="000000"/>
          <w:lang w:val="en-US"/>
        </w:rPr>
      </w:pPr>
      <w:r w:rsidRPr="00AC5FF7">
        <w:rPr>
          <w:b/>
        </w:rPr>
        <w:t>Toronto</w:t>
      </w:r>
      <w:r w:rsidRPr="000D19F7">
        <w:rPr>
          <w:b/>
        </w:rPr>
        <w:t xml:space="preserve">, March 16, 2021 </w:t>
      </w:r>
      <w:r w:rsidRPr="00AC5FF7">
        <w:rPr>
          <w:b/>
        </w:rPr>
        <w:t>– Jaguar Mining Inc. ("Jaguar" or the "Company") (TSX:JAG</w:t>
      </w:r>
      <w:r>
        <w:rPr>
          <w:b/>
        </w:rPr>
        <w:t>, OTCQX:JAGGF</w:t>
      </w:r>
      <w:r w:rsidRPr="00AC5FF7">
        <w:rPr>
          <w:b/>
        </w:rPr>
        <w:t>)</w:t>
      </w:r>
      <w:r>
        <w:rPr>
          <w:b/>
        </w:rPr>
        <w:t xml:space="preserve"> </w:t>
      </w:r>
      <w:r w:rsidRPr="003460F1">
        <w:rPr>
          <w:bCs/>
        </w:rPr>
        <w:t xml:space="preserve">is pleased to announce </w:t>
      </w:r>
      <w:r>
        <w:rPr>
          <w:bCs/>
          <w:color w:val="000000"/>
          <w:lang w:val="en-US"/>
        </w:rPr>
        <w:t xml:space="preserve">that it has </w:t>
      </w:r>
      <w:r w:rsidRPr="003460F1">
        <w:rPr>
          <w:color w:val="000000"/>
          <w:lang w:val="en-US"/>
        </w:rPr>
        <w:t xml:space="preserve">entered into </w:t>
      </w:r>
      <w:r>
        <w:rPr>
          <w:color w:val="000000"/>
          <w:lang w:val="en-US"/>
        </w:rPr>
        <w:t xml:space="preserve">a </w:t>
      </w:r>
      <w:r w:rsidRPr="003460F1">
        <w:rPr>
          <w:color w:val="000000"/>
          <w:lang w:val="en-US"/>
        </w:rPr>
        <w:t xml:space="preserve">Definitive Agreement </w:t>
      </w:r>
      <w:r>
        <w:rPr>
          <w:color w:val="000000"/>
          <w:lang w:val="en-US"/>
        </w:rPr>
        <w:t xml:space="preserve">with </w:t>
      </w:r>
      <w:r w:rsidRPr="003460F1">
        <w:rPr>
          <w:color w:val="000000"/>
          <w:lang w:val="en-US"/>
        </w:rPr>
        <w:t xml:space="preserve">Metalla Royalty &amp; Streaming Ltd. </w:t>
      </w:r>
      <w:r>
        <w:rPr>
          <w:color w:val="000000"/>
          <w:lang w:val="en-US"/>
        </w:rPr>
        <w:t xml:space="preserve">(NYSE/TSXV:MTA) </w:t>
      </w:r>
      <w:r w:rsidRPr="003460F1">
        <w:rPr>
          <w:color w:val="000000"/>
          <w:lang w:val="en-US"/>
        </w:rPr>
        <w:t xml:space="preserve">(“Metalla”) </w:t>
      </w:r>
      <w:r>
        <w:rPr>
          <w:color w:val="000000"/>
          <w:lang w:val="en-US"/>
        </w:rPr>
        <w:t>for the sale of the Company’s N</w:t>
      </w:r>
      <w:r w:rsidRPr="003460F1">
        <w:rPr>
          <w:bCs/>
          <w:color w:val="000000"/>
          <w:lang w:val="en-US"/>
        </w:rPr>
        <w:t xml:space="preserve">et </w:t>
      </w:r>
      <w:r>
        <w:rPr>
          <w:bCs/>
          <w:color w:val="000000"/>
          <w:lang w:val="en-US"/>
        </w:rPr>
        <w:t>S</w:t>
      </w:r>
      <w:r w:rsidRPr="003460F1">
        <w:rPr>
          <w:bCs/>
          <w:color w:val="000000"/>
          <w:lang w:val="en-US"/>
        </w:rPr>
        <w:t xml:space="preserve">melter </w:t>
      </w:r>
      <w:r>
        <w:rPr>
          <w:bCs/>
          <w:color w:val="000000"/>
          <w:lang w:val="en-US"/>
        </w:rPr>
        <w:t>R</w:t>
      </w:r>
      <w:r w:rsidRPr="003460F1">
        <w:rPr>
          <w:bCs/>
          <w:color w:val="000000"/>
          <w:lang w:val="en-US"/>
        </w:rPr>
        <w:t xml:space="preserve">eturn </w:t>
      </w:r>
      <w:r>
        <w:rPr>
          <w:bCs/>
          <w:color w:val="000000"/>
          <w:lang w:val="en-US"/>
        </w:rPr>
        <w:t xml:space="preserve">(“NSR”) royalty </w:t>
      </w:r>
      <w:r w:rsidRPr="003460F1">
        <w:rPr>
          <w:bCs/>
          <w:color w:val="000000"/>
          <w:lang w:val="en-US"/>
        </w:rPr>
        <w:t xml:space="preserve">from </w:t>
      </w:r>
      <w:r>
        <w:rPr>
          <w:bCs/>
          <w:color w:val="000000"/>
          <w:lang w:val="en-US"/>
        </w:rPr>
        <w:t xml:space="preserve">gold </w:t>
      </w:r>
      <w:r w:rsidRPr="003460F1">
        <w:rPr>
          <w:bCs/>
          <w:color w:val="000000"/>
          <w:lang w:val="en-US"/>
        </w:rPr>
        <w:t xml:space="preserve">production at </w:t>
      </w:r>
      <w:r>
        <w:rPr>
          <w:bCs/>
          <w:color w:val="000000"/>
          <w:lang w:val="en-US"/>
        </w:rPr>
        <w:t xml:space="preserve">the </w:t>
      </w:r>
      <w:r w:rsidRPr="003460F1">
        <w:rPr>
          <w:bCs/>
          <w:color w:val="000000"/>
          <w:lang w:val="en-US"/>
        </w:rPr>
        <w:t>CentroGold</w:t>
      </w:r>
      <w:r>
        <w:rPr>
          <w:bCs/>
          <w:color w:val="000000"/>
          <w:lang w:val="en-US"/>
        </w:rPr>
        <w:t xml:space="preserve"> Project</w:t>
      </w:r>
      <w:r w:rsidRPr="003460F1">
        <w:rPr>
          <w:bCs/>
          <w:color w:val="000000"/>
          <w:lang w:val="en-US"/>
        </w:rPr>
        <w:t xml:space="preserve"> (also referred to as </w:t>
      </w:r>
      <w:r>
        <w:rPr>
          <w:bCs/>
          <w:color w:val="000000"/>
          <w:lang w:val="en-US"/>
        </w:rPr>
        <w:t xml:space="preserve">the </w:t>
      </w:r>
      <w:r w:rsidRPr="003460F1">
        <w:rPr>
          <w:bCs/>
          <w:color w:val="000000"/>
          <w:lang w:val="en-US"/>
        </w:rPr>
        <w:t xml:space="preserve">Gurupi </w:t>
      </w:r>
      <w:r>
        <w:rPr>
          <w:bCs/>
          <w:color w:val="000000"/>
          <w:lang w:val="en-US"/>
        </w:rPr>
        <w:t>P</w:t>
      </w:r>
      <w:r w:rsidRPr="003460F1">
        <w:rPr>
          <w:bCs/>
          <w:color w:val="000000"/>
          <w:lang w:val="en-US"/>
        </w:rPr>
        <w:t>roject)</w:t>
      </w:r>
      <w:r>
        <w:rPr>
          <w:bCs/>
          <w:color w:val="000000"/>
          <w:lang w:val="en-US"/>
        </w:rPr>
        <w:t xml:space="preserve"> located in Maranhão State, Brazil.</w:t>
      </w:r>
      <w:r>
        <w:rPr>
          <w:color w:val="000000"/>
          <w:lang w:val="en-US"/>
        </w:rPr>
        <w:t xml:space="preserve">  The</w:t>
      </w:r>
      <w:r w:rsidRPr="003460F1">
        <w:rPr>
          <w:color w:val="000000"/>
          <w:lang w:val="en-US"/>
        </w:rPr>
        <w:t xml:space="preserve"> Company </w:t>
      </w:r>
      <w:r>
        <w:rPr>
          <w:color w:val="000000"/>
          <w:lang w:val="en-US"/>
        </w:rPr>
        <w:t xml:space="preserve">has </w:t>
      </w:r>
      <w:r w:rsidRPr="003460F1">
        <w:rPr>
          <w:color w:val="000000"/>
          <w:lang w:val="en-US"/>
        </w:rPr>
        <w:t xml:space="preserve">agreed </w:t>
      </w:r>
      <w:r>
        <w:rPr>
          <w:color w:val="000000"/>
          <w:lang w:val="en-US"/>
        </w:rPr>
        <w:t>that it</w:t>
      </w:r>
      <w:r w:rsidRPr="003460F1">
        <w:rPr>
          <w:color w:val="000000"/>
          <w:lang w:val="en-US"/>
        </w:rPr>
        <w:t xml:space="preserve"> will sell, transfer and assign to Metalla all of </w:t>
      </w:r>
      <w:r>
        <w:rPr>
          <w:color w:val="000000"/>
          <w:lang w:val="en-US"/>
        </w:rPr>
        <w:t>the Company’s</w:t>
      </w:r>
      <w:r w:rsidRPr="003460F1">
        <w:rPr>
          <w:color w:val="000000"/>
          <w:lang w:val="en-US"/>
        </w:rPr>
        <w:t xml:space="preserve"> right, title and interest in and to the </w:t>
      </w:r>
      <w:r>
        <w:rPr>
          <w:color w:val="000000"/>
          <w:lang w:val="en-US"/>
        </w:rPr>
        <w:t xml:space="preserve">NSR for </w:t>
      </w:r>
      <w:r w:rsidRPr="003460F1">
        <w:rPr>
          <w:color w:val="000000"/>
        </w:rPr>
        <w:t>an aggregate purchase consideration valued at up to US$18,000,000</w:t>
      </w:r>
      <w:r>
        <w:rPr>
          <w:color w:val="000000"/>
        </w:rPr>
        <w:t>.</w:t>
      </w:r>
    </w:p>
    <w:p w14:paraId="4B0231A6" w14:textId="77777777" w:rsidR="003460F1" w:rsidRDefault="00224173" w:rsidP="003460F1">
      <w:pPr>
        <w:spacing w:line="276" w:lineRule="auto"/>
        <w:rPr>
          <w:color w:val="000000"/>
        </w:rPr>
      </w:pPr>
    </w:p>
    <w:p w14:paraId="2E3783A0" w14:textId="77777777" w:rsidR="003460F1" w:rsidRPr="003460F1" w:rsidRDefault="0090665A" w:rsidP="003460F1">
      <w:pPr>
        <w:widowControl/>
        <w:pBdr>
          <w:top w:val="nil"/>
          <w:left w:val="nil"/>
          <w:bottom w:val="nil"/>
          <w:right w:val="nil"/>
          <w:between w:val="nil"/>
        </w:pBdr>
        <w:spacing w:line="276" w:lineRule="auto"/>
        <w:rPr>
          <w:bCs/>
          <w:color w:val="000000"/>
          <w:lang w:val="en-US"/>
        </w:rPr>
      </w:pPr>
      <w:r w:rsidRPr="00FB67B0">
        <w:rPr>
          <w:bCs/>
          <w:color w:val="000000"/>
          <w:lang w:val="en-US"/>
        </w:rPr>
        <w:t xml:space="preserve">Jaguar retained </w:t>
      </w:r>
      <w:r>
        <w:rPr>
          <w:bCs/>
          <w:color w:val="000000"/>
          <w:lang w:val="en-US"/>
        </w:rPr>
        <w:t xml:space="preserve">the </w:t>
      </w:r>
      <w:r w:rsidRPr="00FB67B0">
        <w:rPr>
          <w:bCs/>
          <w:color w:val="000000"/>
          <w:lang w:val="en-US"/>
        </w:rPr>
        <w:t xml:space="preserve">NSR when </w:t>
      </w:r>
      <w:r>
        <w:rPr>
          <w:bCs/>
          <w:color w:val="000000"/>
          <w:lang w:val="en-US"/>
        </w:rPr>
        <w:t>the Company</w:t>
      </w:r>
      <w:r w:rsidRPr="00FB67B0">
        <w:rPr>
          <w:bCs/>
          <w:color w:val="000000"/>
          <w:lang w:val="en-US"/>
        </w:rPr>
        <w:t xml:space="preserve"> sold the Gurupi </w:t>
      </w:r>
      <w:r>
        <w:rPr>
          <w:bCs/>
          <w:color w:val="000000"/>
          <w:lang w:val="en-US"/>
        </w:rPr>
        <w:t>P</w:t>
      </w:r>
      <w:r w:rsidRPr="00FB67B0">
        <w:rPr>
          <w:bCs/>
          <w:color w:val="000000"/>
          <w:lang w:val="en-US"/>
        </w:rPr>
        <w:t xml:space="preserve">roject to Avanco Resources Limited </w:t>
      </w:r>
      <w:r>
        <w:rPr>
          <w:bCs/>
          <w:color w:val="000000"/>
          <w:lang w:val="en-US"/>
        </w:rPr>
        <w:t xml:space="preserve">(“Avanco”) </w:t>
      </w:r>
      <w:r w:rsidRPr="00FB67B0">
        <w:rPr>
          <w:bCs/>
          <w:color w:val="000000"/>
          <w:lang w:val="en-US"/>
        </w:rPr>
        <w:t xml:space="preserve">(refer to </w:t>
      </w:r>
      <w:r>
        <w:rPr>
          <w:bCs/>
          <w:color w:val="000000"/>
          <w:lang w:val="en-US"/>
        </w:rPr>
        <w:t xml:space="preserve">the Company’s </w:t>
      </w:r>
      <w:r w:rsidRPr="00FB67B0">
        <w:rPr>
          <w:bCs/>
          <w:color w:val="000000"/>
          <w:lang w:val="en-US"/>
        </w:rPr>
        <w:t>news release October 31, 2017)</w:t>
      </w:r>
      <w:r>
        <w:rPr>
          <w:bCs/>
          <w:color w:val="000000"/>
          <w:lang w:val="en-US"/>
        </w:rPr>
        <w:t xml:space="preserve">.  </w:t>
      </w:r>
      <w:r w:rsidRPr="00FB67B0">
        <w:rPr>
          <w:bCs/>
          <w:color w:val="000000"/>
          <w:lang w:val="en-US"/>
        </w:rPr>
        <w:t xml:space="preserve">Avanco was subsequently acquired by Oz Minerals </w:t>
      </w:r>
      <w:r>
        <w:rPr>
          <w:bCs/>
          <w:color w:val="000000"/>
          <w:lang w:val="en-US"/>
        </w:rPr>
        <w:t xml:space="preserve">Limited (ASX:OZL) </w:t>
      </w:r>
      <w:r w:rsidRPr="00FB67B0">
        <w:rPr>
          <w:bCs/>
          <w:color w:val="000000"/>
          <w:lang w:val="en-US"/>
        </w:rPr>
        <w:t xml:space="preserve">in March 2018. The </w:t>
      </w:r>
      <w:r>
        <w:rPr>
          <w:bCs/>
          <w:color w:val="000000"/>
          <w:lang w:val="en-US"/>
        </w:rPr>
        <w:t>NSR</w:t>
      </w:r>
      <w:r w:rsidRPr="00FB67B0">
        <w:rPr>
          <w:bCs/>
          <w:color w:val="000000"/>
          <w:lang w:val="en-US"/>
        </w:rPr>
        <w:t xml:space="preserve"> is comprised of a 1% net smelter return on the first 500,000 ounces of gold </w:t>
      </w:r>
      <w:r>
        <w:rPr>
          <w:bCs/>
          <w:color w:val="000000"/>
          <w:lang w:val="en-US"/>
        </w:rPr>
        <w:t>sold</w:t>
      </w:r>
      <w:r w:rsidRPr="00FB67B0">
        <w:rPr>
          <w:bCs/>
          <w:color w:val="000000"/>
          <w:lang w:val="en-US"/>
        </w:rPr>
        <w:t>, a 2</w:t>
      </w:r>
      <w:r w:rsidRPr="003460F1">
        <w:rPr>
          <w:bCs/>
          <w:color w:val="000000"/>
          <w:lang w:val="en-US"/>
        </w:rPr>
        <w:t xml:space="preserve">% net smelter return from 500,001 to 1,500,000 ounces of gold, and a 1% net smelter return on gold sales exceeding 1,500,000 ounces of gold. </w:t>
      </w:r>
    </w:p>
    <w:p w14:paraId="22C159A8" w14:textId="77777777" w:rsidR="003460F1" w:rsidRDefault="00224173" w:rsidP="003460F1">
      <w:pPr>
        <w:widowControl/>
        <w:pBdr>
          <w:top w:val="nil"/>
          <w:left w:val="nil"/>
          <w:bottom w:val="nil"/>
          <w:right w:val="nil"/>
          <w:between w:val="nil"/>
        </w:pBdr>
        <w:spacing w:line="276" w:lineRule="auto"/>
        <w:rPr>
          <w:bCs/>
          <w:color w:val="000000"/>
          <w:lang w:val="en-US"/>
        </w:rPr>
      </w:pPr>
    </w:p>
    <w:p w14:paraId="6E995546" w14:textId="77777777" w:rsidR="0015416A" w:rsidRPr="0015416A" w:rsidRDefault="0090665A" w:rsidP="0006083E">
      <w:pPr>
        <w:widowControl/>
        <w:pBdr>
          <w:top w:val="nil"/>
          <w:left w:val="nil"/>
          <w:bottom w:val="nil"/>
          <w:right w:val="nil"/>
          <w:between w:val="nil"/>
        </w:pBdr>
        <w:spacing w:line="276" w:lineRule="auto"/>
        <w:rPr>
          <w:color w:val="000000"/>
          <w:u w:val="single"/>
          <w:lang w:val="en-US"/>
        </w:rPr>
      </w:pPr>
      <w:r w:rsidRPr="0015416A">
        <w:rPr>
          <w:color w:val="000000"/>
          <w:u w:val="single"/>
          <w:lang w:val="en-US"/>
        </w:rPr>
        <w:t>Transaction Structure</w:t>
      </w:r>
    </w:p>
    <w:p w14:paraId="0B695711" w14:textId="77777777" w:rsidR="0006083E" w:rsidRPr="003460F1" w:rsidRDefault="0090665A" w:rsidP="0006083E">
      <w:pPr>
        <w:widowControl/>
        <w:pBdr>
          <w:top w:val="nil"/>
          <w:left w:val="nil"/>
          <w:bottom w:val="nil"/>
          <w:right w:val="nil"/>
          <w:between w:val="nil"/>
        </w:pBdr>
        <w:spacing w:line="276" w:lineRule="auto"/>
        <w:rPr>
          <w:color w:val="000000"/>
        </w:rPr>
      </w:pPr>
      <w:r>
        <w:rPr>
          <w:color w:val="000000"/>
          <w:lang w:val="en-US"/>
        </w:rPr>
        <w:t xml:space="preserve"> </w:t>
      </w:r>
    </w:p>
    <w:p w14:paraId="633DEBBC" w14:textId="4E277F86" w:rsidR="0015416A" w:rsidRDefault="0090665A" w:rsidP="0015416A">
      <w:pPr>
        <w:widowControl/>
        <w:spacing w:line="276" w:lineRule="auto"/>
        <w:rPr>
          <w:color w:val="000000"/>
          <w:lang w:val="en-US"/>
        </w:rPr>
      </w:pPr>
      <w:r>
        <w:rPr>
          <w:color w:val="000000"/>
          <w:lang w:val="en-US"/>
        </w:rPr>
        <w:t xml:space="preserve">Jaguar has agreed to sell the Royalty to Metalla for total consideration of up to US$18 million that includes an upfront payment of US$7 million in cash upon closing, and an additional </w:t>
      </w:r>
      <w:r w:rsidR="00765FD9">
        <w:rPr>
          <w:color w:val="000000"/>
          <w:lang w:val="en-US"/>
        </w:rPr>
        <w:t>US</w:t>
      </w:r>
      <w:r>
        <w:rPr>
          <w:color w:val="000000"/>
          <w:lang w:val="en-US"/>
        </w:rPr>
        <w:t xml:space="preserve">$11 million upon achievement of two milestones relating to the CentroGold Project. </w:t>
      </w:r>
    </w:p>
    <w:p w14:paraId="59896CDA" w14:textId="77777777" w:rsidR="0015416A" w:rsidRDefault="00224173" w:rsidP="0015416A">
      <w:pPr>
        <w:widowControl/>
        <w:spacing w:line="276" w:lineRule="auto"/>
        <w:rPr>
          <w:color w:val="000000"/>
          <w:lang w:val="en-US"/>
        </w:rPr>
      </w:pPr>
    </w:p>
    <w:p w14:paraId="0821D412" w14:textId="77777777" w:rsidR="0015416A" w:rsidRDefault="0090665A" w:rsidP="0015416A">
      <w:pPr>
        <w:widowControl/>
        <w:spacing w:line="276" w:lineRule="auto"/>
        <w:rPr>
          <w:color w:val="000000"/>
        </w:rPr>
      </w:pPr>
      <w:r>
        <w:rPr>
          <w:color w:val="000000"/>
          <w:lang w:val="en-US"/>
        </w:rPr>
        <w:t>The first milestone will be triggered upon grant of all project licenses, the lifting or extinguishment of the injunction imposed on the CentoGold Project with no pending appeals and, if necessary, the completion of any and all community relocations. The first milestone payment will be satisfied by Metalla issuing common shares to Jaguar with a value of US$7 million priced at the</w:t>
      </w:r>
      <w:r>
        <w:rPr>
          <w:color w:val="000000"/>
        </w:rPr>
        <w:t xml:space="preserve"> fifteen (15) trading day volume-weighted average price on the NYSE American on a date that is within 120 days following completion of the trigger. </w:t>
      </w:r>
    </w:p>
    <w:p w14:paraId="14D16718" w14:textId="77777777" w:rsidR="0015416A" w:rsidRDefault="00224173" w:rsidP="0015416A">
      <w:pPr>
        <w:widowControl/>
        <w:spacing w:line="276" w:lineRule="auto"/>
        <w:rPr>
          <w:color w:val="000000"/>
          <w:lang w:val="en-US"/>
        </w:rPr>
      </w:pPr>
    </w:p>
    <w:p w14:paraId="406CD22B" w14:textId="77777777" w:rsidR="0015416A" w:rsidRDefault="0090665A" w:rsidP="0015416A">
      <w:pPr>
        <w:widowControl/>
        <w:spacing w:line="276" w:lineRule="auto"/>
        <w:rPr>
          <w:color w:val="000000"/>
          <w:lang w:val="en-US"/>
        </w:rPr>
      </w:pPr>
      <w:r>
        <w:rPr>
          <w:color w:val="000000"/>
          <w:lang w:val="en-US"/>
        </w:rPr>
        <w:t xml:space="preserve">The second milestone will be triggered upon the CentroGold Project achieving commercial production and will be satisfied by Metalla through a US$4 million payment to Jaguar in cash. </w:t>
      </w:r>
    </w:p>
    <w:p w14:paraId="29C79C48" w14:textId="77777777" w:rsidR="00863586" w:rsidRPr="00136D6F" w:rsidRDefault="00224173" w:rsidP="003460F1">
      <w:pPr>
        <w:widowControl/>
        <w:pBdr>
          <w:top w:val="nil"/>
          <w:left w:val="nil"/>
          <w:bottom w:val="nil"/>
          <w:right w:val="nil"/>
          <w:between w:val="nil"/>
        </w:pBdr>
        <w:spacing w:line="276" w:lineRule="auto"/>
        <w:rPr>
          <w:color w:val="000000"/>
        </w:rPr>
      </w:pPr>
    </w:p>
    <w:p w14:paraId="69C335C5" w14:textId="77777777" w:rsidR="005248BC" w:rsidRDefault="0090665A" w:rsidP="003460F1">
      <w:pPr>
        <w:widowControl/>
        <w:pBdr>
          <w:top w:val="nil"/>
          <w:left w:val="nil"/>
          <w:bottom w:val="nil"/>
          <w:right w:val="nil"/>
          <w:between w:val="nil"/>
        </w:pBdr>
        <w:spacing w:line="276" w:lineRule="auto"/>
        <w:rPr>
          <w:i/>
          <w:iCs/>
        </w:rPr>
      </w:pPr>
      <w:bookmarkStart w:id="0" w:name="_gjdgxs" w:colFirst="0" w:colLast="0"/>
      <w:bookmarkEnd w:id="0"/>
      <w:r>
        <w:t>Vern Baker, CEO of Jaguar Mining commented; “</w:t>
      </w:r>
      <w:r w:rsidRPr="0074651B">
        <w:rPr>
          <w:i/>
          <w:iCs/>
        </w:rPr>
        <w:t xml:space="preserve">We are very pleased with this </w:t>
      </w:r>
      <w:r>
        <w:rPr>
          <w:i/>
          <w:iCs/>
        </w:rPr>
        <w:t>r</w:t>
      </w:r>
      <w:r w:rsidRPr="0074651B">
        <w:rPr>
          <w:i/>
          <w:iCs/>
        </w:rPr>
        <w:t xml:space="preserve">oyalty transaction that will see an immediate monetization of </w:t>
      </w:r>
      <w:r>
        <w:rPr>
          <w:i/>
          <w:iCs/>
        </w:rPr>
        <w:t xml:space="preserve">a long-term royalty </w:t>
      </w:r>
      <w:r w:rsidRPr="0074651B">
        <w:rPr>
          <w:i/>
          <w:iCs/>
        </w:rPr>
        <w:t>asset</w:t>
      </w:r>
      <w:r>
        <w:rPr>
          <w:i/>
          <w:iCs/>
        </w:rPr>
        <w:t xml:space="preserve"> on our balance sheet</w:t>
      </w:r>
      <w:r w:rsidRPr="0074651B">
        <w:rPr>
          <w:i/>
          <w:iCs/>
        </w:rPr>
        <w:t xml:space="preserve">. </w:t>
      </w:r>
      <w:r>
        <w:rPr>
          <w:i/>
          <w:iCs/>
        </w:rPr>
        <w:t xml:space="preserve">Once the injunction on the project has been lifted, Jaguar will get further expected milestone payments in the form of equity in Metalla and some cash consideration.  The expected equity component in Metalla will give Jaguar </w:t>
      </w:r>
      <w:r w:rsidRPr="0074651B">
        <w:rPr>
          <w:i/>
          <w:iCs/>
        </w:rPr>
        <w:t xml:space="preserve">an upside </w:t>
      </w:r>
      <w:r>
        <w:rPr>
          <w:i/>
          <w:iCs/>
        </w:rPr>
        <w:t>on</w:t>
      </w:r>
      <w:r w:rsidRPr="0074651B">
        <w:rPr>
          <w:i/>
          <w:iCs/>
        </w:rPr>
        <w:t xml:space="preserve"> the </w:t>
      </w:r>
      <w:r>
        <w:rPr>
          <w:i/>
          <w:iCs/>
        </w:rPr>
        <w:t>CentroGold P</w:t>
      </w:r>
      <w:r w:rsidRPr="0074651B">
        <w:rPr>
          <w:i/>
          <w:iCs/>
        </w:rPr>
        <w:t>roject in the future.”</w:t>
      </w:r>
    </w:p>
    <w:p w14:paraId="00F2A894" w14:textId="77777777" w:rsidR="0015416A" w:rsidRDefault="00224173" w:rsidP="003460F1">
      <w:pPr>
        <w:widowControl/>
        <w:pBdr>
          <w:top w:val="nil"/>
          <w:left w:val="nil"/>
          <w:bottom w:val="nil"/>
          <w:right w:val="nil"/>
          <w:between w:val="nil"/>
        </w:pBdr>
        <w:spacing w:line="276" w:lineRule="auto"/>
      </w:pPr>
    </w:p>
    <w:p w14:paraId="7839D95A" w14:textId="77777777" w:rsidR="0015416A" w:rsidRPr="0015416A" w:rsidRDefault="0090665A" w:rsidP="0015416A">
      <w:pPr>
        <w:widowControl/>
        <w:pBdr>
          <w:top w:val="nil"/>
          <w:left w:val="nil"/>
          <w:bottom w:val="nil"/>
          <w:right w:val="nil"/>
          <w:between w:val="nil"/>
        </w:pBdr>
        <w:spacing w:line="276" w:lineRule="auto"/>
        <w:rPr>
          <w:i/>
          <w:iCs/>
          <w:u w:val="single"/>
        </w:rPr>
      </w:pPr>
      <w:r w:rsidRPr="0015416A">
        <w:rPr>
          <w:i/>
          <w:iCs/>
          <w:u w:val="single"/>
        </w:rPr>
        <w:t xml:space="preserve">Contingent Consideration </w:t>
      </w:r>
      <w:r>
        <w:rPr>
          <w:i/>
          <w:iCs/>
          <w:u w:val="single"/>
        </w:rPr>
        <w:t>on Sale of Gurupi to Avanco/</w:t>
      </w:r>
      <w:r w:rsidRPr="0015416A">
        <w:rPr>
          <w:i/>
          <w:iCs/>
          <w:u w:val="single"/>
        </w:rPr>
        <w:t>Oz Minerals</w:t>
      </w:r>
    </w:p>
    <w:p w14:paraId="5E545C9D" w14:textId="77777777" w:rsidR="0015416A" w:rsidRDefault="00224173" w:rsidP="0015416A">
      <w:pPr>
        <w:widowControl/>
        <w:pBdr>
          <w:top w:val="nil"/>
          <w:left w:val="nil"/>
          <w:bottom w:val="nil"/>
          <w:right w:val="nil"/>
          <w:between w:val="nil"/>
        </w:pBdr>
        <w:spacing w:line="276" w:lineRule="auto"/>
      </w:pPr>
    </w:p>
    <w:p w14:paraId="6571CF45" w14:textId="77777777" w:rsidR="0015416A" w:rsidRPr="003E5415" w:rsidRDefault="0090665A" w:rsidP="0015416A">
      <w:pPr>
        <w:widowControl/>
        <w:pBdr>
          <w:top w:val="nil"/>
          <w:left w:val="nil"/>
          <w:bottom w:val="nil"/>
          <w:right w:val="nil"/>
          <w:between w:val="nil"/>
        </w:pBdr>
        <w:spacing w:line="276" w:lineRule="auto"/>
      </w:pPr>
      <w:r>
        <w:t>As per the original earn-in agreement signed in September 2017 between Jaguar and Avanco (</w:t>
      </w:r>
      <w:r w:rsidRPr="0074025D">
        <w:t xml:space="preserve">refer to the Company’s news release </w:t>
      </w:r>
      <w:r>
        <w:t>September 18, 2017</w:t>
      </w:r>
      <w:r w:rsidRPr="0074025D">
        <w:t>)</w:t>
      </w:r>
      <w:r>
        <w:t>, u</w:t>
      </w:r>
      <w:r w:rsidRPr="003E5415">
        <w:t xml:space="preserve">pon </w:t>
      </w:r>
      <w:r>
        <w:t xml:space="preserve">Avanco </w:t>
      </w:r>
      <w:r w:rsidRPr="003E5415">
        <w:t xml:space="preserve">achieving clear title and access to the </w:t>
      </w:r>
      <w:r>
        <w:rPr>
          <w:color w:val="000000"/>
          <w:lang w:val="en-US"/>
        </w:rPr>
        <w:t xml:space="preserve">CentroGold </w:t>
      </w:r>
      <w:r w:rsidRPr="003E5415">
        <w:t xml:space="preserve">Project, Jaguar </w:t>
      </w:r>
      <w:r>
        <w:t>will also</w:t>
      </w:r>
      <w:r w:rsidRPr="003E5415">
        <w:t xml:space="preserve"> receive in aggregate an additional US$5 million of cash payments</w:t>
      </w:r>
      <w:r>
        <w:t xml:space="preserve"> from Avanco</w:t>
      </w:r>
      <w:r w:rsidRPr="003E5415">
        <w:t>, in a series of 10 instalments of US$500,000 per month.</w:t>
      </w:r>
    </w:p>
    <w:p w14:paraId="5A297AE8" w14:textId="77777777" w:rsidR="0015416A" w:rsidRDefault="00224173" w:rsidP="003460F1">
      <w:pPr>
        <w:widowControl/>
        <w:pBdr>
          <w:top w:val="nil"/>
          <w:left w:val="nil"/>
          <w:bottom w:val="nil"/>
          <w:right w:val="nil"/>
          <w:between w:val="nil"/>
        </w:pBdr>
        <w:spacing w:line="276" w:lineRule="auto"/>
      </w:pPr>
    </w:p>
    <w:p w14:paraId="045D0541" w14:textId="77777777" w:rsidR="002859C3" w:rsidRDefault="0090665A" w:rsidP="002859C3">
      <w:pPr>
        <w:rPr>
          <w:rFonts w:eastAsia="Times New Roman"/>
        </w:rPr>
      </w:pPr>
      <w:r>
        <w:rPr>
          <w:rFonts w:eastAsia="Times New Roman"/>
          <w:b/>
          <w:bCs/>
        </w:rPr>
        <w:t>Advisors and Counsel</w:t>
      </w:r>
    </w:p>
    <w:p w14:paraId="391CC027" w14:textId="77777777" w:rsidR="00C31B6F" w:rsidRDefault="00C31B6F" w:rsidP="002859C3">
      <w:pPr>
        <w:rPr>
          <w:rFonts w:eastAsia="Times New Roman"/>
        </w:rPr>
      </w:pPr>
    </w:p>
    <w:p w14:paraId="7F9F4276" w14:textId="01807BDF" w:rsidR="002859C3" w:rsidRDefault="0090665A" w:rsidP="002859C3">
      <w:pPr>
        <w:rPr>
          <w:rFonts w:eastAsia="Times New Roman"/>
        </w:rPr>
      </w:pPr>
      <w:r>
        <w:rPr>
          <w:rFonts w:eastAsia="Times New Roman"/>
        </w:rPr>
        <w:t xml:space="preserve">PI Financial Corp. acted as financial advisors to Jaguar. Miller Thompson LLP acted as Jaguar’s Canadian legal advisor and </w:t>
      </w:r>
      <w:r w:rsidRPr="00FD3D53">
        <w:rPr>
          <w:rFonts w:eastAsia="Times New Roman"/>
        </w:rPr>
        <w:t>Azevedo Sette Advogados</w:t>
      </w:r>
      <w:r>
        <w:rPr>
          <w:rFonts w:eastAsia="Times New Roman"/>
        </w:rPr>
        <w:t xml:space="preserve"> acted as Jaguar’s Brazilian legal advisor in regard to this transaction.</w:t>
      </w:r>
    </w:p>
    <w:p w14:paraId="1BC59D62" w14:textId="77777777" w:rsidR="009F614B" w:rsidRPr="0074651B" w:rsidRDefault="00224173" w:rsidP="003460F1">
      <w:pPr>
        <w:widowControl/>
        <w:pBdr>
          <w:top w:val="nil"/>
          <w:left w:val="nil"/>
          <w:bottom w:val="nil"/>
          <w:right w:val="nil"/>
          <w:between w:val="nil"/>
        </w:pBdr>
        <w:spacing w:line="276" w:lineRule="auto"/>
        <w:rPr>
          <w:i/>
          <w:iCs/>
        </w:rPr>
      </w:pPr>
    </w:p>
    <w:p w14:paraId="07337D77" w14:textId="77777777" w:rsidR="00AC5FF7" w:rsidRPr="00AC5FF7" w:rsidRDefault="0090665A" w:rsidP="003460F1">
      <w:pPr>
        <w:keepNext/>
        <w:spacing w:line="276" w:lineRule="auto"/>
        <w:rPr>
          <w:b/>
          <w:bCs/>
        </w:rPr>
      </w:pPr>
      <w:r w:rsidRPr="00AC5FF7">
        <w:rPr>
          <w:b/>
          <w:bCs/>
        </w:rPr>
        <w:t>About Jaguar Mining Inc.</w:t>
      </w:r>
    </w:p>
    <w:p w14:paraId="49E4E657" w14:textId="77777777" w:rsidR="00C31B6F" w:rsidRDefault="00C31B6F" w:rsidP="003460F1">
      <w:pPr>
        <w:widowControl/>
        <w:pBdr>
          <w:top w:val="nil"/>
          <w:left w:val="nil"/>
          <w:bottom w:val="nil"/>
          <w:right w:val="nil"/>
          <w:between w:val="nil"/>
        </w:pBdr>
        <w:spacing w:line="276" w:lineRule="auto"/>
      </w:pPr>
    </w:p>
    <w:p w14:paraId="5D60EEEF" w14:textId="64F5EF29" w:rsidR="005248BC" w:rsidRPr="00AC5FF7" w:rsidRDefault="0090665A" w:rsidP="003460F1">
      <w:pPr>
        <w:widowControl/>
        <w:pBdr>
          <w:top w:val="nil"/>
          <w:left w:val="nil"/>
          <w:bottom w:val="nil"/>
          <w:right w:val="nil"/>
          <w:between w:val="nil"/>
        </w:pBdr>
        <w:spacing w:line="276" w:lineRule="auto"/>
      </w:pPr>
      <w:r w:rsidRPr="00AC5FF7">
        <w:t>Jaguar Mining Inc. is a Canadian-listed junior gold mining, development, and exploration company operating in Brazil with three gold mining complexes and a large land package with significant upside exploration potential from mineral claims. The Company's principal operating assets are located in the Iron Quadrangle, a prolific greenstone belt in the state of Minas Gerais and include the Turmalina Gold Mine Complex and Caeté Mining Complex (Pilar and Roça Grande Mines, and Caeté Plant). The Company also owns the Paciência Gold Mine Complex, which has been on care and maintenance since 2012. The Roça Grande Mine has been on temporary care and maintenance since April 2019. Additional information is available on the Company's website at www.jaguarmining.com.</w:t>
      </w:r>
    </w:p>
    <w:p w14:paraId="6ABB2335" w14:textId="77777777" w:rsidR="005248BC" w:rsidRPr="00AC5FF7" w:rsidRDefault="0090665A" w:rsidP="003460F1">
      <w:pPr>
        <w:keepNext/>
        <w:spacing w:line="276" w:lineRule="auto"/>
        <w:rPr>
          <w:b/>
          <w:bCs/>
        </w:rPr>
      </w:pPr>
      <w:r w:rsidRPr="00AC5FF7">
        <w:rPr>
          <w:b/>
          <w:bCs/>
        </w:rPr>
        <w:t>For further information please contact:</w:t>
      </w:r>
    </w:p>
    <w:p w14:paraId="2842A709" w14:textId="77777777" w:rsidR="005248BC" w:rsidRPr="00AC5FF7" w:rsidRDefault="00224173" w:rsidP="003460F1">
      <w:pPr>
        <w:keepNext/>
        <w:spacing w:line="276" w:lineRule="auto"/>
      </w:pPr>
    </w:p>
    <w:tbl>
      <w:tblPr>
        <w:tblStyle w:val="a0"/>
        <w:tblW w:w="10260" w:type="dxa"/>
        <w:tblBorders>
          <w:top w:val="nil"/>
          <w:left w:val="nil"/>
          <w:bottom w:val="nil"/>
          <w:right w:val="nil"/>
          <w:insideH w:val="nil"/>
          <w:insideV w:val="nil"/>
        </w:tblBorders>
        <w:tblLayout w:type="fixed"/>
        <w:tblLook w:val="0400" w:firstRow="0" w:lastRow="0" w:firstColumn="0" w:lastColumn="0" w:noHBand="0" w:noVBand="1"/>
      </w:tblPr>
      <w:tblGrid>
        <w:gridCol w:w="6660"/>
        <w:gridCol w:w="3600"/>
      </w:tblGrid>
      <w:tr w:rsidR="007E4CEE" w14:paraId="45B22665" w14:textId="77777777" w:rsidTr="00F738A4">
        <w:trPr>
          <w:trHeight w:val="900"/>
        </w:trPr>
        <w:tc>
          <w:tcPr>
            <w:tcW w:w="6660" w:type="dxa"/>
          </w:tcPr>
          <w:p w14:paraId="200EC4A3" w14:textId="77777777" w:rsidR="00650C4D" w:rsidRPr="00AC5FF7" w:rsidRDefault="0090665A" w:rsidP="003460F1">
            <w:pPr>
              <w:spacing w:line="276" w:lineRule="auto"/>
            </w:pPr>
            <w:r w:rsidRPr="00AC5FF7">
              <w:t>Vernon Baker</w:t>
            </w:r>
          </w:p>
          <w:p w14:paraId="719A55D0" w14:textId="77777777" w:rsidR="00650C4D" w:rsidRPr="00AC5FF7" w:rsidRDefault="0090665A" w:rsidP="003460F1">
            <w:pPr>
              <w:spacing w:line="276" w:lineRule="auto"/>
            </w:pPr>
            <w:r w:rsidRPr="00AC5FF7">
              <w:t>Chief Executive Officer</w:t>
            </w:r>
          </w:p>
          <w:p w14:paraId="48DAFA08" w14:textId="77777777" w:rsidR="00650C4D" w:rsidRPr="00AC5FF7" w:rsidRDefault="0090665A" w:rsidP="003460F1">
            <w:pPr>
              <w:spacing w:line="276" w:lineRule="auto"/>
            </w:pPr>
            <w:r w:rsidRPr="00AC5FF7">
              <w:t>Jaguar Mining Inc.</w:t>
            </w:r>
          </w:p>
          <w:p w14:paraId="13B6ED49" w14:textId="77777777" w:rsidR="00650C4D" w:rsidRPr="00AC5FF7" w:rsidRDefault="0090665A" w:rsidP="003460F1">
            <w:pPr>
              <w:spacing w:line="276" w:lineRule="auto"/>
            </w:pPr>
            <w:r w:rsidRPr="00AC5FF7">
              <w:t>vernon.baker@jaguarmining.com</w:t>
            </w:r>
          </w:p>
          <w:p w14:paraId="6BB9BDF8" w14:textId="77777777" w:rsidR="005248BC" w:rsidRPr="00AC5FF7" w:rsidRDefault="0090665A" w:rsidP="003460F1">
            <w:pPr>
              <w:spacing w:line="276" w:lineRule="auto"/>
              <w:contextualSpacing w:val="0"/>
            </w:pPr>
            <w:r w:rsidRPr="00AC5FF7">
              <w:t>416-847-1854</w:t>
            </w:r>
          </w:p>
        </w:tc>
        <w:tc>
          <w:tcPr>
            <w:tcW w:w="3600" w:type="dxa"/>
          </w:tcPr>
          <w:p w14:paraId="4FB9B2A0" w14:textId="77777777" w:rsidR="005248BC" w:rsidRPr="00AC5FF7" w:rsidRDefault="0090665A" w:rsidP="003460F1">
            <w:pPr>
              <w:spacing w:line="276" w:lineRule="auto"/>
              <w:contextualSpacing w:val="0"/>
            </w:pPr>
            <w:r w:rsidRPr="00AC5FF7">
              <w:t>Hashim Ahmed</w:t>
            </w:r>
          </w:p>
          <w:p w14:paraId="220694BF" w14:textId="77777777" w:rsidR="005248BC" w:rsidRPr="00AC5FF7" w:rsidRDefault="0090665A" w:rsidP="003460F1">
            <w:pPr>
              <w:spacing w:line="276" w:lineRule="auto"/>
              <w:contextualSpacing w:val="0"/>
            </w:pPr>
            <w:r w:rsidRPr="00AC5FF7">
              <w:t>Chief Financial Officer</w:t>
            </w:r>
          </w:p>
          <w:p w14:paraId="71851716" w14:textId="77777777" w:rsidR="005248BC" w:rsidRPr="00AC5FF7" w:rsidRDefault="0090665A" w:rsidP="003460F1">
            <w:pPr>
              <w:spacing w:line="276" w:lineRule="auto"/>
              <w:contextualSpacing w:val="0"/>
            </w:pPr>
            <w:r w:rsidRPr="00AC5FF7">
              <w:t>Jaguar Mining Inc.</w:t>
            </w:r>
          </w:p>
          <w:p w14:paraId="19D38D92" w14:textId="77777777" w:rsidR="005248BC" w:rsidRPr="00AC5FF7" w:rsidRDefault="0090665A" w:rsidP="003460F1">
            <w:pPr>
              <w:spacing w:line="276" w:lineRule="auto"/>
              <w:contextualSpacing w:val="0"/>
            </w:pPr>
            <w:r w:rsidRPr="00AC5FF7">
              <w:t>hashim.ahmed@jaguarmining.com</w:t>
            </w:r>
          </w:p>
          <w:p w14:paraId="63EAE723" w14:textId="77777777" w:rsidR="005248BC" w:rsidRPr="00AC5FF7" w:rsidRDefault="0090665A" w:rsidP="003460F1">
            <w:pPr>
              <w:spacing w:line="276" w:lineRule="auto"/>
              <w:contextualSpacing w:val="0"/>
            </w:pPr>
            <w:r w:rsidRPr="00AC5FF7">
              <w:t>416-847-1854</w:t>
            </w:r>
          </w:p>
        </w:tc>
      </w:tr>
    </w:tbl>
    <w:p w14:paraId="5E77D41F" w14:textId="77777777" w:rsidR="005248BC" w:rsidRPr="00AC5FF7" w:rsidRDefault="00224173" w:rsidP="003460F1">
      <w:pPr>
        <w:spacing w:line="276" w:lineRule="auto"/>
      </w:pPr>
    </w:p>
    <w:p w14:paraId="36118486" w14:textId="77777777" w:rsidR="00A14275" w:rsidRDefault="0090665A" w:rsidP="003460F1">
      <w:pPr>
        <w:keepNext/>
        <w:spacing w:line="276" w:lineRule="auto"/>
        <w:rPr>
          <w:b/>
          <w:bCs/>
        </w:rPr>
      </w:pPr>
      <w:r w:rsidRPr="00AC5FF7">
        <w:rPr>
          <w:b/>
          <w:bCs/>
        </w:rPr>
        <w:t>Forward-Looking Statements</w:t>
      </w:r>
    </w:p>
    <w:p w14:paraId="5915EBA9" w14:textId="77777777" w:rsidR="00AC5FF7" w:rsidRPr="00AC5FF7" w:rsidRDefault="00224173" w:rsidP="003460F1">
      <w:pPr>
        <w:keepNext/>
        <w:spacing w:line="276" w:lineRule="auto"/>
        <w:rPr>
          <w:b/>
          <w:bCs/>
        </w:rPr>
      </w:pPr>
    </w:p>
    <w:p w14:paraId="38FE8A36" w14:textId="77777777" w:rsidR="005248BC" w:rsidRDefault="0090665A" w:rsidP="003460F1">
      <w:pPr>
        <w:spacing w:line="276" w:lineRule="auto"/>
        <w:rPr>
          <w:i/>
          <w:sz w:val="18"/>
          <w:szCs w:val="18"/>
        </w:rPr>
      </w:pPr>
      <w:r w:rsidRPr="00AC5FF7">
        <w:rPr>
          <w:i/>
          <w:sz w:val="18"/>
          <w:szCs w:val="18"/>
        </w:rPr>
        <w:t>Certain statements in this news release constitute "forward-looking information" within the meaning of applicable Canadian securities legislation. Forward-looking statements and information are provided for the purpose of providing information about management's expectations and plans relating to the future. All of the forward-looking information made in this news release is qualified by the cautionary statements below and those made in our other filings with the securities regulators in Canada. Forward-looking information contained in forward-looking statements can be identified by the use of words such as "are expected," "is forecast," "is targeted," "approximately," "plans," "anticipates," "projects," "anticipates," "continue," "estimate," "believe" or variations of such words and phrases or statements that certain actions, events or results "may," "could," "would," "might," or "will" be taken, occur or be achieved. All statements, other than statements of historical fact, may be considered to be or include forward-looking information. This news release contains forward-looking information regarding, among other things, expected sales, production statistics, ore grades, tonnes milled, recovery rates, cash operating costs, definition/delineation drilling, the timing and amount of estimated future production, costs of production, capital expenditures, costs and timing of the development of projects and new deposits, success of exploration, development and mining activities, currency fluctuations, capital requirements, project studies, mine life extensions, restarting suspended or disrupted operations, continuous improvement initiatives, and resolution of pending litigation. The Company has made numerous assumptions with respect to forward-looking information contained herein, including, among other things, assumptions about the estimated timeline for the development of its mineral properties</w:t>
      </w:r>
      <w:r>
        <w:rPr>
          <w:i/>
          <w:sz w:val="18"/>
          <w:szCs w:val="18"/>
        </w:rPr>
        <w:t xml:space="preserve"> (including the CentroGold Project)</w:t>
      </w:r>
      <w:r w:rsidRPr="00AC5FF7">
        <w:rPr>
          <w:i/>
          <w:sz w:val="18"/>
          <w:szCs w:val="18"/>
        </w:rPr>
        <w:t xml:space="preserve">; the supply and demand for, and the level and volatility of the price of, gold; the accuracy of reserve and resource estimates and the assumptions on which the reserve and resource estimates are based; the receipt of necessary permits; market competition; ongoing relations with employees and impacted communities; political and legal developments in any jurisdiction in which the Company operates being consistent with its current expectations including, without limitation, the impact of any potential power rationing, tailings facility regulation, exploration and mine operating licenses and permits being obtained and renewed and/or there being adverse amendments to mining or other laws in Brazil and any changes to general business and economic conditions. Forward-looking information involves a number of known and unknown risks and uncertainties, including among others: the risk of Jaguar not meeting the forecast plans regarding its operations and financial performance; uncertainties with respect to the price of gold, labour disruptions, mechanical failures, increase in costs, environmental compliance and change in environmental legislation and regulation, weather delays and increased costs or production delays due to natural disasters, power disruptions, </w:t>
      </w:r>
      <w:r w:rsidRPr="00AC5FF7">
        <w:rPr>
          <w:i/>
          <w:sz w:val="18"/>
          <w:szCs w:val="18"/>
        </w:rPr>
        <w:lastRenderedPageBreak/>
        <w:t>procurement and delivery of parts and supplies to the operations; uncertainties inherent to capital markets in general (including the sometimes volatile valuation of securities and an uncertain ability to raise new capital) and other risks inherent to the gold exploration, development and production industry, which, if incorrect, may cause actual results to differ materially from those anticipated by the Company and described herein. In addition, there are risks and hazards associated with the business of gold exploration, development, mining and production, including environmental hazards, tailings dam failures, industrial accidents and workplace safety problems, unusual or unexpected geological formations, pressures, cave-ins, flooding, chemical spills, procurement fraud and gold bullion thefts and losses (and the risk of inadequate insurance, or the inability to obtain insurance, to cover these risks). Accordingly, readers should not place undue reliance on forward-looking information.</w:t>
      </w:r>
      <w:r>
        <w:rPr>
          <w:i/>
          <w:sz w:val="18"/>
          <w:szCs w:val="18"/>
        </w:rPr>
        <w:t xml:space="preserve">  In addition, the Company has assumed that </w:t>
      </w:r>
      <w:r w:rsidRPr="000733B3">
        <w:rPr>
          <w:i/>
          <w:sz w:val="18"/>
          <w:szCs w:val="18"/>
        </w:rPr>
        <w:t xml:space="preserve">the mining license and construction injunctions applicable to the CentroGold Project </w:t>
      </w:r>
      <w:r>
        <w:rPr>
          <w:i/>
          <w:sz w:val="18"/>
          <w:szCs w:val="18"/>
        </w:rPr>
        <w:t xml:space="preserve">will </w:t>
      </w:r>
      <w:r w:rsidRPr="000733B3">
        <w:rPr>
          <w:i/>
          <w:sz w:val="18"/>
          <w:szCs w:val="18"/>
        </w:rPr>
        <w:t xml:space="preserve"> </w:t>
      </w:r>
      <w:r>
        <w:rPr>
          <w:i/>
          <w:sz w:val="18"/>
          <w:szCs w:val="18"/>
        </w:rPr>
        <w:t xml:space="preserve">eventually be </w:t>
      </w:r>
      <w:r w:rsidRPr="000733B3">
        <w:rPr>
          <w:i/>
          <w:sz w:val="18"/>
          <w:szCs w:val="18"/>
        </w:rPr>
        <w:t xml:space="preserve">revoked or lifted, all applicable mining licenses and advancements for construction, mining and processing activities regarding the CentroGold Project </w:t>
      </w:r>
      <w:r>
        <w:rPr>
          <w:i/>
          <w:sz w:val="18"/>
          <w:szCs w:val="18"/>
        </w:rPr>
        <w:t xml:space="preserve">will eventually be issued, and </w:t>
      </w:r>
      <w:r w:rsidRPr="000733B3">
        <w:rPr>
          <w:i/>
          <w:sz w:val="18"/>
          <w:szCs w:val="18"/>
        </w:rPr>
        <w:t xml:space="preserve">the Gurupi lawsuit </w:t>
      </w:r>
      <w:r>
        <w:rPr>
          <w:i/>
          <w:sz w:val="18"/>
          <w:szCs w:val="18"/>
        </w:rPr>
        <w:t xml:space="preserve">will eventually </w:t>
      </w:r>
      <w:r w:rsidRPr="000733B3">
        <w:rPr>
          <w:i/>
          <w:sz w:val="18"/>
          <w:szCs w:val="18"/>
        </w:rPr>
        <w:t>be extinguished by a court</w:t>
      </w:r>
      <w:r>
        <w:rPr>
          <w:i/>
          <w:sz w:val="18"/>
          <w:szCs w:val="18"/>
        </w:rPr>
        <w:t xml:space="preserve"> within the next decade</w:t>
      </w:r>
      <w:r w:rsidRPr="000733B3">
        <w:rPr>
          <w:i/>
          <w:sz w:val="18"/>
          <w:szCs w:val="18"/>
        </w:rPr>
        <w:t xml:space="preserve">. </w:t>
      </w:r>
      <w:r>
        <w:rPr>
          <w:i/>
          <w:sz w:val="18"/>
          <w:szCs w:val="18"/>
        </w:rPr>
        <w:t xml:space="preserve">The Company has also assumed that </w:t>
      </w:r>
      <w:r w:rsidRPr="000733B3">
        <w:rPr>
          <w:i/>
          <w:sz w:val="18"/>
          <w:szCs w:val="18"/>
        </w:rPr>
        <w:t>commercial produ</w:t>
      </w:r>
      <w:r>
        <w:rPr>
          <w:i/>
          <w:sz w:val="18"/>
          <w:szCs w:val="18"/>
        </w:rPr>
        <w:t>ction at the CentroGold Project will commence within the next 15 years.  However, the satisfaction of the assumptions made in the previous two sentences are outside of the control of the Company and are subject to commercial, economic, political, legal, regulatory and other risks.</w:t>
      </w:r>
    </w:p>
    <w:p w14:paraId="18090EF7" w14:textId="77777777" w:rsidR="000733B3" w:rsidRPr="00AC5FF7" w:rsidRDefault="00224173" w:rsidP="003460F1">
      <w:pPr>
        <w:spacing w:line="276" w:lineRule="auto"/>
        <w:rPr>
          <w:i/>
          <w:sz w:val="18"/>
          <w:szCs w:val="18"/>
        </w:rPr>
      </w:pPr>
    </w:p>
    <w:p w14:paraId="2E8FC8F0" w14:textId="77777777" w:rsidR="005248BC" w:rsidRPr="00AC5FF7" w:rsidRDefault="0090665A" w:rsidP="003460F1">
      <w:pPr>
        <w:spacing w:line="276" w:lineRule="auto"/>
        <w:rPr>
          <w:i/>
          <w:sz w:val="18"/>
          <w:szCs w:val="18"/>
        </w:rPr>
      </w:pPr>
      <w:r w:rsidRPr="00AC5FF7">
        <w:rPr>
          <w:i/>
          <w:sz w:val="18"/>
          <w:szCs w:val="18"/>
        </w:rPr>
        <w:t>For additional information with respect to these and other factors and assumptions underlying the forward-looking information made in this news release, see the Company's most recent Annual Information Form and Management's Discussion and Analysis, as well as other public disclosure documents that can be accessed under the issuer profile of "Jaguar Mining Inc." on SEDAR at www.sedar.com. The forward-looking information set forth herein reflects the Company's reasonable expectations as at the date of this news release and is subject to change after such date. The Company disclaims any intention or obligation to update or revise any forward-looking information, whether as a result of new information, future events or otherwise, other than as required by law. The forward-looking information contained in this news release is expressly qualified by this cautionary statement.</w:t>
      </w:r>
      <w:bookmarkStart w:id="1" w:name="_1fob9te" w:colFirst="0" w:colLast="0"/>
      <w:bookmarkEnd w:id="1"/>
    </w:p>
    <w:sectPr w:rsidR="005248BC" w:rsidRPr="00AC5FF7" w:rsidSect="00AA1BE3">
      <w:headerReference w:type="even" r:id="rId8"/>
      <w:headerReference w:type="default" r:id="rId9"/>
      <w:footerReference w:type="even" r:id="rId10"/>
      <w:footerReference w:type="default" r:id="rId11"/>
      <w:headerReference w:type="first" r:id="rId12"/>
      <w:footerReference w:type="first" r:id="rId13"/>
      <w:pgSz w:w="12240" w:h="15840"/>
      <w:pgMar w:top="567" w:right="1181" w:bottom="851" w:left="994" w:header="360" w:footer="72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1DFC4B" w14:textId="77777777" w:rsidR="00224173" w:rsidRDefault="00224173">
      <w:r>
        <w:separator/>
      </w:r>
    </w:p>
  </w:endnote>
  <w:endnote w:type="continuationSeparator" w:id="0">
    <w:p w14:paraId="5FF68779" w14:textId="77777777" w:rsidR="00224173" w:rsidRDefault="00224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F37060" w14:textId="77777777" w:rsidR="00C90272" w:rsidRDefault="002241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125FC6" w14:textId="77777777" w:rsidR="005248BC" w:rsidRDefault="00224173"/>
  <w:p w14:paraId="2BF0E541" w14:textId="77777777" w:rsidR="005248BC" w:rsidRDefault="0090665A">
    <w:pPr>
      <w:tabs>
        <w:tab w:val="center" w:pos="4680"/>
        <w:tab w:val="right" w:pos="9360"/>
      </w:tabs>
      <w:jc w:val="center"/>
    </w:pPr>
    <w:r>
      <w:fldChar w:fldCharType="begin"/>
    </w:r>
    <w:r>
      <w:instrText>PAGE</w:instrText>
    </w:r>
    <w:r>
      <w:fldChar w:fldCharType="separate"/>
    </w:r>
    <w:r>
      <w:rPr>
        <w:noProof/>
      </w:rPr>
      <w:t>2</w:t>
    </w:r>
    <w:r>
      <w:fldChar w:fldCharType="end"/>
    </w:r>
  </w:p>
  <w:p w14:paraId="5397BC8A" w14:textId="77777777" w:rsidR="005248BC" w:rsidRDefault="00224173">
    <w:pPr>
      <w:tabs>
        <w:tab w:val="center" w:pos="4680"/>
        <w:tab w:val="right" w:pos="9360"/>
      </w:tabs>
      <w:jc w:val="center"/>
      <w:rPr>
        <w:rFonts w:ascii="Source Sans Pro" w:eastAsia="Source Sans Pro" w:hAnsi="Source Sans Pro" w:cs="Source Sans Pro"/>
        <w:sz w:val="2"/>
        <w:szCs w:val="2"/>
      </w:rPr>
    </w:pPr>
  </w:p>
  <w:p w14:paraId="7F28D05F" w14:textId="77777777" w:rsidR="005248BC" w:rsidRDefault="0090665A">
    <w:pPr>
      <w:tabs>
        <w:tab w:val="center" w:pos="4680"/>
        <w:tab w:val="right" w:pos="9360"/>
      </w:tabs>
      <w:jc w:val="center"/>
      <w:rPr>
        <w:rFonts w:ascii="Source Sans Pro" w:eastAsia="Source Sans Pro" w:hAnsi="Source Sans Pro" w:cs="Source Sans Pro"/>
        <w:color w:val="595959"/>
        <w:sz w:val="16"/>
        <w:szCs w:val="16"/>
      </w:rPr>
    </w:pPr>
    <w:r>
      <w:rPr>
        <w:rFonts w:ascii="Source Sans Pro" w:eastAsia="Source Sans Pro" w:hAnsi="Source Sans Pro" w:cs="Source Sans Pro"/>
        <w:color w:val="595959"/>
        <w:sz w:val="16"/>
        <w:szCs w:val="16"/>
      </w:rPr>
      <w:t>JAGUAR MINING INC.</w:t>
    </w:r>
  </w:p>
  <w:p w14:paraId="5BCECF56" w14:textId="77777777" w:rsidR="005248BC" w:rsidRDefault="0090665A">
    <w:pPr>
      <w:tabs>
        <w:tab w:val="center" w:pos="4680"/>
        <w:tab w:val="right" w:pos="9360"/>
      </w:tabs>
      <w:jc w:val="center"/>
      <w:rPr>
        <w:rFonts w:ascii="Calibri" w:eastAsia="Calibri" w:hAnsi="Calibri" w:cs="Calibri"/>
        <w:color w:val="595959"/>
      </w:rPr>
    </w:pPr>
    <w:r>
      <w:rPr>
        <w:rFonts w:ascii="Source Sans Pro" w:eastAsia="Source Sans Pro" w:hAnsi="Source Sans Pro" w:cs="Source Sans Pro"/>
        <w:color w:val="595959"/>
        <w:sz w:val="16"/>
        <w:szCs w:val="16"/>
      </w:rPr>
      <w:t>First Canadian Place, 100 King Street West, 56</w:t>
    </w:r>
    <w:r>
      <w:rPr>
        <w:rFonts w:ascii="Source Sans Pro" w:eastAsia="Source Sans Pro" w:hAnsi="Source Sans Pro" w:cs="Source Sans Pro"/>
        <w:color w:val="595959"/>
        <w:sz w:val="16"/>
        <w:szCs w:val="16"/>
        <w:vertAlign w:val="superscript"/>
      </w:rPr>
      <w:t>th</w:t>
    </w:r>
    <w:r>
      <w:rPr>
        <w:rFonts w:ascii="Source Sans Pro" w:eastAsia="Source Sans Pro" w:hAnsi="Source Sans Pro" w:cs="Source Sans Pro"/>
        <w:color w:val="595959"/>
        <w:sz w:val="16"/>
        <w:szCs w:val="16"/>
      </w:rPr>
      <w:t xml:space="preserve"> Floor, Toronto, Ontario, Canada M5X 1C9    T: 416-847-1854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D237F" w14:textId="77777777" w:rsidR="00C90272" w:rsidRDefault="00224173">
    <w:pPr>
      <w:pStyle w:val="Footer"/>
      <w:rPr>
        <w:color w:val="59595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60AE1C" w14:textId="77777777" w:rsidR="00224173" w:rsidRDefault="00224173">
      <w:r>
        <w:separator/>
      </w:r>
    </w:p>
  </w:footnote>
  <w:footnote w:type="continuationSeparator" w:id="0">
    <w:p w14:paraId="233B5146" w14:textId="77777777" w:rsidR="00224173" w:rsidRDefault="002241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880710" w14:textId="77777777" w:rsidR="00C90272" w:rsidRDefault="002241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A59071" w14:textId="77777777" w:rsidR="005248BC" w:rsidRDefault="00224173">
    <w:pPr>
      <w:tabs>
        <w:tab w:val="center" w:pos="4680"/>
        <w:tab w:val="right" w:pos="9360"/>
      </w:tabs>
      <w:spacing w:before="567"/>
    </w:pPr>
  </w:p>
  <w:p w14:paraId="24A2F9B9" w14:textId="77777777" w:rsidR="005248BC" w:rsidRDefault="00224173">
    <w:pPr>
      <w:tabs>
        <w:tab w:val="center" w:pos="4680"/>
        <w:tab w:val="right" w:pos="9360"/>
      </w:tabs>
      <w:rPr>
        <w:rFonts w:ascii="Calibri" w:eastAsia="Calibri" w:hAnsi="Calibri" w:cs="Calibr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859D78" w14:textId="77777777" w:rsidR="005248BC" w:rsidRDefault="0090665A" w:rsidP="004847DC">
    <w:pPr>
      <w:pStyle w:val="Header"/>
      <w:jc w:val="center"/>
      <w:rPr>
        <w:color w:val="595959"/>
      </w:rPr>
    </w:pPr>
    <w:r>
      <w:rPr>
        <w:noProof/>
        <w:lang w:val="en-US" w:eastAsia="en-US"/>
      </w:rPr>
      <w:drawing>
        <wp:inline distT="0" distB="0" distL="0" distR="0" wp14:anchorId="1A2DE63E" wp14:editId="6DE687A7">
          <wp:extent cx="2110740" cy="664800"/>
          <wp:effectExtent l="0" t="0" r="381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118068" cy="6671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043926"/>
    <w:multiLevelType w:val="hybridMultilevel"/>
    <w:tmpl w:val="6A0E0862"/>
    <w:lvl w:ilvl="0" w:tplc="6E38DB00">
      <w:start w:val="1"/>
      <w:numFmt w:val="bullet"/>
      <w:lvlText w:val=""/>
      <w:lvlJc w:val="left"/>
      <w:pPr>
        <w:ind w:left="360" w:hanging="360"/>
      </w:pPr>
      <w:rPr>
        <w:rFonts w:ascii="Symbol" w:hAnsi="Symbol" w:hint="default"/>
      </w:rPr>
    </w:lvl>
    <w:lvl w:ilvl="1" w:tplc="419C6E5A" w:tentative="1">
      <w:start w:val="1"/>
      <w:numFmt w:val="bullet"/>
      <w:lvlText w:val="o"/>
      <w:lvlJc w:val="left"/>
      <w:pPr>
        <w:ind w:left="1080" w:hanging="360"/>
      </w:pPr>
      <w:rPr>
        <w:rFonts w:ascii="Courier New" w:hAnsi="Courier New" w:cs="Courier New" w:hint="default"/>
      </w:rPr>
    </w:lvl>
    <w:lvl w:ilvl="2" w:tplc="10FAA3C4" w:tentative="1">
      <w:start w:val="1"/>
      <w:numFmt w:val="bullet"/>
      <w:lvlText w:val=""/>
      <w:lvlJc w:val="left"/>
      <w:pPr>
        <w:ind w:left="1800" w:hanging="360"/>
      </w:pPr>
      <w:rPr>
        <w:rFonts w:ascii="Wingdings" w:hAnsi="Wingdings" w:hint="default"/>
      </w:rPr>
    </w:lvl>
    <w:lvl w:ilvl="3" w:tplc="1672869A" w:tentative="1">
      <w:start w:val="1"/>
      <w:numFmt w:val="bullet"/>
      <w:lvlText w:val=""/>
      <w:lvlJc w:val="left"/>
      <w:pPr>
        <w:ind w:left="2520" w:hanging="360"/>
      </w:pPr>
      <w:rPr>
        <w:rFonts w:ascii="Symbol" w:hAnsi="Symbol" w:hint="default"/>
      </w:rPr>
    </w:lvl>
    <w:lvl w:ilvl="4" w:tplc="2B4C9120" w:tentative="1">
      <w:start w:val="1"/>
      <w:numFmt w:val="bullet"/>
      <w:lvlText w:val="o"/>
      <w:lvlJc w:val="left"/>
      <w:pPr>
        <w:ind w:left="3240" w:hanging="360"/>
      </w:pPr>
      <w:rPr>
        <w:rFonts w:ascii="Courier New" w:hAnsi="Courier New" w:cs="Courier New" w:hint="default"/>
      </w:rPr>
    </w:lvl>
    <w:lvl w:ilvl="5" w:tplc="F91A1E86" w:tentative="1">
      <w:start w:val="1"/>
      <w:numFmt w:val="bullet"/>
      <w:lvlText w:val=""/>
      <w:lvlJc w:val="left"/>
      <w:pPr>
        <w:ind w:left="3960" w:hanging="360"/>
      </w:pPr>
      <w:rPr>
        <w:rFonts w:ascii="Wingdings" w:hAnsi="Wingdings" w:hint="default"/>
      </w:rPr>
    </w:lvl>
    <w:lvl w:ilvl="6" w:tplc="5C662DD2" w:tentative="1">
      <w:start w:val="1"/>
      <w:numFmt w:val="bullet"/>
      <w:lvlText w:val=""/>
      <w:lvlJc w:val="left"/>
      <w:pPr>
        <w:ind w:left="4680" w:hanging="360"/>
      </w:pPr>
      <w:rPr>
        <w:rFonts w:ascii="Symbol" w:hAnsi="Symbol" w:hint="default"/>
      </w:rPr>
    </w:lvl>
    <w:lvl w:ilvl="7" w:tplc="5E2E702E" w:tentative="1">
      <w:start w:val="1"/>
      <w:numFmt w:val="bullet"/>
      <w:lvlText w:val="o"/>
      <w:lvlJc w:val="left"/>
      <w:pPr>
        <w:ind w:left="5400" w:hanging="360"/>
      </w:pPr>
      <w:rPr>
        <w:rFonts w:ascii="Courier New" w:hAnsi="Courier New" w:cs="Courier New" w:hint="default"/>
      </w:rPr>
    </w:lvl>
    <w:lvl w:ilvl="8" w:tplc="EE805EF6" w:tentative="1">
      <w:start w:val="1"/>
      <w:numFmt w:val="bullet"/>
      <w:lvlText w:val=""/>
      <w:lvlJc w:val="left"/>
      <w:pPr>
        <w:ind w:left="6120" w:hanging="360"/>
      </w:pPr>
      <w:rPr>
        <w:rFonts w:ascii="Wingdings" w:hAnsi="Wingdings" w:hint="default"/>
      </w:rPr>
    </w:lvl>
  </w:abstractNum>
  <w:abstractNum w:abstractNumId="1" w15:restartNumberingAfterBreak="0">
    <w:nsid w:val="06004E23"/>
    <w:multiLevelType w:val="multilevel"/>
    <w:tmpl w:val="D02EEF7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6D41B52"/>
    <w:multiLevelType w:val="multilevel"/>
    <w:tmpl w:val="A38262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FE90319"/>
    <w:multiLevelType w:val="multilevel"/>
    <w:tmpl w:val="0C4C364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7D20E94"/>
    <w:multiLevelType w:val="multilevel"/>
    <w:tmpl w:val="03228E7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1A4A3D40"/>
    <w:multiLevelType w:val="hybridMultilevel"/>
    <w:tmpl w:val="142C352A"/>
    <w:lvl w:ilvl="0" w:tplc="3E9A085A">
      <w:start w:val="1"/>
      <w:numFmt w:val="bullet"/>
      <w:lvlText w:val=""/>
      <w:lvlJc w:val="left"/>
      <w:pPr>
        <w:ind w:left="360" w:hanging="360"/>
      </w:pPr>
      <w:rPr>
        <w:rFonts w:ascii="Symbol" w:hAnsi="Symbol" w:hint="default"/>
      </w:rPr>
    </w:lvl>
    <w:lvl w:ilvl="1" w:tplc="A5E24794">
      <w:start w:val="1"/>
      <w:numFmt w:val="bullet"/>
      <w:lvlText w:val="o"/>
      <w:lvlJc w:val="left"/>
      <w:pPr>
        <w:ind w:left="720" w:hanging="360"/>
      </w:pPr>
      <w:rPr>
        <w:rFonts w:ascii="Courier New" w:hAnsi="Courier New" w:cs="Courier New" w:hint="default"/>
      </w:rPr>
    </w:lvl>
    <w:lvl w:ilvl="2" w:tplc="4672E1E0" w:tentative="1">
      <w:start w:val="1"/>
      <w:numFmt w:val="bullet"/>
      <w:lvlText w:val=""/>
      <w:lvlJc w:val="left"/>
      <w:pPr>
        <w:ind w:left="1800" w:hanging="360"/>
      </w:pPr>
      <w:rPr>
        <w:rFonts w:ascii="Wingdings" w:hAnsi="Wingdings" w:hint="default"/>
      </w:rPr>
    </w:lvl>
    <w:lvl w:ilvl="3" w:tplc="0CBA8926" w:tentative="1">
      <w:start w:val="1"/>
      <w:numFmt w:val="bullet"/>
      <w:lvlText w:val=""/>
      <w:lvlJc w:val="left"/>
      <w:pPr>
        <w:ind w:left="2520" w:hanging="360"/>
      </w:pPr>
      <w:rPr>
        <w:rFonts w:ascii="Symbol" w:hAnsi="Symbol" w:hint="default"/>
      </w:rPr>
    </w:lvl>
    <w:lvl w:ilvl="4" w:tplc="DB0A8E50" w:tentative="1">
      <w:start w:val="1"/>
      <w:numFmt w:val="bullet"/>
      <w:lvlText w:val="o"/>
      <w:lvlJc w:val="left"/>
      <w:pPr>
        <w:ind w:left="3240" w:hanging="360"/>
      </w:pPr>
      <w:rPr>
        <w:rFonts w:ascii="Courier New" w:hAnsi="Courier New" w:cs="Courier New" w:hint="default"/>
      </w:rPr>
    </w:lvl>
    <w:lvl w:ilvl="5" w:tplc="F5AC9240" w:tentative="1">
      <w:start w:val="1"/>
      <w:numFmt w:val="bullet"/>
      <w:lvlText w:val=""/>
      <w:lvlJc w:val="left"/>
      <w:pPr>
        <w:ind w:left="3960" w:hanging="360"/>
      </w:pPr>
      <w:rPr>
        <w:rFonts w:ascii="Wingdings" w:hAnsi="Wingdings" w:hint="default"/>
      </w:rPr>
    </w:lvl>
    <w:lvl w:ilvl="6" w:tplc="4C34E198" w:tentative="1">
      <w:start w:val="1"/>
      <w:numFmt w:val="bullet"/>
      <w:lvlText w:val=""/>
      <w:lvlJc w:val="left"/>
      <w:pPr>
        <w:ind w:left="4680" w:hanging="360"/>
      </w:pPr>
      <w:rPr>
        <w:rFonts w:ascii="Symbol" w:hAnsi="Symbol" w:hint="default"/>
      </w:rPr>
    </w:lvl>
    <w:lvl w:ilvl="7" w:tplc="2278D30A" w:tentative="1">
      <w:start w:val="1"/>
      <w:numFmt w:val="bullet"/>
      <w:lvlText w:val="o"/>
      <w:lvlJc w:val="left"/>
      <w:pPr>
        <w:ind w:left="5400" w:hanging="360"/>
      </w:pPr>
      <w:rPr>
        <w:rFonts w:ascii="Courier New" w:hAnsi="Courier New" w:cs="Courier New" w:hint="default"/>
      </w:rPr>
    </w:lvl>
    <w:lvl w:ilvl="8" w:tplc="D0EC93D4" w:tentative="1">
      <w:start w:val="1"/>
      <w:numFmt w:val="bullet"/>
      <w:lvlText w:val=""/>
      <w:lvlJc w:val="left"/>
      <w:pPr>
        <w:ind w:left="6120" w:hanging="360"/>
      </w:pPr>
      <w:rPr>
        <w:rFonts w:ascii="Wingdings" w:hAnsi="Wingdings" w:hint="default"/>
      </w:rPr>
    </w:lvl>
  </w:abstractNum>
  <w:abstractNum w:abstractNumId="6" w15:restartNumberingAfterBreak="0">
    <w:nsid w:val="1C331467"/>
    <w:multiLevelType w:val="hybridMultilevel"/>
    <w:tmpl w:val="C4C68FFA"/>
    <w:lvl w:ilvl="0" w:tplc="B11E7448">
      <w:start w:val="1"/>
      <w:numFmt w:val="bullet"/>
      <w:lvlText w:val=""/>
      <w:lvlJc w:val="left"/>
      <w:pPr>
        <w:ind w:left="360" w:hanging="360"/>
      </w:pPr>
      <w:rPr>
        <w:rFonts w:ascii="Symbol" w:hAnsi="Symbol" w:hint="default"/>
      </w:rPr>
    </w:lvl>
    <w:lvl w:ilvl="1" w:tplc="53B264C4" w:tentative="1">
      <w:start w:val="1"/>
      <w:numFmt w:val="bullet"/>
      <w:lvlText w:val="o"/>
      <w:lvlJc w:val="left"/>
      <w:pPr>
        <w:ind w:left="1080" w:hanging="360"/>
      </w:pPr>
      <w:rPr>
        <w:rFonts w:ascii="Courier New" w:hAnsi="Courier New" w:cs="Courier New" w:hint="default"/>
      </w:rPr>
    </w:lvl>
    <w:lvl w:ilvl="2" w:tplc="0B9CCB4A" w:tentative="1">
      <w:start w:val="1"/>
      <w:numFmt w:val="bullet"/>
      <w:lvlText w:val=""/>
      <w:lvlJc w:val="left"/>
      <w:pPr>
        <w:ind w:left="1800" w:hanging="360"/>
      </w:pPr>
      <w:rPr>
        <w:rFonts w:ascii="Wingdings" w:hAnsi="Wingdings" w:hint="default"/>
      </w:rPr>
    </w:lvl>
    <w:lvl w:ilvl="3" w:tplc="7A56BCD8" w:tentative="1">
      <w:start w:val="1"/>
      <w:numFmt w:val="bullet"/>
      <w:lvlText w:val=""/>
      <w:lvlJc w:val="left"/>
      <w:pPr>
        <w:ind w:left="2520" w:hanging="360"/>
      </w:pPr>
      <w:rPr>
        <w:rFonts w:ascii="Symbol" w:hAnsi="Symbol" w:hint="default"/>
      </w:rPr>
    </w:lvl>
    <w:lvl w:ilvl="4" w:tplc="64905C96" w:tentative="1">
      <w:start w:val="1"/>
      <w:numFmt w:val="bullet"/>
      <w:lvlText w:val="o"/>
      <w:lvlJc w:val="left"/>
      <w:pPr>
        <w:ind w:left="3240" w:hanging="360"/>
      </w:pPr>
      <w:rPr>
        <w:rFonts w:ascii="Courier New" w:hAnsi="Courier New" w:cs="Courier New" w:hint="default"/>
      </w:rPr>
    </w:lvl>
    <w:lvl w:ilvl="5" w:tplc="61824216" w:tentative="1">
      <w:start w:val="1"/>
      <w:numFmt w:val="bullet"/>
      <w:lvlText w:val=""/>
      <w:lvlJc w:val="left"/>
      <w:pPr>
        <w:ind w:left="3960" w:hanging="360"/>
      </w:pPr>
      <w:rPr>
        <w:rFonts w:ascii="Wingdings" w:hAnsi="Wingdings" w:hint="default"/>
      </w:rPr>
    </w:lvl>
    <w:lvl w:ilvl="6" w:tplc="BD389050" w:tentative="1">
      <w:start w:val="1"/>
      <w:numFmt w:val="bullet"/>
      <w:lvlText w:val=""/>
      <w:lvlJc w:val="left"/>
      <w:pPr>
        <w:ind w:left="4680" w:hanging="360"/>
      </w:pPr>
      <w:rPr>
        <w:rFonts w:ascii="Symbol" w:hAnsi="Symbol" w:hint="default"/>
      </w:rPr>
    </w:lvl>
    <w:lvl w:ilvl="7" w:tplc="C54448F6" w:tentative="1">
      <w:start w:val="1"/>
      <w:numFmt w:val="bullet"/>
      <w:lvlText w:val="o"/>
      <w:lvlJc w:val="left"/>
      <w:pPr>
        <w:ind w:left="5400" w:hanging="360"/>
      </w:pPr>
      <w:rPr>
        <w:rFonts w:ascii="Courier New" w:hAnsi="Courier New" w:cs="Courier New" w:hint="default"/>
      </w:rPr>
    </w:lvl>
    <w:lvl w:ilvl="8" w:tplc="76369746" w:tentative="1">
      <w:start w:val="1"/>
      <w:numFmt w:val="bullet"/>
      <w:lvlText w:val=""/>
      <w:lvlJc w:val="left"/>
      <w:pPr>
        <w:ind w:left="6120" w:hanging="360"/>
      </w:pPr>
      <w:rPr>
        <w:rFonts w:ascii="Wingdings" w:hAnsi="Wingdings" w:hint="default"/>
      </w:rPr>
    </w:lvl>
  </w:abstractNum>
  <w:abstractNum w:abstractNumId="7" w15:restartNumberingAfterBreak="0">
    <w:nsid w:val="21F02EAA"/>
    <w:multiLevelType w:val="hybridMultilevel"/>
    <w:tmpl w:val="EB0822D8"/>
    <w:lvl w:ilvl="0" w:tplc="9B3A9468">
      <w:start w:val="1"/>
      <w:numFmt w:val="bullet"/>
      <w:lvlText w:val=""/>
      <w:lvlJc w:val="left"/>
      <w:pPr>
        <w:ind w:left="360" w:hanging="360"/>
      </w:pPr>
      <w:rPr>
        <w:rFonts w:ascii="Symbol" w:hAnsi="Symbol" w:hint="default"/>
      </w:rPr>
    </w:lvl>
    <w:lvl w:ilvl="1" w:tplc="EB583FCE" w:tentative="1">
      <w:start w:val="1"/>
      <w:numFmt w:val="bullet"/>
      <w:lvlText w:val="o"/>
      <w:lvlJc w:val="left"/>
      <w:pPr>
        <w:ind w:left="1080" w:hanging="360"/>
      </w:pPr>
      <w:rPr>
        <w:rFonts w:ascii="Courier New" w:hAnsi="Courier New" w:cs="Courier New" w:hint="default"/>
      </w:rPr>
    </w:lvl>
    <w:lvl w:ilvl="2" w:tplc="0B18F7AE" w:tentative="1">
      <w:start w:val="1"/>
      <w:numFmt w:val="bullet"/>
      <w:lvlText w:val=""/>
      <w:lvlJc w:val="left"/>
      <w:pPr>
        <w:ind w:left="1800" w:hanging="360"/>
      </w:pPr>
      <w:rPr>
        <w:rFonts w:ascii="Wingdings" w:hAnsi="Wingdings" w:hint="default"/>
      </w:rPr>
    </w:lvl>
    <w:lvl w:ilvl="3" w:tplc="8CE84BEC" w:tentative="1">
      <w:start w:val="1"/>
      <w:numFmt w:val="bullet"/>
      <w:lvlText w:val=""/>
      <w:lvlJc w:val="left"/>
      <w:pPr>
        <w:ind w:left="2520" w:hanging="360"/>
      </w:pPr>
      <w:rPr>
        <w:rFonts w:ascii="Symbol" w:hAnsi="Symbol" w:hint="default"/>
      </w:rPr>
    </w:lvl>
    <w:lvl w:ilvl="4" w:tplc="06007FE6" w:tentative="1">
      <w:start w:val="1"/>
      <w:numFmt w:val="bullet"/>
      <w:lvlText w:val="o"/>
      <w:lvlJc w:val="left"/>
      <w:pPr>
        <w:ind w:left="3240" w:hanging="360"/>
      </w:pPr>
      <w:rPr>
        <w:rFonts w:ascii="Courier New" w:hAnsi="Courier New" w:cs="Courier New" w:hint="default"/>
      </w:rPr>
    </w:lvl>
    <w:lvl w:ilvl="5" w:tplc="FC504870" w:tentative="1">
      <w:start w:val="1"/>
      <w:numFmt w:val="bullet"/>
      <w:lvlText w:val=""/>
      <w:lvlJc w:val="left"/>
      <w:pPr>
        <w:ind w:left="3960" w:hanging="360"/>
      </w:pPr>
      <w:rPr>
        <w:rFonts w:ascii="Wingdings" w:hAnsi="Wingdings" w:hint="default"/>
      </w:rPr>
    </w:lvl>
    <w:lvl w:ilvl="6" w:tplc="56F439C4" w:tentative="1">
      <w:start w:val="1"/>
      <w:numFmt w:val="bullet"/>
      <w:lvlText w:val=""/>
      <w:lvlJc w:val="left"/>
      <w:pPr>
        <w:ind w:left="4680" w:hanging="360"/>
      </w:pPr>
      <w:rPr>
        <w:rFonts w:ascii="Symbol" w:hAnsi="Symbol" w:hint="default"/>
      </w:rPr>
    </w:lvl>
    <w:lvl w:ilvl="7" w:tplc="A334A3FC" w:tentative="1">
      <w:start w:val="1"/>
      <w:numFmt w:val="bullet"/>
      <w:lvlText w:val="o"/>
      <w:lvlJc w:val="left"/>
      <w:pPr>
        <w:ind w:left="5400" w:hanging="360"/>
      </w:pPr>
      <w:rPr>
        <w:rFonts w:ascii="Courier New" w:hAnsi="Courier New" w:cs="Courier New" w:hint="default"/>
      </w:rPr>
    </w:lvl>
    <w:lvl w:ilvl="8" w:tplc="96E418D2" w:tentative="1">
      <w:start w:val="1"/>
      <w:numFmt w:val="bullet"/>
      <w:lvlText w:val=""/>
      <w:lvlJc w:val="left"/>
      <w:pPr>
        <w:ind w:left="6120" w:hanging="360"/>
      </w:pPr>
      <w:rPr>
        <w:rFonts w:ascii="Wingdings" w:hAnsi="Wingdings" w:hint="default"/>
      </w:rPr>
    </w:lvl>
  </w:abstractNum>
  <w:abstractNum w:abstractNumId="8" w15:restartNumberingAfterBreak="0">
    <w:nsid w:val="23BD4433"/>
    <w:multiLevelType w:val="hybridMultilevel"/>
    <w:tmpl w:val="DC401CCA"/>
    <w:lvl w:ilvl="0" w:tplc="AC92FB9E">
      <w:start w:val="1"/>
      <w:numFmt w:val="bullet"/>
      <w:lvlText w:val=""/>
      <w:lvlJc w:val="left"/>
      <w:pPr>
        <w:ind w:left="360" w:hanging="360"/>
      </w:pPr>
      <w:rPr>
        <w:rFonts w:ascii="Symbol" w:hAnsi="Symbol" w:hint="default"/>
      </w:rPr>
    </w:lvl>
    <w:lvl w:ilvl="1" w:tplc="86D8ACD6">
      <w:start w:val="1"/>
      <w:numFmt w:val="bullet"/>
      <w:lvlText w:val="o"/>
      <w:lvlJc w:val="left"/>
      <w:pPr>
        <w:ind w:left="3336" w:hanging="360"/>
      </w:pPr>
      <w:rPr>
        <w:rFonts w:ascii="Courier New" w:hAnsi="Courier New" w:cs="Courier New" w:hint="default"/>
      </w:rPr>
    </w:lvl>
    <w:lvl w:ilvl="2" w:tplc="0CC09032">
      <w:start w:val="1"/>
      <w:numFmt w:val="bullet"/>
      <w:lvlText w:val=""/>
      <w:lvlJc w:val="left"/>
      <w:pPr>
        <w:ind w:left="1800" w:hanging="360"/>
      </w:pPr>
      <w:rPr>
        <w:rFonts w:ascii="Wingdings" w:hAnsi="Wingdings" w:hint="default"/>
      </w:rPr>
    </w:lvl>
    <w:lvl w:ilvl="3" w:tplc="3C6C7BDA" w:tentative="1">
      <w:start w:val="1"/>
      <w:numFmt w:val="bullet"/>
      <w:lvlText w:val=""/>
      <w:lvlJc w:val="left"/>
      <w:pPr>
        <w:ind w:left="2520" w:hanging="360"/>
      </w:pPr>
      <w:rPr>
        <w:rFonts w:ascii="Symbol" w:hAnsi="Symbol" w:hint="default"/>
      </w:rPr>
    </w:lvl>
    <w:lvl w:ilvl="4" w:tplc="BEE02F08" w:tentative="1">
      <w:start w:val="1"/>
      <w:numFmt w:val="bullet"/>
      <w:lvlText w:val="o"/>
      <w:lvlJc w:val="left"/>
      <w:pPr>
        <w:ind w:left="3240" w:hanging="360"/>
      </w:pPr>
      <w:rPr>
        <w:rFonts w:ascii="Courier New" w:hAnsi="Courier New" w:cs="Courier New" w:hint="default"/>
      </w:rPr>
    </w:lvl>
    <w:lvl w:ilvl="5" w:tplc="C1C08F06" w:tentative="1">
      <w:start w:val="1"/>
      <w:numFmt w:val="bullet"/>
      <w:lvlText w:val=""/>
      <w:lvlJc w:val="left"/>
      <w:pPr>
        <w:ind w:left="3960" w:hanging="360"/>
      </w:pPr>
      <w:rPr>
        <w:rFonts w:ascii="Wingdings" w:hAnsi="Wingdings" w:hint="default"/>
      </w:rPr>
    </w:lvl>
    <w:lvl w:ilvl="6" w:tplc="3ECA45AE" w:tentative="1">
      <w:start w:val="1"/>
      <w:numFmt w:val="bullet"/>
      <w:lvlText w:val=""/>
      <w:lvlJc w:val="left"/>
      <w:pPr>
        <w:ind w:left="4680" w:hanging="360"/>
      </w:pPr>
      <w:rPr>
        <w:rFonts w:ascii="Symbol" w:hAnsi="Symbol" w:hint="default"/>
      </w:rPr>
    </w:lvl>
    <w:lvl w:ilvl="7" w:tplc="8E3035C0" w:tentative="1">
      <w:start w:val="1"/>
      <w:numFmt w:val="bullet"/>
      <w:lvlText w:val="o"/>
      <w:lvlJc w:val="left"/>
      <w:pPr>
        <w:ind w:left="5400" w:hanging="360"/>
      </w:pPr>
      <w:rPr>
        <w:rFonts w:ascii="Courier New" w:hAnsi="Courier New" w:cs="Courier New" w:hint="default"/>
      </w:rPr>
    </w:lvl>
    <w:lvl w:ilvl="8" w:tplc="7F2AE464" w:tentative="1">
      <w:start w:val="1"/>
      <w:numFmt w:val="bullet"/>
      <w:lvlText w:val=""/>
      <w:lvlJc w:val="left"/>
      <w:pPr>
        <w:ind w:left="6120" w:hanging="360"/>
      </w:pPr>
      <w:rPr>
        <w:rFonts w:ascii="Wingdings" w:hAnsi="Wingdings" w:hint="default"/>
      </w:rPr>
    </w:lvl>
  </w:abstractNum>
  <w:abstractNum w:abstractNumId="9" w15:restartNumberingAfterBreak="0">
    <w:nsid w:val="2E7D21F6"/>
    <w:multiLevelType w:val="hybridMultilevel"/>
    <w:tmpl w:val="4BE26A24"/>
    <w:lvl w:ilvl="0" w:tplc="AC2823AE">
      <w:start w:val="1"/>
      <w:numFmt w:val="bullet"/>
      <w:lvlText w:val=""/>
      <w:lvlJc w:val="left"/>
      <w:pPr>
        <w:ind w:left="360" w:hanging="360"/>
      </w:pPr>
      <w:rPr>
        <w:rFonts w:ascii="Symbol" w:hAnsi="Symbol" w:hint="default"/>
      </w:rPr>
    </w:lvl>
    <w:lvl w:ilvl="1" w:tplc="0DD4CB42" w:tentative="1">
      <w:start w:val="1"/>
      <w:numFmt w:val="bullet"/>
      <w:lvlText w:val="o"/>
      <w:lvlJc w:val="left"/>
      <w:pPr>
        <w:ind w:left="1080" w:hanging="360"/>
      </w:pPr>
      <w:rPr>
        <w:rFonts w:ascii="Courier New" w:hAnsi="Courier New" w:cs="Courier New" w:hint="default"/>
      </w:rPr>
    </w:lvl>
    <w:lvl w:ilvl="2" w:tplc="5EF8CF48" w:tentative="1">
      <w:start w:val="1"/>
      <w:numFmt w:val="bullet"/>
      <w:lvlText w:val=""/>
      <w:lvlJc w:val="left"/>
      <w:pPr>
        <w:ind w:left="1800" w:hanging="360"/>
      </w:pPr>
      <w:rPr>
        <w:rFonts w:ascii="Wingdings" w:hAnsi="Wingdings" w:hint="default"/>
      </w:rPr>
    </w:lvl>
    <w:lvl w:ilvl="3" w:tplc="921255E4" w:tentative="1">
      <w:start w:val="1"/>
      <w:numFmt w:val="bullet"/>
      <w:lvlText w:val=""/>
      <w:lvlJc w:val="left"/>
      <w:pPr>
        <w:ind w:left="2520" w:hanging="360"/>
      </w:pPr>
      <w:rPr>
        <w:rFonts w:ascii="Symbol" w:hAnsi="Symbol" w:hint="default"/>
      </w:rPr>
    </w:lvl>
    <w:lvl w:ilvl="4" w:tplc="814A94D8" w:tentative="1">
      <w:start w:val="1"/>
      <w:numFmt w:val="bullet"/>
      <w:lvlText w:val="o"/>
      <w:lvlJc w:val="left"/>
      <w:pPr>
        <w:ind w:left="3240" w:hanging="360"/>
      </w:pPr>
      <w:rPr>
        <w:rFonts w:ascii="Courier New" w:hAnsi="Courier New" w:cs="Courier New" w:hint="default"/>
      </w:rPr>
    </w:lvl>
    <w:lvl w:ilvl="5" w:tplc="B9602F80" w:tentative="1">
      <w:start w:val="1"/>
      <w:numFmt w:val="bullet"/>
      <w:lvlText w:val=""/>
      <w:lvlJc w:val="left"/>
      <w:pPr>
        <w:ind w:left="3960" w:hanging="360"/>
      </w:pPr>
      <w:rPr>
        <w:rFonts w:ascii="Wingdings" w:hAnsi="Wingdings" w:hint="default"/>
      </w:rPr>
    </w:lvl>
    <w:lvl w:ilvl="6" w:tplc="89B45C86" w:tentative="1">
      <w:start w:val="1"/>
      <w:numFmt w:val="bullet"/>
      <w:lvlText w:val=""/>
      <w:lvlJc w:val="left"/>
      <w:pPr>
        <w:ind w:left="4680" w:hanging="360"/>
      </w:pPr>
      <w:rPr>
        <w:rFonts w:ascii="Symbol" w:hAnsi="Symbol" w:hint="default"/>
      </w:rPr>
    </w:lvl>
    <w:lvl w:ilvl="7" w:tplc="DE6467BE" w:tentative="1">
      <w:start w:val="1"/>
      <w:numFmt w:val="bullet"/>
      <w:lvlText w:val="o"/>
      <w:lvlJc w:val="left"/>
      <w:pPr>
        <w:ind w:left="5400" w:hanging="360"/>
      </w:pPr>
      <w:rPr>
        <w:rFonts w:ascii="Courier New" w:hAnsi="Courier New" w:cs="Courier New" w:hint="default"/>
      </w:rPr>
    </w:lvl>
    <w:lvl w:ilvl="8" w:tplc="512ED1F4" w:tentative="1">
      <w:start w:val="1"/>
      <w:numFmt w:val="bullet"/>
      <w:lvlText w:val=""/>
      <w:lvlJc w:val="left"/>
      <w:pPr>
        <w:ind w:left="6120" w:hanging="360"/>
      </w:pPr>
      <w:rPr>
        <w:rFonts w:ascii="Wingdings" w:hAnsi="Wingdings" w:hint="default"/>
      </w:rPr>
    </w:lvl>
  </w:abstractNum>
  <w:abstractNum w:abstractNumId="10" w15:restartNumberingAfterBreak="0">
    <w:nsid w:val="49174AC6"/>
    <w:multiLevelType w:val="multilevel"/>
    <w:tmpl w:val="C1267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9D066C"/>
    <w:multiLevelType w:val="hybridMultilevel"/>
    <w:tmpl w:val="1EA85CB6"/>
    <w:lvl w:ilvl="0" w:tplc="AFAC0082">
      <w:start w:val="1"/>
      <w:numFmt w:val="lowerRoman"/>
      <w:lvlText w:val="%1."/>
      <w:lvlJc w:val="right"/>
      <w:pPr>
        <w:ind w:left="630" w:hanging="360"/>
      </w:pPr>
    </w:lvl>
    <w:lvl w:ilvl="1" w:tplc="B43295D8" w:tentative="1">
      <w:start w:val="1"/>
      <w:numFmt w:val="lowerLetter"/>
      <w:lvlText w:val="%2."/>
      <w:lvlJc w:val="left"/>
      <w:pPr>
        <w:ind w:left="1350" w:hanging="360"/>
      </w:pPr>
    </w:lvl>
    <w:lvl w:ilvl="2" w:tplc="09C64D7A" w:tentative="1">
      <w:start w:val="1"/>
      <w:numFmt w:val="lowerRoman"/>
      <w:lvlText w:val="%3."/>
      <w:lvlJc w:val="right"/>
      <w:pPr>
        <w:ind w:left="2070" w:hanging="180"/>
      </w:pPr>
    </w:lvl>
    <w:lvl w:ilvl="3" w:tplc="9B82644A" w:tentative="1">
      <w:start w:val="1"/>
      <w:numFmt w:val="decimal"/>
      <w:lvlText w:val="%4."/>
      <w:lvlJc w:val="left"/>
      <w:pPr>
        <w:ind w:left="2790" w:hanging="360"/>
      </w:pPr>
    </w:lvl>
    <w:lvl w:ilvl="4" w:tplc="0040DF5A" w:tentative="1">
      <w:start w:val="1"/>
      <w:numFmt w:val="lowerLetter"/>
      <w:lvlText w:val="%5."/>
      <w:lvlJc w:val="left"/>
      <w:pPr>
        <w:ind w:left="3510" w:hanging="360"/>
      </w:pPr>
    </w:lvl>
    <w:lvl w:ilvl="5" w:tplc="22CEC2BC" w:tentative="1">
      <w:start w:val="1"/>
      <w:numFmt w:val="lowerRoman"/>
      <w:lvlText w:val="%6."/>
      <w:lvlJc w:val="right"/>
      <w:pPr>
        <w:ind w:left="4230" w:hanging="180"/>
      </w:pPr>
    </w:lvl>
    <w:lvl w:ilvl="6" w:tplc="60785422" w:tentative="1">
      <w:start w:val="1"/>
      <w:numFmt w:val="decimal"/>
      <w:lvlText w:val="%7."/>
      <w:lvlJc w:val="left"/>
      <w:pPr>
        <w:ind w:left="4950" w:hanging="360"/>
      </w:pPr>
    </w:lvl>
    <w:lvl w:ilvl="7" w:tplc="226C0832" w:tentative="1">
      <w:start w:val="1"/>
      <w:numFmt w:val="lowerLetter"/>
      <w:lvlText w:val="%8."/>
      <w:lvlJc w:val="left"/>
      <w:pPr>
        <w:ind w:left="5670" w:hanging="360"/>
      </w:pPr>
    </w:lvl>
    <w:lvl w:ilvl="8" w:tplc="B41ADB2A" w:tentative="1">
      <w:start w:val="1"/>
      <w:numFmt w:val="lowerRoman"/>
      <w:lvlText w:val="%9."/>
      <w:lvlJc w:val="right"/>
      <w:pPr>
        <w:ind w:left="6390" w:hanging="180"/>
      </w:pPr>
    </w:lvl>
  </w:abstractNum>
  <w:abstractNum w:abstractNumId="12" w15:restartNumberingAfterBreak="0">
    <w:nsid w:val="4FDD23DD"/>
    <w:multiLevelType w:val="hybridMultilevel"/>
    <w:tmpl w:val="198C5DBE"/>
    <w:lvl w:ilvl="0" w:tplc="DCE4D23E">
      <w:start w:val="1"/>
      <w:numFmt w:val="bullet"/>
      <w:lvlText w:val="-"/>
      <w:lvlJc w:val="left"/>
      <w:pPr>
        <w:ind w:left="360" w:hanging="360"/>
      </w:pPr>
      <w:rPr>
        <w:rFonts w:ascii="Courier New" w:hAnsi="Courier New" w:hint="default"/>
      </w:rPr>
    </w:lvl>
    <w:lvl w:ilvl="1" w:tplc="0DD28B40" w:tentative="1">
      <w:start w:val="1"/>
      <w:numFmt w:val="bullet"/>
      <w:lvlText w:val="o"/>
      <w:lvlJc w:val="left"/>
      <w:pPr>
        <w:ind w:left="720" w:hanging="360"/>
      </w:pPr>
      <w:rPr>
        <w:rFonts w:ascii="Courier New" w:hAnsi="Courier New" w:cs="Courier New" w:hint="default"/>
      </w:rPr>
    </w:lvl>
    <w:lvl w:ilvl="2" w:tplc="8774E3AA" w:tentative="1">
      <w:start w:val="1"/>
      <w:numFmt w:val="bullet"/>
      <w:lvlText w:val=""/>
      <w:lvlJc w:val="left"/>
      <w:pPr>
        <w:ind w:left="1440" w:hanging="360"/>
      </w:pPr>
      <w:rPr>
        <w:rFonts w:ascii="Wingdings" w:hAnsi="Wingdings" w:hint="default"/>
      </w:rPr>
    </w:lvl>
    <w:lvl w:ilvl="3" w:tplc="7444D2D8" w:tentative="1">
      <w:start w:val="1"/>
      <w:numFmt w:val="bullet"/>
      <w:lvlText w:val=""/>
      <w:lvlJc w:val="left"/>
      <w:pPr>
        <w:ind w:left="2160" w:hanging="360"/>
      </w:pPr>
      <w:rPr>
        <w:rFonts w:ascii="Symbol" w:hAnsi="Symbol" w:hint="default"/>
      </w:rPr>
    </w:lvl>
    <w:lvl w:ilvl="4" w:tplc="57DAB46E" w:tentative="1">
      <w:start w:val="1"/>
      <w:numFmt w:val="bullet"/>
      <w:lvlText w:val="o"/>
      <w:lvlJc w:val="left"/>
      <w:pPr>
        <w:ind w:left="2880" w:hanging="360"/>
      </w:pPr>
      <w:rPr>
        <w:rFonts w:ascii="Courier New" w:hAnsi="Courier New" w:cs="Courier New" w:hint="default"/>
      </w:rPr>
    </w:lvl>
    <w:lvl w:ilvl="5" w:tplc="59186362" w:tentative="1">
      <w:start w:val="1"/>
      <w:numFmt w:val="bullet"/>
      <w:lvlText w:val=""/>
      <w:lvlJc w:val="left"/>
      <w:pPr>
        <w:ind w:left="3600" w:hanging="360"/>
      </w:pPr>
      <w:rPr>
        <w:rFonts w:ascii="Wingdings" w:hAnsi="Wingdings" w:hint="default"/>
      </w:rPr>
    </w:lvl>
    <w:lvl w:ilvl="6" w:tplc="17A2F1FA" w:tentative="1">
      <w:start w:val="1"/>
      <w:numFmt w:val="bullet"/>
      <w:lvlText w:val=""/>
      <w:lvlJc w:val="left"/>
      <w:pPr>
        <w:ind w:left="4320" w:hanging="360"/>
      </w:pPr>
      <w:rPr>
        <w:rFonts w:ascii="Symbol" w:hAnsi="Symbol" w:hint="default"/>
      </w:rPr>
    </w:lvl>
    <w:lvl w:ilvl="7" w:tplc="977E29EC" w:tentative="1">
      <w:start w:val="1"/>
      <w:numFmt w:val="bullet"/>
      <w:lvlText w:val="o"/>
      <w:lvlJc w:val="left"/>
      <w:pPr>
        <w:ind w:left="5040" w:hanging="360"/>
      </w:pPr>
      <w:rPr>
        <w:rFonts w:ascii="Courier New" w:hAnsi="Courier New" w:cs="Courier New" w:hint="default"/>
      </w:rPr>
    </w:lvl>
    <w:lvl w:ilvl="8" w:tplc="8C563392" w:tentative="1">
      <w:start w:val="1"/>
      <w:numFmt w:val="bullet"/>
      <w:lvlText w:val=""/>
      <w:lvlJc w:val="left"/>
      <w:pPr>
        <w:ind w:left="5760" w:hanging="360"/>
      </w:pPr>
      <w:rPr>
        <w:rFonts w:ascii="Wingdings" w:hAnsi="Wingdings" w:hint="default"/>
      </w:rPr>
    </w:lvl>
  </w:abstractNum>
  <w:abstractNum w:abstractNumId="13" w15:restartNumberingAfterBreak="0">
    <w:nsid w:val="56DA22DC"/>
    <w:multiLevelType w:val="hybridMultilevel"/>
    <w:tmpl w:val="E496EBB6"/>
    <w:lvl w:ilvl="0" w:tplc="6002AA14">
      <w:start w:val="1"/>
      <w:numFmt w:val="decimal"/>
      <w:lvlText w:val="%1."/>
      <w:lvlJc w:val="left"/>
      <w:pPr>
        <w:ind w:left="360" w:hanging="360"/>
      </w:pPr>
      <w:rPr>
        <w:rFonts w:hint="default"/>
      </w:rPr>
    </w:lvl>
    <w:lvl w:ilvl="1" w:tplc="5C6295D6" w:tentative="1">
      <w:start w:val="1"/>
      <w:numFmt w:val="lowerLetter"/>
      <w:lvlText w:val="%2."/>
      <w:lvlJc w:val="left"/>
      <w:pPr>
        <w:ind w:left="1080" w:hanging="360"/>
      </w:pPr>
    </w:lvl>
    <w:lvl w:ilvl="2" w:tplc="9F5C2A92" w:tentative="1">
      <w:start w:val="1"/>
      <w:numFmt w:val="lowerRoman"/>
      <w:lvlText w:val="%3."/>
      <w:lvlJc w:val="right"/>
      <w:pPr>
        <w:ind w:left="1800" w:hanging="180"/>
      </w:pPr>
    </w:lvl>
    <w:lvl w:ilvl="3" w:tplc="94BEA07E" w:tentative="1">
      <w:start w:val="1"/>
      <w:numFmt w:val="decimal"/>
      <w:lvlText w:val="%4."/>
      <w:lvlJc w:val="left"/>
      <w:pPr>
        <w:ind w:left="2520" w:hanging="360"/>
      </w:pPr>
    </w:lvl>
    <w:lvl w:ilvl="4" w:tplc="95C42AFA" w:tentative="1">
      <w:start w:val="1"/>
      <w:numFmt w:val="lowerLetter"/>
      <w:lvlText w:val="%5."/>
      <w:lvlJc w:val="left"/>
      <w:pPr>
        <w:ind w:left="3240" w:hanging="360"/>
      </w:pPr>
    </w:lvl>
    <w:lvl w:ilvl="5" w:tplc="39D62628" w:tentative="1">
      <w:start w:val="1"/>
      <w:numFmt w:val="lowerRoman"/>
      <w:lvlText w:val="%6."/>
      <w:lvlJc w:val="right"/>
      <w:pPr>
        <w:ind w:left="3960" w:hanging="180"/>
      </w:pPr>
    </w:lvl>
    <w:lvl w:ilvl="6" w:tplc="44F24F38" w:tentative="1">
      <w:start w:val="1"/>
      <w:numFmt w:val="decimal"/>
      <w:lvlText w:val="%7."/>
      <w:lvlJc w:val="left"/>
      <w:pPr>
        <w:ind w:left="4680" w:hanging="360"/>
      </w:pPr>
    </w:lvl>
    <w:lvl w:ilvl="7" w:tplc="A32EB7C4" w:tentative="1">
      <w:start w:val="1"/>
      <w:numFmt w:val="lowerLetter"/>
      <w:lvlText w:val="%8."/>
      <w:lvlJc w:val="left"/>
      <w:pPr>
        <w:ind w:left="5400" w:hanging="360"/>
      </w:pPr>
    </w:lvl>
    <w:lvl w:ilvl="8" w:tplc="8320CBD0" w:tentative="1">
      <w:start w:val="1"/>
      <w:numFmt w:val="lowerRoman"/>
      <w:lvlText w:val="%9."/>
      <w:lvlJc w:val="right"/>
      <w:pPr>
        <w:ind w:left="6120" w:hanging="180"/>
      </w:pPr>
    </w:lvl>
  </w:abstractNum>
  <w:abstractNum w:abstractNumId="14" w15:restartNumberingAfterBreak="0">
    <w:nsid w:val="57E406F6"/>
    <w:multiLevelType w:val="hybridMultilevel"/>
    <w:tmpl w:val="B5CCF86E"/>
    <w:lvl w:ilvl="0" w:tplc="FE7C776A">
      <w:start w:val="1"/>
      <w:numFmt w:val="decimal"/>
      <w:lvlText w:val="%1."/>
      <w:lvlJc w:val="left"/>
      <w:pPr>
        <w:ind w:left="360" w:hanging="360"/>
      </w:pPr>
      <w:rPr>
        <w:rFonts w:hint="default"/>
        <w:sz w:val="16"/>
        <w:szCs w:val="16"/>
      </w:rPr>
    </w:lvl>
    <w:lvl w:ilvl="1" w:tplc="BE7AD568" w:tentative="1">
      <w:start w:val="1"/>
      <w:numFmt w:val="lowerLetter"/>
      <w:lvlText w:val="%2."/>
      <w:lvlJc w:val="left"/>
      <w:pPr>
        <w:ind w:left="1080" w:hanging="360"/>
      </w:pPr>
    </w:lvl>
    <w:lvl w:ilvl="2" w:tplc="72023AB8" w:tentative="1">
      <w:start w:val="1"/>
      <w:numFmt w:val="lowerRoman"/>
      <w:lvlText w:val="%3."/>
      <w:lvlJc w:val="right"/>
      <w:pPr>
        <w:ind w:left="1800" w:hanging="180"/>
      </w:pPr>
    </w:lvl>
    <w:lvl w:ilvl="3" w:tplc="27F8DE2E" w:tentative="1">
      <w:start w:val="1"/>
      <w:numFmt w:val="decimal"/>
      <w:lvlText w:val="%4."/>
      <w:lvlJc w:val="left"/>
      <w:pPr>
        <w:ind w:left="2520" w:hanging="360"/>
      </w:pPr>
    </w:lvl>
    <w:lvl w:ilvl="4" w:tplc="4006776E" w:tentative="1">
      <w:start w:val="1"/>
      <w:numFmt w:val="lowerLetter"/>
      <w:lvlText w:val="%5."/>
      <w:lvlJc w:val="left"/>
      <w:pPr>
        <w:ind w:left="3240" w:hanging="360"/>
      </w:pPr>
    </w:lvl>
    <w:lvl w:ilvl="5" w:tplc="2FDA430E" w:tentative="1">
      <w:start w:val="1"/>
      <w:numFmt w:val="lowerRoman"/>
      <w:lvlText w:val="%6."/>
      <w:lvlJc w:val="right"/>
      <w:pPr>
        <w:ind w:left="3960" w:hanging="180"/>
      </w:pPr>
    </w:lvl>
    <w:lvl w:ilvl="6" w:tplc="DA848A56" w:tentative="1">
      <w:start w:val="1"/>
      <w:numFmt w:val="decimal"/>
      <w:lvlText w:val="%7."/>
      <w:lvlJc w:val="left"/>
      <w:pPr>
        <w:ind w:left="4680" w:hanging="360"/>
      </w:pPr>
    </w:lvl>
    <w:lvl w:ilvl="7" w:tplc="87506888" w:tentative="1">
      <w:start w:val="1"/>
      <w:numFmt w:val="lowerLetter"/>
      <w:lvlText w:val="%8."/>
      <w:lvlJc w:val="left"/>
      <w:pPr>
        <w:ind w:left="5400" w:hanging="360"/>
      </w:pPr>
    </w:lvl>
    <w:lvl w:ilvl="8" w:tplc="9F46E820" w:tentative="1">
      <w:start w:val="1"/>
      <w:numFmt w:val="lowerRoman"/>
      <w:lvlText w:val="%9."/>
      <w:lvlJc w:val="right"/>
      <w:pPr>
        <w:ind w:left="6120" w:hanging="180"/>
      </w:pPr>
    </w:lvl>
  </w:abstractNum>
  <w:abstractNum w:abstractNumId="15" w15:restartNumberingAfterBreak="0">
    <w:nsid w:val="59C93AEE"/>
    <w:multiLevelType w:val="hybridMultilevel"/>
    <w:tmpl w:val="092ACEC4"/>
    <w:lvl w:ilvl="0" w:tplc="C6FADCB8">
      <w:start w:val="1"/>
      <w:numFmt w:val="upperLetter"/>
      <w:lvlText w:val="%1."/>
      <w:lvlJc w:val="left"/>
      <w:pPr>
        <w:ind w:left="360" w:hanging="360"/>
      </w:pPr>
    </w:lvl>
    <w:lvl w:ilvl="1" w:tplc="0CC2E252" w:tentative="1">
      <w:start w:val="1"/>
      <w:numFmt w:val="lowerLetter"/>
      <w:lvlText w:val="%2."/>
      <w:lvlJc w:val="left"/>
      <w:pPr>
        <w:ind w:left="1080" w:hanging="360"/>
      </w:pPr>
    </w:lvl>
    <w:lvl w:ilvl="2" w:tplc="F30A4E8A" w:tentative="1">
      <w:start w:val="1"/>
      <w:numFmt w:val="lowerRoman"/>
      <w:lvlText w:val="%3."/>
      <w:lvlJc w:val="right"/>
      <w:pPr>
        <w:ind w:left="1800" w:hanging="180"/>
      </w:pPr>
    </w:lvl>
    <w:lvl w:ilvl="3" w:tplc="8BFA9594" w:tentative="1">
      <w:start w:val="1"/>
      <w:numFmt w:val="decimal"/>
      <w:lvlText w:val="%4."/>
      <w:lvlJc w:val="left"/>
      <w:pPr>
        <w:ind w:left="2520" w:hanging="360"/>
      </w:pPr>
    </w:lvl>
    <w:lvl w:ilvl="4" w:tplc="DCDC5EE4" w:tentative="1">
      <w:start w:val="1"/>
      <w:numFmt w:val="lowerLetter"/>
      <w:lvlText w:val="%5."/>
      <w:lvlJc w:val="left"/>
      <w:pPr>
        <w:ind w:left="3240" w:hanging="360"/>
      </w:pPr>
    </w:lvl>
    <w:lvl w:ilvl="5" w:tplc="CE24F670" w:tentative="1">
      <w:start w:val="1"/>
      <w:numFmt w:val="lowerRoman"/>
      <w:lvlText w:val="%6."/>
      <w:lvlJc w:val="right"/>
      <w:pPr>
        <w:ind w:left="3960" w:hanging="180"/>
      </w:pPr>
    </w:lvl>
    <w:lvl w:ilvl="6" w:tplc="DCBA792A" w:tentative="1">
      <w:start w:val="1"/>
      <w:numFmt w:val="decimal"/>
      <w:lvlText w:val="%7."/>
      <w:lvlJc w:val="left"/>
      <w:pPr>
        <w:ind w:left="4680" w:hanging="360"/>
      </w:pPr>
    </w:lvl>
    <w:lvl w:ilvl="7" w:tplc="D83AB0BA" w:tentative="1">
      <w:start w:val="1"/>
      <w:numFmt w:val="lowerLetter"/>
      <w:lvlText w:val="%8."/>
      <w:lvlJc w:val="left"/>
      <w:pPr>
        <w:ind w:left="5400" w:hanging="360"/>
      </w:pPr>
    </w:lvl>
    <w:lvl w:ilvl="8" w:tplc="7794FF8C" w:tentative="1">
      <w:start w:val="1"/>
      <w:numFmt w:val="lowerRoman"/>
      <w:lvlText w:val="%9."/>
      <w:lvlJc w:val="right"/>
      <w:pPr>
        <w:ind w:left="6120" w:hanging="180"/>
      </w:pPr>
    </w:lvl>
  </w:abstractNum>
  <w:abstractNum w:abstractNumId="16" w15:restartNumberingAfterBreak="0">
    <w:nsid w:val="5DC809C3"/>
    <w:multiLevelType w:val="hybridMultilevel"/>
    <w:tmpl w:val="46F6DAD6"/>
    <w:lvl w:ilvl="0" w:tplc="38465930">
      <w:start w:val="1"/>
      <w:numFmt w:val="bullet"/>
      <w:lvlText w:val=""/>
      <w:lvlJc w:val="left"/>
      <w:pPr>
        <w:ind w:left="360" w:hanging="360"/>
      </w:pPr>
      <w:rPr>
        <w:rFonts w:ascii="Symbol" w:hAnsi="Symbol" w:hint="default"/>
      </w:rPr>
    </w:lvl>
    <w:lvl w:ilvl="1" w:tplc="E08863A6" w:tentative="1">
      <w:start w:val="1"/>
      <w:numFmt w:val="bullet"/>
      <w:lvlText w:val="o"/>
      <w:lvlJc w:val="left"/>
      <w:pPr>
        <w:ind w:left="720" w:hanging="360"/>
      </w:pPr>
      <w:rPr>
        <w:rFonts w:ascii="Courier New" w:hAnsi="Courier New" w:cs="Courier New" w:hint="default"/>
      </w:rPr>
    </w:lvl>
    <w:lvl w:ilvl="2" w:tplc="6538A47A" w:tentative="1">
      <w:start w:val="1"/>
      <w:numFmt w:val="bullet"/>
      <w:lvlText w:val=""/>
      <w:lvlJc w:val="left"/>
      <w:pPr>
        <w:ind w:left="1440" w:hanging="360"/>
      </w:pPr>
      <w:rPr>
        <w:rFonts w:ascii="Wingdings" w:hAnsi="Wingdings" w:hint="default"/>
      </w:rPr>
    </w:lvl>
    <w:lvl w:ilvl="3" w:tplc="4606CE20" w:tentative="1">
      <w:start w:val="1"/>
      <w:numFmt w:val="bullet"/>
      <w:lvlText w:val=""/>
      <w:lvlJc w:val="left"/>
      <w:pPr>
        <w:ind w:left="2160" w:hanging="360"/>
      </w:pPr>
      <w:rPr>
        <w:rFonts w:ascii="Symbol" w:hAnsi="Symbol" w:hint="default"/>
      </w:rPr>
    </w:lvl>
    <w:lvl w:ilvl="4" w:tplc="1BD289DE" w:tentative="1">
      <w:start w:val="1"/>
      <w:numFmt w:val="bullet"/>
      <w:lvlText w:val="o"/>
      <w:lvlJc w:val="left"/>
      <w:pPr>
        <w:ind w:left="2880" w:hanging="360"/>
      </w:pPr>
      <w:rPr>
        <w:rFonts w:ascii="Courier New" w:hAnsi="Courier New" w:cs="Courier New" w:hint="default"/>
      </w:rPr>
    </w:lvl>
    <w:lvl w:ilvl="5" w:tplc="A4027BEE" w:tentative="1">
      <w:start w:val="1"/>
      <w:numFmt w:val="bullet"/>
      <w:lvlText w:val=""/>
      <w:lvlJc w:val="left"/>
      <w:pPr>
        <w:ind w:left="3600" w:hanging="360"/>
      </w:pPr>
      <w:rPr>
        <w:rFonts w:ascii="Wingdings" w:hAnsi="Wingdings" w:hint="default"/>
      </w:rPr>
    </w:lvl>
    <w:lvl w:ilvl="6" w:tplc="E70EB9DA" w:tentative="1">
      <w:start w:val="1"/>
      <w:numFmt w:val="bullet"/>
      <w:lvlText w:val=""/>
      <w:lvlJc w:val="left"/>
      <w:pPr>
        <w:ind w:left="4320" w:hanging="360"/>
      </w:pPr>
      <w:rPr>
        <w:rFonts w:ascii="Symbol" w:hAnsi="Symbol" w:hint="default"/>
      </w:rPr>
    </w:lvl>
    <w:lvl w:ilvl="7" w:tplc="8EB08F02" w:tentative="1">
      <w:start w:val="1"/>
      <w:numFmt w:val="bullet"/>
      <w:lvlText w:val="o"/>
      <w:lvlJc w:val="left"/>
      <w:pPr>
        <w:ind w:left="5040" w:hanging="360"/>
      </w:pPr>
      <w:rPr>
        <w:rFonts w:ascii="Courier New" w:hAnsi="Courier New" w:cs="Courier New" w:hint="default"/>
      </w:rPr>
    </w:lvl>
    <w:lvl w:ilvl="8" w:tplc="B3181EC6" w:tentative="1">
      <w:start w:val="1"/>
      <w:numFmt w:val="bullet"/>
      <w:lvlText w:val=""/>
      <w:lvlJc w:val="left"/>
      <w:pPr>
        <w:ind w:left="5760" w:hanging="360"/>
      </w:pPr>
      <w:rPr>
        <w:rFonts w:ascii="Wingdings" w:hAnsi="Wingdings" w:hint="default"/>
      </w:rPr>
    </w:lvl>
  </w:abstractNum>
  <w:abstractNum w:abstractNumId="17" w15:restartNumberingAfterBreak="0">
    <w:nsid w:val="615A7850"/>
    <w:multiLevelType w:val="hybridMultilevel"/>
    <w:tmpl w:val="ABF4437C"/>
    <w:lvl w:ilvl="0" w:tplc="C1AA22BE">
      <w:start w:val="1"/>
      <w:numFmt w:val="bullet"/>
      <w:lvlText w:val=""/>
      <w:lvlJc w:val="left"/>
      <w:pPr>
        <w:ind w:left="360" w:hanging="360"/>
      </w:pPr>
      <w:rPr>
        <w:rFonts w:ascii="Symbol" w:hAnsi="Symbol" w:hint="default"/>
      </w:rPr>
    </w:lvl>
    <w:lvl w:ilvl="1" w:tplc="42901AA4" w:tentative="1">
      <w:start w:val="1"/>
      <w:numFmt w:val="bullet"/>
      <w:lvlText w:val="o"/>
      <w:lvlJc w:val="left"/>
      <w:pPr>
        <w:ind w:left="1080" w:hanging="360"/>
      </w:pPr>
      <w:rPr>
        <w:rFonts w:ascii="Courier New" w:hAnsi="Courier New" w:cs="Courier New" w:hint="default"/>
      </w:rPr>
    </w:lvl>
    <w:lvl w:ilvl="2" w:tplc="778E152C" w:tentative="1">
      <w:start w:val="1"/>
      <w:numFmt w:val="bullet"/>
      <w:lvlText w:val=""/>
      <w:lvlJc w:val="left"/>
      <w:pPr>
        <w:ind w:left="1800" w:hanging="360"/>
      </w:pPr>
      <w:rPr>
        <w:rFonts w:ascii="Wingdings" w:hAnsi="Wingdings" w:hint="default"/>
      </w:rPr>
    </w:lvl>
    <w:lvl w:ilvl="3" w:tplc="B288A266" w:tentative="1">
      <w:start w:val="1"/>
      <w:numFmt w:val="bullet"/>
      <w:lvlText w:val=""/>
      <w:lvlJc w:val="left"/>
      <w:pPr>
        <w:ind w:left="2520" w:hanging="360"/>
      </w:pPr>
      <w:rPr>
        <w:rFonts w:ascii="Symbol" w:hAnsi="Symbol" w:hint="default"/>
      </w:rPr>
    </w:lvl>
    <w:lvl w:ilvl="4" w:tplc="A8FC6350" w:tentative="1">
      <w:start w:val="1"/>
      <w:numFmt w:val="bullet"/>
      <w:lvlText w:val="o"/>
      <w:lvlJc w:val="left"/>
      <w:pPr>
        <w:ind w:left="3240" w:hanging="360"/>
      </w:pPr>
      <w:rPr>
        <w:rFonts w:ascii="Courier New" w:hAnsi="Courier New" w:cs="Courier New" w:hint="default"/>
      </w:rPr>
    </w:lvl>
    <w:lvl w:ilvl="5" w:tplc="7C4CF9EA" w:tentative="1">
      <w:start w:val="1"/>
      <w:numFmt w:val="bullet"/>
      <w:lvlText w:val=""/>
      <w:lvlJc w:val="left"/>
      <w:pPr>
        <w:ind w:left="3960" w:hanging="360"/>
      </w:pPr>
      <w:rPr>
        <w:rFonts w:ascii="Wingdings" w:hAnsi="Wingdings" w:hint="default"/>
      </w:rPr>
    </w:lvl>
    <w:lvl w:ilvl="6" w:tplc="52120F9C" w:tentative="1">
      <w:start w:val="1"/>
      <w:numFmt w:val="bullet"/>
      <w:lvlText w:val=""/>
      <w:lvlJc w:val="left"/>
      <w:pPr>
        <w:ind w:left="4680" w:hanging="360"/>
      </w:pPr>
      <w:rPr>
        <w:rFonts w:ascii="Symbol" w:hAnsi="Symbol" w:hint="default"/>
      </w:rPr>
    </w:lvl>
    <w:lvl w:ilvl="7" w:tplc="29B6B1C6" w:tentative="1">
      <w:start w:val="1"/>
      <w:numFmt w:val="bullet"/>
      <w:lvlText w:val="o"/>
      <w:lvlJc w:val="left"/>
      <w:pPr>
        <w:ind w:left="5400" w:hanging="360"/>
      </w:pPr>
      <w:rPr>
        <w:rFonts w:ascii="Courier New" w:hAnsi="Courier New" w:cs="Courier New" w:hint="default"/>
      </w:rPr>
    </w:lvl>
    <w:lvl w:ilvl="8" w:tplc="801AFF60" w:tentative="1">
      <w:start w:val="1"/>
      <w:numFmt w:val="bullet"/>
      <w:lvlText w:val=""/>
      <w:lvlJc w:val="left"/>
      <w:pPr>
        <w:ind w:left="6120" w:hanging="360"/>
      </w:pPr>
      <w:rPr>
        <w:rFonts w:ascii="Wingdings" w:hAnsi="Wingdings" w:hint="default"/>
      </w:rPr>
    </w:lvl>
  </w:abstractNum>
  <w:abstractNum w:abstractNumId="18" w15:restartNumberingAfterBreak="0">
    <w:nsid w:val="61B35AA5"/>
    <w:multiLevelType w:val="multilevel"/>
    <w:tmpl w:val="52F87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DE1781"/>
    <w:multiLevelType w:val="hybridMultilevel"/>
    <w:tmpl w:val="D50014FE"/>
    <w:lvl w:ilvl="0" w:tplc="1C400C44">
      <w:start w:val="1"/>
      <w:numFmt w:val="bullet"/>
      <w:lvlText w:val=""/>
      <w:lvlJc w:val="left"/>
      <w:pPr>
        <w:ind w:left="360" w:hanging="360"/>
      </w:pPr>
      <w:rPr>
        <w:rFonts w:ascii="Symbol" w:hAnsi="Symbol" w:hint="default"/>
      </w:rPr>
    </w:lvl>
    <w:lvl w:ilvl="1" w:tplc="EA6A7798">
      <w:start w:val="1"/>
      <w:numFmt w:val="bullet"/>
      <w:lvlText w:val="-"/>
      <w:lvlJc w:val="left"/>
      <w:pPr>
        <w:ind w:left="1080" w:hanging="360"/>
      </w:pPr>
      <w:rPr>
        <w:rFonts w:ascii="Courier New" w:hAnsi="Courier New" w:hint="default"/>
      </w:rPr>
    </w:lvl>
    <w:lvl w:ilvl="2" w:tplc="831AFFF8" w:tentative="1">
      <w:start w:val="1"/>
      <w:numFmt w:val="bullet"/>
      <w:lvlText w:val=""/>
      <w:lvlJc w:val="left"/>
      <w:pPr>
        <w:ind w:left="1800" w:hanging="360"/>
      </w:pPr>
      <w:rPr>
        <w:rFonts w:ascii="Wingdings" w:hAnsi="Wingdings" w:hint="default"/>
      </w:rPr>
    </w:lvl>
    <w:lvl w:ilvl="3" w:tplc="81504C8C" w:tentative="1">
      <w:start w:val="1"/>
      <w:numFmt w:val="bullet"/>
      <w:lvlText w:val=""/>
      <w:lvlJc w:val="left"/>
      <w:pPr>
        <w:ind w:left="2520" w:hanging="360"/>
      </w:pPr>
      <w:rPr>
        <w:rFonts w:ascii="Symbol" w:hAnsi="Symbol" w:hint="default"/>
      </w:rPr>
    </w:lvl>
    <w:lvl w:ilvl="4" w:tplc="2DCE91B8" w:tentative="1">
      <w:start w:val="1"/>
      <w:numFmt w:val="bullet"/>
      <w:lvlText w:val="o"/>
      <w:lvlJc w:val="left"/>
      <w:pPr>
        <w:ind w:left="3240" w:hanging="360"/>
      </w:pPr>
      <w:rPr>
        <w:rFonts w:ascii="Courier New" w:hAnsi="Courier New" w:cs="Courier New" w:hint="default"/>
      </w:rPr>
    </w:lvl>
    <w:lvl w:ilvl="5" w:tplc="D5721860" w:tentative="1">
      <w:start w:val="1"/>
      <w:numFmt w:val="bullet"/>
      <w:lvlText w:val=""/>
      <w:lvlJc w:val="left"/>
      <w:pPr>
        <w:ind w:left="3960" w:hanging="360"/>
      </w:pPr>
      <w:rPr>
        <w:rFonts w:ascii="Wingdings" w:hAnsi="Wingdings" w:hint="default"/>
      </w:rPr>
    </w:lvl>
    <w:lvl w:ilvl="6" w:tplc="63C033FE" w:tentative="1">
      <w:start w:val="1"/>
      <w:numFmt w:val="bullet"/>
      <w:lvlText w:val=""/>
      <w:lvlJc w:val="left"/>
      <w:pPr>
        <w:ind w:left="4680" w:hanging="360"/>
      </w:pPr>
      <w:rPr>
        <w:rFonts w:ascii="Symbol" w:hAnsi="Symbol" w:hint="default"/>
      </w:rPr>
    </w:lvl>
    <w:lvl w:ilvl="7" w:tplc="16B2E98C" w:tentative="1">
      <w:start w:val="1"/>
      <w:numFmt w:val="bullet"/>
      <w:lvlText w:val="o"/>
      <w:lvlJc w:val="left"/>
      <w:pPr>
        <w:ind w:left="5400" w:hanging="360"/>
      </w:pPr>
      <w:rPr>
        <w:rFonts w:ascii="Courier New" w:hAnsi="Courier New" w:cs="Courier New" w:hint="default"/>
      </w:rPr>
    </w:lvl>
    <w:lvl w:ilvl="8" w:tplc="285E2038" w:tentative="1">
      <w:start w:val="1"/>
      <w:numFmt w:val="bullet"/>
      <w:lvlText w:val=""/>
      <w:lvlJc w:val="left"/>
      <w:pPr>
        <w:ind w:left="6120" w:hanging="360"/>
      </w:pPr>
      <w:rPr>
        <w:rFonts w:ascii="Wingdings" w:hAnsi="Wingdings" w:hint="default"/>
      </w:rPr>
    </w:lvl>
  </w:abstractNum>
  <w:abstractNum w:abstractNumId="20" w15:restartNumberingAfterBreak="0">
    <w:nsid w:val="74482ECA"/>
    <w:multiLevelType w:val="hybridMultilevel"/>
    <w:tmpl w:val="36A0FAC2"/>
    <w:lvl w:ilvl="0" w:tplc="D04C77B4">
      <w:start w:val="1"/>
      <w:numFmt w:val="decimal"/>
      <w:lvlText w:val="%1."/>
      <w:lvlJc w:val="left"/>
      <w:pPr>
        <w:ind w:left="720" w:hanging="360"/>
      </w:pPr>
      <w:rPr>
        <w:rFonts w:hint="default"/>
        <w:sz w:val="14"/>
      </w:rPr>
    </w:lvl>
    <w:lvl w:ilvl="1" w:tplc="B94C06A0" w:tentative="1">
      <w:start w:val="1"/>
      <w:numFmt w:val="lowerLetter"/>
      <w:lvlText w:val="%2."/>
      <w:lvlJc w:val="left"/>
      <w:pPr>
        <w:ind w:left="1440" w:hanging="360"/>
      </w:pPr>
    </w:lvl>
    <w:lvl w:ilvl="2" w:tplc="7A3E3522" w:tentative="1">
      <w:start w:val="1"/>
      <w:numFmt w:val="lowerRoman"/>
      <w:lvlText w:val="%3."/>
      <w:lvlJc w:val="right"/>
      <w:pPr>
        <w:ind w:left="2160" w:hanging="180"/>
      </w:pPr>
    </w:lvl>
    <w:lvl w:ilvl="3" w:tplc="D0DC16BC" w:tentative="1">
      <w:start w:val="1"/>
      <w:numFmt w:val="decimal"/>
      <w:lvlText w:val="%4."/>
      <w:lvlJc w:val="left"/>
      <w:pPr>
        <w:ind w:left="2880" w:hanging="360"/>
      </w:pPr>
    </w:lvl>
    <w:lvl w:ilvl="4" w:tplc="A0685510" w:tentative="1">
      <w:start w:val="1"/>
      <w:numFmt w:val="lowerLetter"/>
      <w:lvlText w:val="%5."/>
      <w:lvlJc w:val="left"/>
      <w:pPr>
        <w:ind w:left="3600" w:hanging="360"/>
      </w:pPr>
    </w:lvl>
    <w:lvl w:ilvl="5" w:tplc="D67261A6" w:tentative="1">
      <w:start w:val="1"/>
      <w:numFmt w:val="lowerRoman"/>
      <w:lvlText w:val="%6."/>
      <w:lvlJc w:val="right"/>
      <w:pPr>
        <w:ind w:left="4320" w:hanging="180"/>
      </w:pPr>
    </w:lvl>
    <w:lvl w:ilvl="6" w:tplc="77C2E0EE" w:tentative="1">
      <w:start w:val="1"/>
      <w:numFmt w:val="decimal"/>
      <w:lvlText w:val="%7."/>
      <w:lvlJc w:val="left"/>
      <w:pPr>
        <w:ind w:left="5040" w:hanging="360"/>
      </w:pPr>
    </w:lvl>
    <w:lvl w:ilvl="7" w:tplc="89F298B0" w:tentative="1">
      <w:start w:val="1"/>
      <w:numFmt w:val="lowerLetter"/>
      <w:lvlText w:val="%8."/>
      <w:lvlJc w:val="left"/>
      <w:pPr>
        <w:ind w:left="5760" w:hanging="360"/>
      </w:pPr>
    </w:lvl>
    <w:lvl w:ilvl="8" w:tplc="46A0D214" w:tentative="1">
      <w:start w:val="1"/>
      <w:numFmt w:val="lowerRoman"/>
      <w:lvlText w:val="%9."/>
      <w:lvlJc w:val="right"/>
      <w:pPr>
        <w:ind w:left="6480" w:hanging="180"/>
      </w:pPr>
    </w:lvl>
  </w:abstractNum>
  <w:abstractNum w:abstractNumId="21" w15:restartNumberingAfterBreak="0">
    <w:nsid w:val="78F4042A"/>
    <w:multiLevelType w:val="hybridMultilevel"/>
    <w:tmpl w:val="DC50658C"/>
    <w:lvl w:ilvl="0" w:tplc="D1C87740">
      <w:start w:val="1"/>
      <w:numFmt w:val="bullet"/>
      <w:lvlText w:val=""/>
      <w:lvlJc w:val="left"/>
      <w:pPr>
        <w:ind w:left="360" w:hanging="360"/>
      </w:pPr>
      <w:rPr>
        <w:rFonts w:ascii="Symbol" w:hAnsi="Symbol" w:hint="default"/>
      </w:rPr>
    </w:lvl>
    <w:lvl w:ilvl="1" w:tplc="441440AC" w:tentative="1">
      <w:start w:val="1"/>
      <w:numFmt w:val="bullet"/>
      <w:lvlText w:val="o"/>
      <w:lvlJc w:val="left"/>
      <w:pPr>
        <w:ind w:left="1080" w:hanging="360"/>
      </w:pPr>
      <w:rPr>
        <w:rFonts w:ascii="Courier New" w:hAnsi="Courier New" w:cs="Courier New" w:hint="default"/>
      </w:rPr>
    </w:lvl>
    <w:lvl w:ilvl="2" w:tplc="8C586DDE" w:tentative="1">
      <w:start w:val="1"/>
      <w:numFmt w:val="bullet"/>
      <w:lvlText w:val=""/>
      <w:lvlJc w:val="left"/>
      <w:pPr>
        <w:ind w:left="1800" w:hanging="360"/>
      </w:pPr>
      <w:rPr>
        <w:rFonts w:ascii="Wingdings" w:hAnsi="Wingdings" w:hint="default"/>
      </w:rPr>
    </w:lvl>
    <w:lvl w:ilvl="3" w:tplc="78BC4050" w:tentative="1">
      <w:start w:val="1"/>
      <w:numFmt w:val="bullet"/>
      <w:lvlText w:val=""/>
      <w:lvlJc w:val="left"/>
      <w:pPr>
        <w:ind w:left="2520" w:hanging="360"/>
      </w:pPr>
      <w:rPr>
        <w:rFonts w:ascii="Symbol" w:hAnsi="Symbol" w:hint="default"/>
      </w:rPr>
    </w:lvl>
    <w:lvl w:ilvl="4" w:tplc="BC0231F2" w:tentative="1">
      <w:start w:val="1"/>
      <w:numFmt w:val="bullet"/>
      <w:lvlText w:val="o"/>
      <w:lvlJc w:val="left"/>
      <w:pPr>
        <w:ind w:left="3240" w:hanging="360"/>
      </w:pPr>
      <w:rPr>
        <w:rFonts w:ascii="Courier New" w:hAnsi="Courier New" w:cs="Courier New" w:hint="default"/>
      </w:rPr>
    </w:lvl>
    <w:lvl w:ilvl="5" w:tplc="99B2C856" w:tentative="1">
      <w:start w:val="1"/>
      <w:numFmt w:val="bullet"/>
      <w:lvlText w:val=""/>
      <w:lvlJc w:val="left"/>
      <w:pPr>
        <w:ind w:left="3960" w:hanging="360"/>
      </w:pPr>
      <w:rPr>
        <w:rFonts w:ascii="Wingdings" w:hAnsi="Wingdings" w:hint="default"/>
      </w:rPr>
    </w:lvl>
    <w:lvl w:ilvl="6" w:tplc="1EB21B18" w:tentative="1">
      <w:start w:val="1"/>
      <w:numFmt w:val="bullet"/>
      <w:lvlText w:val=""/>
      <w:lvlJc w:val="left"/>
      <w:pPr>
        <w:ind w:left="4680" w:hanging="360"/>
      </w:pPr>
      <w:rPr>
        <w:rFonts w:ascii="Symbol" w:hAnsi="Symbol" w:hint="default"/>
      </w:rPr>
    </w:lvl>
    <w:lvl w:ilvl="7" w:tplc="AE86DCB6" w:tentative="1">
      <w:start w:val="1"/>
      <w:numFmt w:val="bullet"/>
      <w:lvlText w:val="o"/>
      <w:lvlJc w:val="left"/>
      <w:pPr>
        <w:ind w:left="5400" w:hanging="360"/>
      </w:pPr>
      <w:rPr>
        <w:rFonts w:ascii="Courier New" w:hAnsi="Courier New" w:cs="Courier New" w:hint="default"/>
      </w:rPr>
    </w:lvl>
    <w:lvl w:ilvl="8" w:tplc="DAA80854" w:tentative="1">
      <w:start w:val="1"/>
      <w:numFmt w:val="bullet"/>
      <w:lvlText w:val=""/>
      <w:lvlJc w:val="left"/>
      <w:pPr>
        <w:ind w:left="6120" w:hanging="360"/>
      </w:pPr>
      <w:rPr>
        <w:rFonts w:ascii="Wingdings" w:hAnsi="Wingdings" w:hint="default"/>
      </w:rPr>
    </w:lvl>
  </w:abstractNum>
  <w:abstractNum w:abstractNumId="22" w15:restartNumberingAfterBreak="0">
    <w:nsid w:val="7E682F77"/>
    <w:multiLevelType w:val="hybridMultilevel"/>
    <w:tmpl w:val="C3F87380"/>
    <w:lvl w:ilvl="0" w:tplc="56C2BCBC">
      <w:numFmt w:val="bullet"/>
      <w:lvlText w:val="•"/>
      <w:lvlJc w:val="left"/>
      <w:pPr>
        <w:ind w:left="360" w:hanging="360"/>
      </w:pPr>
      <w:rPr>
        <w:rFonts w:ascii="Arial" w:eastAsia="Arial" w:hAnsi="Arial" w:cs="Arial" w:hint="default"/>
      </w:rPr>
    </w:lvl>
    <w:lvl w:ilvl="1" w:tplc="1B5CDCE0" w:tentative="1">
      <w:start w:val="1"/>
      <w:numFmt w:val="bullet"/>
      <w:lvlText w:val="o"/>
      <w:lvlJc w:val="left"/>
      <w:pPr>
        <w:ind w:left="1080" w:hanging="360"/>
      </w:pPr>
      <w:rPr>
        <w:rFonts w:ascii="Courier New" w:hAnsi="Courier New" w:cs="Courier New" w:hint="default"/>
      </w:rPr>
    </w:lvl>
    <w:lvl w:ilvl="2" w:tplc="2CF0577A" w:tentative="1">
      <w:start w:val="1"/>
      <w:numFmt w:val="bullet"/>
      <w:lvlText w:val=""/>
      <w:lvlJc w:val="left"/>
      <w:pPr>
        <w:ind w:left="1800" w:hanging="360"/>
      </w:pPr>
      <w:rPr>
        <w:rFonts w:ascii="Wingdings" w:hAnsi="Wingdings" w:hint="default"/>
      </w:rPr>
    </w:lvl>
    <w:lvl w:ilvl="3" w:tplc="680C04C0" w:tentative="1">
      <w:start w:val="1"/>
      <w:numFmt w:val="bullet"/>
      <w:lvlText w:val=""/>
      <w:lvlJc w:val="left"/>
      <w:pPr>
        <w:ind w:left="2520" w:hanging="360"/>
      </w:pPr>
      <w:rPr>
        <w:rFonts w:ascii="Symbol" w:hAnsi="Symbol" w:hint="default"/>
      </w:rPr>
    </w:lvl>
    <w:lvl w:ilvl="4" w:tplc="96F48494" w:tentative="1">
      <w:start w:val="1"/>
      <w:numFmt w:val="bullet"/>
      <w:lvlText w:val="o"/>
      <w:lvlJc w:val="left"/>
      <w:pPr>
        <w:ind w:left="3240" w:hanging="360"/>
      </w:pPr>
      <w:rPr>
        <w:rFonts w:ascii="Courier New" w:hAnsi="Courier New" w:cs="Courier New" w:hint="default"/>
      </w:rPr>
    </w:lvl>
    <w:lvl w:ilvl="5" w:tplc="A0602946" w:tentative="1">
      <w:start w:val="1"/>
      <w:numFmt w:val="bullet"/>
      <w:lvlText w:val=""/>
      <w:lvlJc w:val="left"/>
      <w:pPr>
        <w:ind w:left="3960" w:hanging="360"/>
      </w:pPr>
      <w:rPr>
        <w:rFonts w:ascii="Wingdings" w:hAnsi="Wingdings" w:hint="default"/>
      </w:rPr>
    </w:lvl>
    <w:lvl w:ilvl="6" w:tplc="DB968E0C" w:tentative="1">
      <w:start w:val="1"/>
      <w:numFmt w:val="bullet"/>
      <w:lvlText w:val=""/>
      <w:lvlJc w:val="left"/>
      <w:pPr>
        <w:ind w:left="4680" w:hanging="360"/>
      </w:pPr>
      <w:rPr>
        <w:rFonts w:ascii="Symbol" w:hAnsi="Symbol" w:hint="default"/>
      </w:rPr>
    </w:lvl>
    <w:lvl w:ilvl="7" w:tplc="EF286EAC" w:tentative="1">
      <w:start w:val="1"/>
      <w:numFmt w:val="bullet"/>
      <w:lvlText w:val="o"/>
      <w:lvlJc w:val="left"/>
      <w:pPr>
        <w:ind w:left="5400" w:hanging="360"/>
      </w:pPr>
      <w:rPr>
        <w:rFonts w:ascii="Courier New" w:hAnsi="Courier New" w:cs="Courier New" w:hint="default"/>
      </w:rPr>
    </w:lvl>
    <w:lvl w:ilvl="8" w:tplc="398ABED4" w:tentative="1">
      <w:start w:val="1"/>
      <w:numFmt w:val="bullet"/>
      <w:lvlText w:val=""/>
      <w:lvlJc w:val="left"/>
      <w:pPr>
        <w:ind w:left="6120" w:hanging="360"/>
      </w:pPr>
      <w:rPr>
        <w:rFonts w:ascii="Wingdings" w:hAnsi="Wingdings" w:hint="default"/>
      </w:rPr>
    </w:lvl>
  </w:abstractNum>
  <w:abstractNum w:abstractNumId="23" w15:restartNumberingAfterBreak="0">
    <w:nsid w:val="7FD5574F"/>
    <w:multiLevelType w:val="hybridMultilevel"/>
    <w:tmpl w:val="70EEE382"/>
    <w:lvl w:ilvl="0" w:tplc="3F52B708">
      <w:start w:val="1"/>
      <w:numFmt w:val="bullet"/>
      <w:lvlText w:val=""/>
      <w:lvlJc w:val="left"/>
      <w:pPr>
        <w:ind w:left="360" w:hanging="360"/>
      </w:pPr>
      <w:rPr>
        <w:rFonts w:ascii="Symbol" w:hAnsi="Symbol" w:hint="default"/>
      </w:rPr>
    </w:lvl>
    <w:lvl w:ilvl="1" w:tplc="1F381BAE">
      <w:start w:val="1"/>
      <w:numFmt w:val="bullet"/>
      <w:lvlText w:val="-"/>
      <w:lvlJc w:val="left"/>
      <w:pPr>
        <w:ind w:left="1080" w:hanging="360"/>
      </w:pPr>
      <w:rPr>
        <w:rFonts w:ascii="Courier New" w:hAnsi="Courier New" w:hint="default"/>
      </w:rPr>
    </w:lvl>
    <w:lvl w:ilvl="2" w:tplc="6682FE9E" w:tentative="1">
      <w:start w:val="1"/>
      <w:numFmt w:val="bullet"/>
      <w:lvlText w:val=""/>
      <w:lvlJc w:val="left"/>
      <w:pPr>
        <w:ind w:left="1800" w:hanging="360"/>
      </w:pPr>
      <w:rPr>
        <w:rFonts w:ascii="Wingdings" w:hAnsi="Wingdings" w:hint="default"/>
      </w:rPr>
    </w:lvl>
    <w:lvl w:ilvl="3" w:tplc="A27886B4" w:tentative="1">
      <w:start w:val="1"/>
      <w:numFmt w:val="bullet"/>
      <w:lvlText w:val=""/>
      <w:lvlJc w:val="left"/>
      <w:pPr>
        <w:ind w:left="2520" w:hanging="360"/>
      </w:pPr>
      <w:rPr>
        <w:rFonts w:ascii="Symbol" w:hAnsi="Symbol" w:hint="default"/>
      </w:rPr>
    </w:lvl>
    <w:lvl w:ilvl="4" w:tplc="3678E7DA" w:tentative="1">
      <w:start w:val="1"/>
      <w:numFmt w:val="bullet"/>
      <w:lvlText w:val="o"/>
      <w:lvlJc w:val="left"/>
      <w:pPr>
        <w:ind w:left="3240" w:hanging="360"/>
      </w:pPr>
      <w:rPr>
        <w:rFonts w:ascii="Courier New" w:hAnsi="Courier New" w:cs="Courier New" w:hint="default"/>
      </w:rPr>
    </w:lvl>
    <w:lvl w:ilvl="5" w:tplc="58F89ED6" w:tentative="1">
      <w:start w:val="1"/>
      <w:numFmt w:val="bullet"/>
      <w:lvlText w:val=""/>
      <w:lvlJc w:val="left"/>
      <w:pPr>
        <w:ind w:left="3960" w:hanging="360"/>
      </w:pPr>
      <w:rPr>
        <w:rFonts w:ascii="Wingdings" w:hAnsi="Wingdings" w:hint="default"/>
      </w:rPr>
    </w:lvl>
    <w:lvl w:ilvl="6" w:tplc="DDF215F4" w:tentative="1">
      <w:start w:val="1"/>
      <w:numFmt w:val="bullet"/>
      <w:lvlText w:val=""/>
      <w:lvlJc w:val="left"/>
      <w:pPr>
        <w:ind w:left="4680" w:hanging="360"/>
      </w:pPr>
      <w:rPr>
        <w:rFonts w:ascii="Symbol" w:hAnsi="Symbol" w:hint="default"/>
      </w:rPr>
    </w:lvl>
    <w:lvl w:ilvl="7" w:tplc="87E0438E" w:tentative="1">
      <w:start w:val="1"/>
      <w:numFmt w:val="bullet"/>
      <w:lvlText w:val="o"/>
      <w:lvlJc w:val="left"/>
      <w:pPr>
        <w:ind w:left="5400" w:hanging="360"/>
      </w:pPr>
      <w:rPr>
        <w:rFonts w:ascii="Courier New" w:hAnsi="Courier New" w:cs="Courier New" w:hint="default"/>
      </w:rPr>
    </w:lvl>
    <w:lvl w:ilvl="8" w:tplc="EBB8BABC" w:tentative="1">
      <w:start w:val="1"/>
      <w:numFmt w:val="bullet"/>
      <w:lvlText w:val=""/>
      <w:lvlJc w:val="left"/>
      <w:pPr>
        <w:ind w:left="6120"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13"/>
  </w:num>
  <w:num w:numId="6">
    <w:abstractNumId w:val="20"/>
  </w:num>
  <w:num w:numId="7">
    <w:abstractNumId w:val="21"/>
  </w:num>
  <w:num w:numId="8">
    <w:abstractNumId w:val="5"/>
  </w:num>
  <w:num w:numId="9">
    <w:abstractNumId w:val="14"/>
  </w:num>
  <w:num w:numId="10">
    <w:abstractNumId w:val="19"/>
  </w:num>
  <w:num w:numId="11">
    <w:abstractNumId w:val="12"/>
  </w:num>
  <w:num w:numId="12">
    <w:abstractNumId w:val="16"/>
  </w:num>
  <w:num w:numId="13">
    <w:abstractNumId w:val="6"/>
  </w:num>
  <w:num w:numId="14">
    <w:abstractNumId w:val="17"/>
  </w:num>
  <w:num w:numId="15">
    <w:abstractNumId w:val="23"/>
  </w:num>
  <w:num w:numId="16">
    <w:abstractNumId w:val="0"/>
  </w:num>
  <w:num w:numId="17">
    <w:abstractNumId w:val="7"/>
  </w:num>
  <w:num w:numId="18">
    <w:abstractNumId w:val="9"/>
  </w:num>
  <w:num w:numId="19">
    <w:abstractNumId w:val="8"/>
  </w:num>
  <w:num w:numId="20">
    <w:abstractNumId w:val="10"/>
  </w:num>
  <w:num w:numId="21">
    <w:abstractNumId w:val="18"/>
  </w:num>
  <w:num w:numId="22">
    <w:abstractNumId w:val="22"/>
  </w:num>
  <w:num w:numId="23">
    <w:abstractNumId w:val="15"/>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CEE"/>
    <w:rsid w:val="00104EBC"/>
    <w:rsid w:val="00224173"/>
    <w:rsid w:val="00765FD9"/>
    <w:rsid w:val="007E4CEE"/>
    <w:rsid w:val="0090665A"/>
    <w:rsid w:val="00C31B6F"/>
  </w:rsids>
  <m:mathPr>
    <m:mathFont m:val="Cambria Math"/>
    <m:brkBin m:val="before"/>
    <m:brkBinSub m:val="--"/>
    <m:smallFrac/>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07B37"/>
  <w15:docId w15:val="{6DBB4655-EDB6-41DE-8D2D-A661EFE08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CA" w:eastAsia="en-CA"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56527"/>
  </w:style>
  <w:style w:type="paragraph" w:styleId="Heading1">
    <w:name w:val="heading 1"/>
    <w:basedOn w:val="Normal"/>
    <w:next w:val="Normal"/>
    <w:rsid w:val="00456527"/>
    <w:pPr>
      <w:keepNext/>
      <w:jc w:val="center"/>
      <w:outlineLvl w:val="0"/>
    </w:pPr>
    <w:rPr>
      <w:b/>
    </w:rPr>
  </w:style>
  <w:style w:type="paragraph" w:styleId="Heading2">
    <w:name w:val="heading 2"/>
    <w:basedOn w:val="Normal"/>
    <w:next w:val="Normal"/>
    <w:rsid w:val="00456527"/>
    <w:pPr>
      <w:keepNext/>
      <w:spacing w:before="240" w:after="60"/>
      <w:outlineLvl w:val="1"/>
    </w:pPr>
    <w:rPr>
      <w:b/>
      <w:i/>
    </w:rPr>
  </w:style>
  <w:style w:type="paragraph" w:styleId="Heading3">
    <w:name w:val="heading 3"/>
    <w:basedOn w:val="Normal"/>
    <w:next w:val="Normal"/>
    <w:rsid w:val="00456527"/>
    <w:pPr>
      <w:keepNext/>
      <w:spacing w:before="240" w:after="60"/>
      <w:outlineLvl w:val="2"/>
    </w:pPr>
  </w:style>
  <w:style w:type="paragraph" w:styleId="Heading4">
    <w:name w:val="heading 4"/>
    <w:basedOn w:val="Normal"/>
    <w:next w:val="Normal"/>
    <w:rsid w:val="00456527"/>
    <w:pPr>
      <w:keepNext/>
      <w:spacing w:before="240" w:after="60"/>
      <w:outlineLvl w:val="3"/>
    </w:pPr>
    <w:rPr>
      <w:b/>
      <w:sz w:val="28"/>
      <w:szCs w:val="28"/>
    </w:rPr>
  </w:style>
  <w:style w:type="paragraph" w:styleId="Heading5">
    <w:name w:val="heading 5"/>
    <w:basedOn w:val="Normal"/>
    <w:next w:val="Normal"/>
    <w:rsid w:val="00456527"/>
    <w:pPr>
      <w:keepNext/>
      <w:keepLines/>
      <w:spacing w:before="220" w:after="40"/>
      <w:contextualSpacing/>
      <w:outlineLvl w:val="4"/>
    </w:pPr>
    <w:rPr>
      <w:b/>
      <w:sz w:val="22"/>
      <w:szCs w:val="22"/>
    </w:rPr>
  </w:style>
  <w:style w:type="paragraph" w:styleId="Heading6">
    <w:name w:val="heading 6"/>
    <w:basedOn w:val="Normal"/>
    <w:next w:val="Normal"/>
    <w:rsid w:val="00456527"/>
    <w:pPr>
      <w:keepNext/>
      <w:jc w:val="center"/>
      <w:outlineLvl w:val="5"/>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456527"/>
    <w:pPr>
      <w:keepNext/>
      <w:keepLines/>
      <w:spacing w:before="480" w:after="120"/>
      <w:contextualSpacing/>
    </w:pPr>
    <w:rPr>
      <w:b/>
      <w:sz w:val="72"/>
      <w:szCs w:val="72"/>
    </w:rPr>
  </w:style>
  <w:style w:type="paragraph" w:styleId="Subtitle">
    <w:name w:val="Subtitle"/>
    <w:basedOn w:val="Normal"/>
    <w:next w:val="Normal"/>
    <w:rsid w:val="00456527"/>
    <w:pPr>
      <w:keepNext/>
      <w:keepLines/>
      <w:spacing w:before="360" w:after="80"/>
      <w:contextualSpacing/>
    </w:pPr>
    <w:rPr>
      <w:rFonts w:ascii="Georgia" w:eastAsia="Georgia" w:hAnsi="Georgia" w:cs="Georgia"/>
      <w:i/>
      <w:color w:val="666666"/>
      <w:sz w:val="48"/>
      <w:szCs w:val="48"/>
    </w:rPr>
  </w:style>
  <w:style w:type="table" w:customStyle="1" w:styleId="a">
    <w:name w:val="a"/>
    <w:basedOn w:val="TableNormal"/>
    <w:rsid w:val="00456527"/>
    <w:tblPr>
      <w:tblStyleRowBandSize w:val="1"/>
      <w:tblStyleColBandSize w:val="1"/>
      <w:tblCellMar>
        <w:left w:w="115" w:type="dxa"/>
        <w:right w:w="115" w:type="dxa"/>
      </w:tblCellMar>
    </w:tblPr>
  </w:style>
  <w:style w:type="table" w:customStyle="1" w:styleId="a0">
    <w:name w:val="a0"/>
    <w:basedOn w:val="TableNormal"/>
    <w:rsid w:val="00456527"/>
    <w:pPr>
      <w:contextualSpacing/>
    </w:pPr>
    <w:tblPr>
      <w:tblStyleRowBandSize w:val="1"/>
      <w:tblStyleColBandSize w:val="1"/>
      <w:tblCellMar>
        <w:left w:w="70" w:type="dxa"/>
        <w:right w:w="70" w:type="dxa"/>
      </w:tblCellMar>
    </w:tblPr>
  </w:style>
  <w:style w:type="paragraph" w:styleId="CommentText">
    <w:name w:val="annotation text"/>
    <w:basedOn w:val="Normal"/>
    <w:link w:val="CommentTextChar"/>
    <w:uiPriority w:val="99"/>
    <w:semiHidden/>
    <w:unhideWhenUsed/>
    <w:rsid w:val="00456527"/>
  </w:style>
  <w:style w:type="character" w:customStyle="1" w:styleId="CommentTextChar">
    <w:name w:val="Comment Text Char"/>
    <w:basedOn w:val="DefaultParagraphFont"/>
    <w:link w:val="CommentText"/>
    <w:uiPriority w:val="99"/>
    <w:semiHidden/>
    <w:rsid w:val="00456527"/>
  </w:style>
  <w:style w:type="character" w:styleId="CommentReference">
    <w:name w:val="annotation reference"/>
    <w:basedOn w:val="DefaultParagraphFont"/>
    <w:uiPriority w:val="99"/>
    <w:semiHidden/>
    <w:unhideWhenUsed/>
    <w:rsid w:val="00456527"/>
    <w:rPr>
      <w:sz w:val="16"/>
      <w:szCs w:val="16"/>
    </w:rPr>
  </w:style>
  <w:style w:type="paragraph" w:styleId="BalloonText">
    <w:name w:val="Balloon Text"/>
    <w:basedOn w:val="Normal"/>
    <w:link w:val="BalloonTextChar"/>
    <w:uiPriority w:val="99"/>
    <w:semiHidden/>
    <w:unhideWhenUsed/>
    <w:rsid w:val="002603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0303"/>
    <w:rPr>
      <w:rFonts w:ascii="Segoe UI" w:hAnsi="Segoe UI" w:cs="Segoe UI"/>
      <w:sz w:val="18"/>
      <w:szCs w:val="18"/>
    </w:rPr>
  </w:style>
  <w:style w:type="paragraph" w:styleId="Header">
    <w:name w:val="header"/>
    <w:basedOn w:val="Normal"/>
    <w:link w:val="HeaderChar"/>
    <w:uiPriority w:val="99"/>
    <w:unhideWhenUsed/>
    <w:rsid w:val="00260303"/>
    <w:pPr>
      <w:tabs>
        <w:tab w:val="center" w:pos="4680"/>
        <w:tab w:val="right" w:pos="9360"/>
      </w:tabs>
    </w:pPr>
  </w:style>
  <w:style w:type="character" w:customStyle="1" w:styleId="HeaderChar">
    <w:name w:val="Header Char"/>
    <w:basedOn w:val="DefaultParagraphFont"/>
    <w:link w:val="Header"/>
    <w:uiPriority w:val="99"/>
    <w:rsid w:val="00260303"/>
  </w:style>
  <w:style w:type="paragraph" w:styleId="Footer">
    <w:name w:val="footer"/>
    <w:basedOn w:val="Normal"/>
    <w:link w:val="FooterChar"/>
    <w:uiPriority w:val="99"/>
    <w:unhideWhenUsed/>
    <w:rsid w:val="00260303"/>
    <w:pPr>
      <w:tabs>
        <w:tab w:val="center" w:pos="4680"/>
        <w:tab w:val="right" w:pos="9360"/>
      </w:tabs>
    </w:pPr>
  </w:style>
  <w:style w:type="character" w:customStyle="1" w:styleId="FooterChar">
    <w:name w:val="Footer Char"/>
    <w:basedOn w:val="DefaultParagraphFont"/>
    <w:link w:val="Footer"/>
    <w:uiPriority w:val="99"/>
    <w:rsid w:val="00260303"/>
  </w:style>
  <w:style w:type="paragraph" w:styleId="ListParagraph">
    <w:name w:val="List Paragraph"/>
    <w:basedOn w:val="Normal"/>
    <w:uiPriority w:val="99"/>
    <w:qFormat/>
    <w:rsid w:val="006C59E1"/>
    <w:pPr>
      <w:ind w:left="720"/>
      <w:contextualSpacing/>
    </w:pPr>
  </w:style>
  <w:style w:type="paragraph" w:styleId="NormalWeb">
    <w:name w:val="Normal (Web)"/>
    <w:basedOn w:val="Normal"/>
    <w:uiPriority w:val="99"/>
    <w:semiHidden/>
    <w:unhideWhenUsed/>
    <w:rsid w:val="006C59E1"/>
    <w:pPr>
      <w:widowControl/>
      <w:spacing w:before="100" w:beforeAutospacing="1" w:after="100" w:afterAutospacing="1"/>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6C59E1"/>
    <w:rPr>
      <w:b/>
      <w:bCs/>
    </w:rPr>
  </w:style>
  <w:style w:type="character" w:styleId="Emphasis">
    <w:name w:val="Emphasis"/>
    <w:basedOn w:val="DefaultParagraphFont"/>
    <w:uiPriority w:val="20"/>
    <w:qFormat/>
    <w:rsid w:val="006C59E1"/>
    <w:rPr>
      <w:i/>
      <w:iCs/>
    </w:rPr>
  </w:style>
  <w:style w:type="paragraph" w:styleId="CommentSubject">
    <w:name w:val="annotation subject"/>
    <w:basedOn w:val="CommentText"/>
    <w:next w:val="CommentText"/>
    <w:link w:val="CommentSubjectChar"/>
    <w:uiPriority w:val="99"/>
    <w:semiHidden/>
    <w:unhideWhenUsed/>
    <w:rsid w:val="00F4070E"/>
    <w:rPr>
      <w:b/>
      <w:bCs/>
    </w:rPr>
  </w:style>
  <w:style w:type="character" w:customStyle="1" w:styleId="CommentSubjectChar">
    <w:name w:val="Comment Subject Char"/>
    <w:basedOn w:val="CommentTextChar"/>
    <w:link w:val="CommentSubject"/>
    <w:uiPriority w:val="99"/>
    <w:semiHidden/>
    <w:rsid w:val="00F4070E"/>
    <w:rPr>
      <w:b/>
      <w:bCs/>
    </w:rPr>
  </w:style>
  <w:style w:type="character" w:styleId="Hyperlink">
    <w:name w:val="Hyperlink"/>
    <w:basedOn w:val="DefaultParagraphFont"/>
    <w:uiPriority w:val="99"/>
    <w:unhideWhenUsed/>
    <w:rsid w:val="00B639D2"/>
    <w:rPr>
      <w:color w:val="0000FF" w:themeColor="hyperlink"/>
      <w:u w:val="single"/>
    </w:rPr>
  </w:style>
  <w:style w:type="paragraph" w:styleId="Revision">
    <w:name w:val="Revision"/>
    <w:hidden/>
    <w:uiPriority w:val="99"/>
    <w:semiHidden/>
    <w:rsid w:val="0063602B"/>
    <w:pPr>
      <w:widowControl/>
      <w:jc w:val="left"/>
    </w:pPr>
  </w:style>
  <w:style w:type="character" w:customStyle="1" w:styleId="UnresolvedMention1">
    <w:name w:val="Unresolved Mention1"/>
    <w:basedOn w:val="DefaultParagraphFont"/>
    <w:uiPriority w:val="99"/>
    <w:semiHidden/>
    <w:unhideWhenUsed/>
    <w:rsid w:val="00DB1549"/>
    <w:rPr>
      <w:color w:val="605E5C"/>
      <w:shd w:val="clear" w:color="auto" w:fill="E1DFDD"/>
    </w:rPr>
  </w:style>
  <w:style w:type="character" w:customStyle="1" w:styleId="UnresolvedMention2">
    <w:name w:val="Unresolved Mention2"/>
    <w:basedOn w:val="DefaultParagraphFont"/>
    <w:uiPriority w:val="99"/>
    <w:semiHidden/>
    <w:unhideWhenUsed/>
    <w:rsid w:val="00AC5F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F6289F-3C62-4326-A870-38183F037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1561</Words>
  <Characters>8902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Hashim Ahmed</cp:lastModifiedBy>
  <cp:revision>3</cp:revision>
  <dcterms:created xsi:type="dcterms:W3CDTF">2021-03-15T20:46:00Z</dcterms:created>
  <dcterms:modified xsi:type="dcterms:W3CDTF">2021-03-16T00:20:00Z</dcterms:modified>
</cp:coreProperties>
</file>