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02C2A" w14:textId="1288735B" w:rsidR="00E37734" w:rsidRDefault="00E37734">
      <w:pPr>
        <w:tabs>
          <w:tab w:val="center" w:pos="2881"/>
          <w:tab w:val="center" w:pos="3601"/>
          <w:tab w:val="center" w:pos="4321"/>
          <w:tab w:val="center" w:pos="6778"/>
        </w:tabs>
        <w:spacing w:after="0" w:line="259" w:lineRule="auto"/>
        <w:ind w:left="-15" w:right="0" w:firstLine="0"/>
        <w:jc w:val="left"/>
        <w:rPr>
          <w:sz w:val="20"/>
        </w:rPr>
      </w:pPr>
      <w:r>
        <w:rPr>
          <w:noProof/>
        </w:rPr>
        <w:drawing>
          <wp:inline distT="0" distB="0" distL="0" distR="0" wp14:anchorId="17BE14B2" wp14:editId="722CB1B3">
            <wp:extent cx="2428875" cy="676275"/>
            <wp:effectExtent l="0" t="0" r="9525" b="9525"/>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8"/>
                    <a:stretch>
                      <a:fillRect/>
                    </a:stretch>
                  </pic:blipFill>
                  <pic:spPr>
                    <a:xfrm>
                      <a:off x="0" y="0"/>
                      <a:ext cx="2428875" cy="676275"/>
                    </a:xfrm>
                    <a:prstGeom prst="rect">
                      <a:avLst/>
                    </a:prstGeom>
                  </pic:spPr>
                </pic:pic>
              </a:graphicData>
            </a:graphic>
          </wp:inline>
        </w:drawing>
      </w:r>
    </w:p>
    <w:p w14:paraId="614F7BC4" w14:textId="77777777" w:rsidR="00E37734" w:rsidRDefault="00E37734">
      <w:pPr>
        <w:tabs>
          <w:tab w:val="center" w:pos="2881"/>
          <w:tab w:val="center" w:pos="3601"/>
          <w:tab w:val="center" w:pos="4321"/>
          <w:tab w:val="center" w:pos="6778"/>
        </w:tabs>
        <w:spacing w:after="0" w:line="259" w:lineRule="auto"/>
        <w:ind w:left="-15" w:right="0" w:firstLine="0"/>
        <w:jc w:val="left"/>
        <w:rPr>
          <w:sz w:val="20"/>
        </w:rPr>
      </w:pPr>
    </w:p>
    <w:p w14:paraId="71C5552B" w14:textId="650DBA1C" w:rsidR="00B120C0" w:rsidRDefault="00386227">
      <w:pPr>
        <w:tabs>
          <w:tab w:val="center" w:pos="2881"/>
          <w:tab w:val="center" w:pos="3601"/>
          <w:tab w:val="center" w:pos="4321"/>
          <w:tab w:val="center" w:pos="6778"/>
        </w:tabs>
        <w:spacing w:after="0" w:line="259" w:lineRule="auto"/>
        <w:ind w:left="-15" w:right="0" w:firstLine="0"/>
        <w:jc w:val="left"/>
      </w:pPr>
      <w:r>
        <w:rPr>
          <w:sz w:val="20"/>
        </w:rPr>
        <w:t xml:space="preserve">Contact: Robert Lentz </w:t>
      </w:r>
      <w:r>
        <w:rPr>
          <w:sz w:val="20"/>
        </w:rPr>
        <w:tab/>
        <w:t xml:space="preserve"> </w:t>
      </w:r>
      <w:r>
        <w:rPr>
          <w:sz w:val="20"/>
        </w:rPr>
        <w:tab/>
        <w:t xml:space="preserve"> </w:t>
      </w:r>
      <w:r>
        <w:rPr>
          <w:sz w:val="20"/>
        </w:rPr>
        <w:tab/>
        <w:t xml:space="preserve"> </w:t>
      </w:r>
      <w:r>
        <w:rPr>
          <w:sz w:val="20"/>
        </w:rPr>
        <w:tab/>
        <w:t xml:space="preserve"> </w:t>
      </w:r>
    </w:p>
    <w:p w14:paraId="3A6150A7" w14:textId="77777777" w:rsidR="00B120C0" w:rsidRDefault="00386227">
      <w:pPr>
        <w:tabs>
          <w:tab w:val="center" w:pos="1431"/>
          <w:tab w:val="center" w:pos="2881"/>
          <w:tab w:val="center" w:pos="3601"/>
        </w:tabs>
        <w:spacing w:after="28" w:line="259" w:lineRule="auto"/>
        <w:ind w:left="-15" w:right="0" w:firstLine="0"/>
        <w:jc w:val="left"/>
      </w:pPr>
      <w:r>
        <w:rPr>
          <w:sz w:val="20"/>
        </w:rPr>
        <w:t xml:space="preserve"> </w:t>
      </w:r>
      <w:r>
        <w:rPr>
          <w:sz w:val="20"/>
        </w:rPr>
        <w:tab/>
        <w:t xml:space="preserve"> (614) </w:t>
      </w:r>
      <w:r w:rsidR="00B945EB">
        <w:rPr>
          <w:sz w:val="20"/>
        </w:rPr>
        <w:t>439-6006</w:t>
      </w:r>
      <w:r>
        <w:rPr>
          <w:sz w:val="20"/>
        </w:rPr>
        <w:t xml:space="preserve">  </w:t>
      </w:r>
      <w:r>
        <w:rPr>
          <w:sz w:val="20"/>
        </w:rPr>
        <w:tab/>
        <w:t xml:space="preserve"> </w:t>
      </w:r>
      <w:r>
        <w:rPr>
          <w:sz w:val="20"/>
        </w:rPr>
        <w:tab/>
        <w:t xml:space="preserve"> </w:t>
      </w:r>
    </w:p>
    <w:p w14:paraId="425FDE3A" w14:textId="77777777" w:rsidR="00B120C0" w:rsidRDefault="00386227">
      <w:pPr>
        <w:spacing w:after="0" w:line="259" w:lineRule="auto"/>
        <w:ind w:left="11" w:right="0" w:firstLine="0"/>
        <w:jc w:val="center"/>
      </w:pPr>
      <w:r>
        <w:rPr>
          <w:b/>
          <w:color w:val="C00000"/>
        </w:rPr>
        <w:t xml:space="preserve"> </w:t>
      </w:r>
    </w:p>
    <w:p w14:paraId="0313ADDA" w14:textId="636A4666" w:rsidR="00B8460E" w:rsidRDefault="00386227" w:rsidP="00B8460E">
      <w:pPr>
        <w:spacing w:after="0" w:line="259" w:lineRule="auto"/>
        <w:ind w:right="58"/>
        <w:jc w:val="center"/>
        <w:rPr>
          <w:b/>
        </w:rPr>
      </w:pPr>
      <w:r>
        <w:rPr>
          <w:b/>
        </w:rPr>
        <w:t>SCI Engineered Materials, Inc. Reports</w:t>
      </w:r>
    </w:p>
    <w:p w14:paraId="1A6190AB" w14:textId="421A75A9" w:rsidR="00B120C0" w:rsidRDefault="00296D2A" w:rsidP="00B8460E">
      <w:pPr>
        <w:spacing w:after="0" w:line="259" w:lineRule="auto"/>
        <w:ind w:right="58"/>
        <w:jc w:val="center"/>
      </w:pPr>
      <w:r>
        <w:rPr>
          <w:b/>
        </w:rPr>
        <w:t>202</w:t>
      </w:r>
      <w:r w:rsidR="00636B50">
        <w:rPr>
          <w:b/>
        </w:rPr>
        <w:t>1</w:t>
      </w:r>
      <w:r>
        <w:rPr>
          <w:b/>
        </w:rPr>
        <w:t xml:space="preserve"> </w:t>
      </w:r>
      <w:r w:rsidR="00887E09">
        <w:rPr>
          <w:b/>
        </w:rPr>
        <w:t>F</w:t>
      </w:r>
      <w:r w:rsidR="00636B50">
        <w:rPr>
          <w:b/>
        </w:rPr>
        <w:t>irst</w:t>
      </w:r>
      <w:r w:rsidR="00386227">
        <w:rPr>
          <w:b/>
        </w:rPr>
        <w:t xml:space="preserve"> Quarter Results    </w:t>
      </w:r>
    </w:p>
    <w:p w14:paraId="2BF7BA14" w14:textId="77777777" w:rsidR="00B120C0" w:rsidRDefault="00386227">
      <w:pPr>
        <w:spacing w:after="123" w:line="259" w:lineRule="auto"/>
        <w:ind w:left="0" w:right="0" w:firstLine="0"/>
        <w:jc w:val="left"/>
      </w:pPr>
      <w:r>
        <w:rPr>
          <w:b/>
        </w:rPr>
        <w:t xml:space="preserve"> </w:t>
      </w:r>
    </w:p>
    <w:p w14:paraId="56CA827E" w14:textId="430827C7" w:rsidR="003841E8" w:rsidRDefault="00386227" w:rsidP="003841E8">
      <w:pPr>
        <w:spacing w:line="360" w:lineRule="auto"/>
        <w:ind w:left="0" w:right="173" w:hanging="14"/>
      </w:pPr>
      <w:r>
        <w:t>COLUMBUS, Ohio (</w:t>
      </w:r>
      <w:r w:rsidR="00636B50">
        <w:t xml:space="preserve">April </w:t>
      </w:r>
      <w:r w:rsidR="00FA5755">
        <w:t>29</w:t>
      </w:r>
      <w:r w:rsidR="00887E09">
        <w:t>, 2021</w:t>
      </w:r>
      <w:r>
        <w:t xml:space="preserve">) SCI Engineered Materials, Inc. (“SCI”) (SCIA: OTCQB), </w:t>
      </w:r>
      <w:r w:rsidR="003841E8">
        <w:t>today reported financial results for the three months ended March 31, 2021.</w:t>
      </w:r>
    </w:p>
    <w:p w14:paraId="55C6AF2D" w14:textId="22183F01" w:rsidR="00B839B2" w:rsidRDefault="003841E8" w:rsidP="00001AEF">
      <w:pPr>
        <w:spacing w:line="360" w:lineRule="auto"/>
        <w:ind w:left="0" w:right="173" w:hanging="14"/>
      </w:pPr>
      <w:r>
        <w:t xml:space="preserve">SCI is </w:t>
      </w:r>
      <w:r w:rsidR="00386227">
        <w:t>a global supplier and manufacturer of advanced materials for physical vapor deposition thin film applications wh</w:t>
      </w:r>
      <w:r w:rsidR="00FA5755">
        <w:t>ich</w:t>
      </w:r>
      <w:r w:rsidR="00386227">
        <w:t xml:space="preserve"> works closely with end users and OEMs to develop innovative, customized solutions</w:t>
      </w:r>
      <w:r w:rsidR="00654E61">
        <w:t>.</w:t>
      </w:r>
      <w:r w:rsidR="00386227">
        <w:t xml:space="preserve"> </w:t>
      </w:r>
    </w:p>
    <w:p w14:paraId="237117A1" w14:textId="77777777" w:rsidR="00001AEF" w:rsidRPr="00001AEF" w:rsidRDefault="00001AEF" w:rsidP="00001AEF">
      <w:pPr>
        <w:spacing w:line="360" w:lineRule="auto"/>
        <w:ind w:left="0" w:right="173" w:hanging="14"/>
        <w:rPr>
          <w:sz w:val="10"/>
          <w:szCs w:val="10"/>
        </w:rPr>
      </w:pPr>
    </w:p>
    <w:p w14:paraId="0CF3F161" w14:textId="5B6586E8" w:rsidR="005658DD" w:rsidRDefault="00F92CDE" w:rsidP="00D949CC">
      <w:pPr>
        <w:spacing w:line="360" w:lineRule="auto"/>
        <w:ind w:left="0" w:right="173" w:hanging="14"/>
        <w:rPr>
          <w:szCs w:val="24"/>
        </w:rPr>
      </w:pPr>
      <w:r w:rsidRPr="006545CE">
        <w:rPr>
          <w:szCs w:val="24"/>
        </w:rPr>
        <w:t>Jeremy Young, President and Chief Executive Officer,</w:t>
      </w:r>
      <w:r w:rsidR="00001AEF" w:rsidRPr="006545CE">
        <w:rPr>
          <w:szCs w:val="24"/>
        </w:rPr>
        <w:t xml:space="preserve"> </w:t>
      </w:r>
      <w:r w:rsidR="007F1846">
        <w:rPr>
          <w:szCs w:val="24"/>
        </w:rPr>
        <w:t>commented “</w:t>
      </w:r>
      <w:r w:rsidR="00F61501">
        <w:rPr>
          <w:szCs w:val="24"/>
        </w:rPr>
        <w:t>P</w:t>
      </w:r>
      <w:r w:rsidR="007F1846">
        <w:rPr>
          <w:szCs w:val="24"/>
        </w:rPr>
        <w:t xml:space="preserve">ositive developments </w:t>
      </w:r>
      <w:r w:rsidR="00F61501">
        <w:rPr>
          <w:szCs w:val="24"/>
        </w:rPr>
        <w:t xml:space="preserve">occurred </w:t>
      </w:r>
      <w:r w:rsidR="000372CE">
        <w:rPr>
          <w:szCs w:val="24"/>
        </w:rPr>
        <w:t xml:space="preserve">in </w:t>
      </w:r>
      <w:r w:rsidR="007F1846">
        <w:rPr>
          <w:szCs w:val="24"/>
        </w:rPr>
        <w:t xml:space="preserve">our business </w:t>
      </w:r>
      <w:r w:rsidR="000372CE">
        <w:rPr>
          <w:szCs w:val="24"/>
        </w:rPr>
        <w:t xml:space="preserve">throughout </w:t>
      </w:r>
      <w:r w:rsidR="007F1846">
        <w:rPr>
          <w:szCs w:val="24"/>
        </w:rPr>
        <w:t>the first quarter of 2021</w:t>
      </w:r>
      <w:r w:rsidR="00ED27B8">
        <w:rPr>
          <w:szCs w:val="24"/>
        </w:rPr>
        <w:t>.  Th</w:t>
      </w:r>
      <w:r w:rsidR="00FA15A2">
        <w:rPr>
          <w:szCs w:val="24"/>
        </w:rPr>
        <w:t>e</w:t>
      </w:r>
      <w:r w:rsidR="00F3250C">
        <w:rPr>
          <w:szCs w:val="24"/>
        </w:rPr>
        <w:t xml:space="preserve">se </w:t>
      </w:r>
      <w:r w:rsidR="007F1846">
        <w:rPr>
          <w:szCs w:val="24"/>
        </w:rPr>
        <w:t>includ</w:t>
      </w:r>
      <w:r w:rsidR="00ED27B8">
        <w:rPr>
          <w:szCs w:val="24"/>
        </w:rPr>
        <w:t>ed</w:t>
      </w:r>
      <w:r w:rsidR="007F1846">
        <w:rPr>
          <w:szCs w:val="24"/>
        </w:rPr>
        <w:t xml:space="preserve"> </w:t>
      </w:r>
      <w:r w:rsidR="00584DCA">
        <w:rPr>
          <w:szCs w:val="24"/>
        </w:rPr>
        <w:t>higher gross profit</w:t>
      </w:r>
      <w:r w:rsidR="005A76AA">
        <w:rPr>
          <w:szCs w:val="24"/>
        </w:rPr>
        <w:t xml:space="preserve"> compared to a year ago,</w:t>
      </w:r>
      <w:r w:rsidR="00D131E1">
        <w:rPr>
          <w:szCs w:val="24"/>
        </w:rPr>
        <w:t xml:space="preserve"> order</w:t>
      </w:r>
      <w:r w:rsidR="007F1846">
        <w:rPr>
          <w:szCs w:val="24"/>
        </w:rPr>
        <w:t xml:space="preserve"> backlog </w:t>
      </w:r>
      <w:r w:rsidR="00F3250C">
        <w:rPr>
          <w:szCs w:val="24"/>
        </w:rPr>
        <w:t xml:space="preserve">which </w:t>
      </w:r>
      <w:r w:rsidR="007F1846">
        <w:rPr>
          <w:szCs w:val="24"/>
        </w:rPr>
        <w:t xml:space="preserve">more than doubled from </w:t>
      </w:r>
      <w:r w:rsidR="00ED27B8">
        <w:rPr>
          <w:szCs w:val="24"/>
        </w:rPr>
        <w:t>2020 year-end</w:t>
      </w:r>
      <w:r w:rsidR="005A76AA">
        <w:rPr>
          <w:szCs w:val="24"/>
        </w:rPr>
        <w:t>,</w:t>
      </w:r>
      <w:r w:rsidR="007F1846">
        <w:rPr>
          <w:szCs w:val="24"/>
        </w:rPr>
        <w:t xml:space="preserve"> and </w:t>
      </w:r>
      <w:r w:rsidR="005658DD">
        <w:rPr>
          <w:szCs w:val="24"/>
        </w:rPr>
        <w:t xml:space="preserve">record </w:t>
      </w:r>
      <w:r w:rsidR="007F1846">
        <w:rPr>
          <w:szCs w:val="24"/>
        </w:rPr>
        <w:t xml:space="preserve">cash </w:t>
      </w:r>
      <w:r w:rsidR="005658DD">
        <w:rPr>
          <w:szCs w:val="24"/>
        </w:rPr>
        <w:t xml:space="preserve">of </w:t>
      </w:r>
      <w:r w:rsidR="007F1846">
        <w:rPr>
          <w:szCs w:val="24"/>
        </w:rPr>
        <w:t>$3 million</w:t>
      </w:r>
      <w:r w:rsidR="00ED27B8">
        <w:rPr>
          <w:szCs w:val="24"/>
        </w:rPr>
        <w:t xml:space="preserve"> on March 31, 2021.</w:t>
      </w:r>
      <w:r w:rsidR="007F1846">
        <w:rPr>
          <w:szCs w:val="24"/>
        </w:rPr>
        <w:t xml:space="preserve">  </w:t>
      </w:r>
      <w:r w:rsidR="005A76AA">
        <w:rPr>
          <w:szCs w:val="24"/>
        </w:rPr>
        <w:t>O</w:t>
      </w:r>
      <w:r w:rsidR="009E6658">
        <w:rPr>
          <w:szCs w:val="24"/>
        </w:rPr>
        <w:t xml:space="preserve">ur </w:t>
      </w:r>
      <w:r w:rsidR="00D131E1">
        <w:rPr>
          <w:szCs w:val="24"/>
        </w:rPr>
        <w:t xml:space="preserve">growth strategy </w:t>
      </w:r>
      <w:r w:rsidR="00055004">
        <w:rPr>
          <w:szCs w:val="24"/>
        </w:rPr>
        <w:t xml:space="preserve">is gaining </w:t>
      </w:r>
      <w:r w:rsidR="009E6658">
        <w:rPr>
          <w:szCs w:val="24"/>
        </w:rPr>
        <w:t>momentum</w:t>
      </w:r>
      <w:r w:rsidR="00055004">
        <w:rPr>
          <w:szCs w:val="24"/>
        </w:rPr>
        <w:t xml:space="preserve"> as we continue to add </w:t>
      </w:r>
      <w:r w:rsidR="008C24B2">
        <w:rPr>
          <w:szCs w:val="24"/>
        </w:rPr>
        <w:t xml:space="preserve">customers in complementary niche markets for SCI’s </w:t>
      </w:r>
      <w:r w:rsidR="009E6658">
        <w:rPr>
          <w:szCs w:val="24"/>
        </w:rPr>
        <w:t>manufacture</w:t>
      </w:r>
      <w:r w:rsidR="008C24B2">
        <w:rPr>
          <w:szCs w:val="24"/>
        </w:rPr>
        <w:t>d</w:t>
      </w:r>
      <w:r w:rsidR="009E6658">
        <w:rPr>
          <w:szCs w:val="24"/>
        </w:rPr>
        <w:t xml:space="preserve"> products and custom powder solutions.</w:t>
      </w:r>
      <w:r w:rsidR="005658DD">
        <w:rPr>
          <w:szCs w:val="24"/>
        </w:rPr>
        <w:t>”</w:t>
      </w:r>
    </w:p>
    <w:p w14:paraId="41634261" w14:textId="17F6603A" w:rsidR="00D46B39" w:rsidRDefault="00D46B39" w:rsidP="00D949CC">
      <w:pPr>
        <w:spacing w:line="360" w:lineRule="auto"/>
        <w:ind w:left="0" w:right="173" w:hanging="14"/>
        <w:rPr>
          <w:szCs w:val="24"/>
        </w:rPr>
      </w:pPr>
    </w:p>
    <w:p w14:paraId="68CBFA4A" w14:textId="50E17272" w:rsidR="00684F53" w:rsidRDefault="00D46B39" w:rsidP="002860BD">
      <w:pPr>
        <w:spacing w:line="360" w:lineRule="auto"/>
        <w:ind w:left="0" w:right="173" w:hanging="14"/>
        <w:rPr>
          <w:color w:val="222222"/>
          <w:shd w:val="clear" w:color="auto" w:fill="FFFFFF"/>
        </w:rPr>
      </w:pPr>
      <w:r>
        <w:rPr>
          <w:szCs w:val="24"/>
        </w:rPr>
        <w:t>Mr. Young continued, “</w:t>
      </w:r>
      <w:r w:rsidR="00093D94">
        <w:rPr>
          <w:szCs w:val="24"/>
        </w:rPr>
        <w:t>The</w:t>
      </w:r>
      <w:r w:rsidR="002860BD">
        <w:rPr>
          <w:color w:val="222222"/>
          <w:shd w:val="clear" w:color="auto" w:fill="FFFFFF"/>
        </w:rPr>
        <w:t xml:space="preserve"> </w:t>
      </w:r>
      <w:r w:rsidR="00684F53">
        <w:rPr>
          <w:color w:val="222222"/>
          <w:shd w:val="clear" w:color="auto" w:fill="FFFFFF"/>
        </w:rPr>
        <w:t xml:space="preserve">global semiconductor chip shortage </w:t>
      </w:r>
      <w:r w:rsidR="002860BD">
        <w:rPr>
          <w:color w:val="222222"/>
          <w:shd w:val="clear" w:color="auto" w:fill="FFFFFF"/>
        </w:rPr>
        <w:t xml:space="preserve">is </w:t>
      </w:r>
      <w:r w:rsidR="004E6FCA">
        <w:rPr>
          <w:color w:val="222222"/>
          <w:shd w:val="clear" w:color="auto" w:fill="FFFFFF"/>
        </w:rPr>
        <w:t xml:space="preserve">currently </w:t>
      </w:r>
      <w:r w:rsidR="002860BD">
        <w:rPr>
          <w:color w:val="222222"/>
          <w:shd w:val="clear" w:color="auto" w:fill="FFFFFF"/>
        </w:rPr>
        <w:t xml:space="preserve">impacting companies across a wide range of industries, including some of our customers.  Based on recent </w:t>
      </w:r>
      <w:r w:rsidR="00F3250C">
        <w:rPr>
          <w:color w:val="222222"/>
          <w:shd w:val="clear" w:color="auto" w:fill="FFFFFF"/>
        </w:rPr>
        <w:t xml:space="preserve">industry </w:t>
      </w:r>
      <w:r w:rsidR="002860BD">
        <w:rPr>
          <w:color w:val="222222"/>
          <w:shd w:val="clear" w:color="auto" w:fill="FFFFFF"/>
        </w:rPr>
        <w:t xml:space="preserve">reports and corporate announcements it </w:t>
      </w:r>
      <w:r w:rsidR="00684F53">
        <w:rPr>
          <w:color w:val="222222"/>
          <w:shd w:val="clear" w:color="auto" w:fill="FFFFFF"/>
        </w:rPr>
        <w:t xml:space="preserve">is anticipated to continue into </w:t>
      </w:r>
      <w:r w:rsidR="00093D94">
        <w:rPr>
          <w:color w:val="222222"/>
          <w:shd w:val="clear" w:color="auto" w:fill="FFFFFF"/>
        </w:rPr>
        <w:t xml:space="preserve">at least </w:t>
      </w:r>
      <w:r w:rsidR="00684F53">
        <w:rPr>
          <w:color w:val="222222"/>
          <w:shd w:val="clear" w:color="auto" w:fill="FFFFFF"/>
        </w:rPr>
        <w:t xml:space="preserve">the second half of </w:t>
      </w:r>
      <w:r w:rsidR="00A8638A">
        <w:rPr>
          <w:color w:val="222222"/>
          <w:shd w:val="clear" w:color="auto" w:fill="FFFFFF"/>
        </w:rPr>
        <w:t xml:space="preserve">this year.  This could </w:t>
      </w:r>
      <w:r w:rsidR="00885D6F">
        <w:rPr>
          <w:color w:val="222222"/>
          <w:shd w:val="clear" w:color="auto" w:fill="FFFFFF"/>
        </w:rPr>
        <w:t xml:space="preserve">create </w:t>
      </w:r>
      <w:bookmarkStart w:id="0" w:name="_Hlk69913779"/>
      <w:r w:rsidR="00684F53">
        <w:rPr>
          <w:color w:val="222222"/>
          <w:shd w:val="clear" w:color="auto" w:fill="FFFFFF"/>
        </w:rPr>
        <w:t xml:space="preserve">temporary </w:t>
      </w:r>
      <w:r w:rsidR="00AB12DA">
        <w:rPr>
          <w:color w:val="222222"/>
          <w:shd w:val="clear" w:color="auto" w:fill="FFFFFF"/>
        </w:rPr>
        <w:t xml:space="preserve">volatility </w:t>
      </w:r>
      <w:r w:rsidR="009C61A2">
        <w:rPr>
          <w:color w:val="222222"/>
          <w:shd w:val="clear" w:color="auto" w:fill="FFFFFF"/>
        </w:rPr>
        <w:t xml:space="preserve">between quarters </w:t>
      </w:r>
      <w:r w:rsidR="00885D6F">
        <w:rPr>
          <w:color w:val="222222"/>
          <w:shd w:val="clear" w:color="auto" w:fill="FFFFFF"/>
        </w:rPr>
        <w:t>in</w:t>
      </w:r>
      <w:r w:rsidR="00684F53">
        <w:rPr>
          <w:color w:val="222222"/>
          <w:shd w:val="clear" w:color="auto" w:fill="FFFFFF"/>
        </w:rPr>
        <w:t xml:space="preserve"> the Company’s revenue and volume</w:t>
      </w:r>
      <w:bookmarkEnd w:id="0"/>
      <w:r w:rsidR="00A8638A">
        <w:rPr>
          <w:color w:val="222222"/>
          <w:shd w:val="clear" w:color="auto" w:fill="FFFFFF"/>
        </w:rPr>
        <w:t xml:space="preserve"> during the remainder of </w:t>
      </w:r>
      <w:r w:rsidR="00885D6F">
        <w:rPr>
          <w:color w:val="222222"/>
          <w:shd w:val="clear" w:color="auto" w:fill="FFFFFF"/>
        </w:rPr>
        <w:t>2021</w:t>
      </w:r>
      <w:r w:rsidR="00684F53">
        <w:rPr>
          <w:color w:val="222222"/>
          <w:shd w:val="clear" w:color="auto" w:fill="FFFFFF"/>
        </w:rPr>
        <w:t xml:space="preserve">. </w:t>
      </w:r>
      <w:r w:rsidR="002860BD">
        <w:rPr>
          <w:color w:val="222222"/>
          <w:shd w:val="clear" w:color="auto" w:fill="FFFFFF"/>
        </w:rPr>
        <w:t xml:space="preserve"> </w:t>
      </w:r>
      <w:r w:rsidR="00684F53">
        <w:rPr>
          <w:color w:val="222222"/>
          <w:shd w:val="clear" w:color="auto" w:fill="FFFFFF"/>
        </w:rPr>
        <w:t xml:space="preserve">We </w:t>
      </w:r>
      <w:r w:rsidR="002860BD">
        <w:rPr>
          <w:color w:val="222222"/>
          <w:shd w:val="clear" w:color="auto" w:fill="FFFFFF"/>
        </w:rPr>
        <w:t xml:space="preserve">are </w:t>
      </w:r>
      <w:r w:rsidR="00684F53">
        <w:rPr>
          <w:color w:val="222222"/>
          <w:shd w:val="clear" w:color="auto" w:fill="FFFFFF"/>
        </w:rPr>
        <w:t>actively monitor</w:t>
      </w:r>
      <w:r w:rsidR="002860BD">
        <w:rPr>
          <w:color w:val="222222"/>
          <w:shd w:val="clear" w:color="auto" w:fill="FFFFFF"/>
        </w:rPr>
        <w:t>ing</w:t>
      </w:r>
      <w:r w:rsidR="00684F53">
        <w:rPr>
          <w:color w:val="222222"/>
          <w:shd w:val="clear" w:color="auto" w:fill="FFFFFF"/>
        </w:rPr>
        <w:t xml:space="preserve"> these developments, </w:t>
      </w:r>
      <w:r w:rsidR="00093D94">
        <w:rPr>
          <w:color w:val="222222"/>
          <w:shd w:val="clear" w:color="auto" w:fill="FFFFFF"/>
        </w:rPr>
        <w:t xml:space="preserve">including </w:t>
      </w:r>
      <w:r w:rsidR="002860BD">
        <w:rPr>
          <w:color w:val="222222"/>
          <w:shd w:val="clear" w:color="auto" w:fill="FFFFFF"/>
        </w:rPr>
        <w:t xml:space="preserve">frequent </w:t>
      </w:r>
      <w:r w:rsidR="00684F53">
        <w:rPr>
          <w:color w:val="222222"/>
          <w:shd w:val="clear" w:color="auto" w:fill="FFFFFF"/>
        </w:rPr>
        <w:t xml:space="preserve">contact with </w:t>
      </w:r>
      <w:r w:rsidR="00584DCA">
        <w:rPr>
          <w:color w:val="222222"/>
          <w:shd w:val="clear" w:color="auto" w:fill="FFFFFF"/>
        </w:rPr>
        <w:t>customers,</w:t>
      </w:r>
      <w:r w:rsidR="002860BD">
        <w:rPr>
          <w:color w:val="222222"/>
          <w:shd w:val="clear" w:color="auto" w:fill="FFFFFF"/>
        </w:rPr>
        <w:t xml:space="preserve"> </w:t>
      </w:r>
      <w:r w:rsidR="004E6FCA">
        <w:rPr>
          <w:color w:val="222222"/>
          <w:shd w:val="clear" w:color="auto" w:fill="FFFFFF"/>
        </w:rPr>
        <w:t xml:space="preserve">and </w:t>
      </w:r>
      <w:r w:rsidR="002860BD">
        <w:rPr>
          <w:color w:val="222222"/>
          <w:shd w:val="clear" w:color="auto" w:fill="FFFFFF"/>
        </w:rPr>
        <w:t>adapt</w:t>
      </w:r>
      <w:r w:rsidR="004E6FCA">
        <w:rPr>
          <w:color w:val="222222"/>
          <w:shd w:val="clear" w:color="auto" w:fill="FFFFFF"/>
        </w:rPr>
        <w:t>ing</w:t>
      </w:r>
      <w:r w:rsidR="002860BD">
        <w:rPr>
          <w:color w:val="222222"/>
          <w:shd w:val="clear" w:color="auto" w:fill="FFFFFF"/>
        </w:rPr>
        <w:t xml:space="preserve"> to specific </w:t>
      </w:r>
      <w:r w:rsidR="00885D6F">
        <w:rPr>
          <w:color w:val="222222"/>
          <w:shd w:val="clear" w:color="auto" w:fill="FFFFFF"/>
        </w:rPr>
        <w:t xml:space="preserve">changes in their </w:t>
      </w:r>
      <w:r w:rsidR="00093D94">
        <w:rPr>
          <w:color w:val="222222"/>
          <w:shd w:val="clear" w:color="auto" w:fill="FFFFFF"/>
        </w:rPr>
        <w:t>forecasts</w:t>
      </w:r>
      <w:r w:rsidR="00684F53">
        <w:rPr>
          <w:color w:val="222222"/>
          <w:shd w:val="clear" w:color="auto" w:fill="FFFFFF"/>
        </w:rPr>
        <w:t>.</w:t>
      </w:r>
      <w:r w:rsidR="002860BD">
        <w:rPr>
          <w:color w:val="222222"/>
          <w:shd w:val="clear" w:color="auto" w:fill="FFFFFF"/>
        </w:rPr>
        <w:t>”</w:t>
      </w:r>
    </w:p>
    <w:p w14:paraId="65D77F51" w14:textId="3ED39511" w:rsidR="00FA5755" w:rsidRDefault="00FA5755" w:rsidP="002860BD">
      <w:pPr>
        <w:spacing w:line="360" w:lineRule="auto"/>
        <w:ind w:left="0" w:right="173" w:hanging="14"/>
        <w:rPr>
          <w:color w:val="222222"/>
          <w:shd w:val="clear" w:color="auto" w:fill="FFFFFF"/>
        </w:rPr>
      </w:pPr>
    </w:p>
    <w:p w14:paraId="560A891D" w14:textId="6D3AF280" w:rsidR="00FA5755" w:rsidRDefault="00FA5755" w:rsidP="002860BD">
      <w:pPr>
        <w:spacing w:line="360" w:lineRule="auto"/>
        <w:ind w:left="0" w:right="173" w:hanging="14"/>
        <w:rPr>
          <w:color w:val="222222"/>
          <w:shd w:val="clear" w:color="auto" w:fill="FFFFFF"/>
        </w:rPr>
      </w:pPr>
    </w:p>
    <w:p w14:paraId="097617F5" w14:textId="77777777" w:rsidR="00FA5755" w:rsidRDefault="00FA5755" w:rsidP="002860BD">
      <w:pPr>
        <w:spacing w:line="360" w:lineRule="auto"/>
        <w:ind w:left="0" w:right="173" w:hanging="14"/>
        <w:rPr>
          <w:rFonts w:ascii="Times New Roman" w:eastAsia="Times New Roman" w:hAnsi="Times New Roman" w:cs="Times New Roman"/>
          <w:color w:val="auto"/>
          <w:sz w:val="20"/>
        </w:rPr>
      </w:pPr>
    </w:p>
    <w:p w14:paraId="51BAA5CE" w14:textId="1D3C5C6E" w:rsidR="002E19E5" w:rsidRDefault="002E19E5" w:rsidP="001C1765">
      <w:pPr>
        <w:spacing w:line="360" w:lineRule="auto"/>
        <w:ind w:left="0" w:right="173" w:hanging="14"/>
        <w:rPr>
          <w:i/>
          <w:iCs/>
          <w:color w:val="auto"/>
        </w:rPr>
      </w:pPr>
      <w:r>
        <w:rPr>
          <w:i/>
          <w:iCs/>
          <w:color w:val="auto"/>
        </w:rPr>
        <w:lastRenderedPageBreak/>
        <w:t xml:space="preserve">Total </w:t>
      </w:r>
      <w:r w:rsidR="00386227" w:rsidRPr="001C1765">
        <w:rPr>
          <w:i/>
          <w:iCs/>
          <w:color w:val="auto"/>
        </w:rPr>
        <w:t>Revenue</w:t>
      </w:r>
    </w:p>
    <w:p w14:paraId="155C155E" w14:textId="536BA701" w:rsidR="00B86DF8" w:rsidRPr="00B86DF8" w:rsidRDefault="002E19E5" w:rsidP="00B86DF8">
      <w:pPr>
        <w:pStyle w:val="BodyText"/>
        <w:spacing w:line="360" w:lineRule="auto"/>
        <w:ind w:left="0"/>
        <w:rPr>
          <w:rFonts w:ascii="Arial" w:hAnsi="Arial" w:cs="Arial"/>
          <w:sz w:val="24"/>
          <w:szCs w:val="24"/>
        </w:rPr>
      </w:pPr>
      <w:r w:rsidRPr="00B86DF8">
        <w:rPr>
          <w:rFonts w:ascii="Arial" w:hAnsi="Arial" w:cs="Arial"/>
          <w:sz w:val="24"/>
          <w:szCs w:val="24"/>
        </w:rPr>
        <w:t xml:space="preserve">Total revenue for the 2021 first quarter was $3,022,310 </w:t>
      </w:r>
      <w:r w:rsidR="009015BC" w:rsidRPr="00B86DF8">
        <w:rPr>
          <w:rFonts w:ascii="Arial" w:hAnsi="Arial" w:cs="Arial"/>
          <w:sz w:val="24"/>
          <w:szCs w:val="24"/>
        </w:rPr>
        <w:t xml:space="preserve">compared to </w:t>
      </w:r>
      <w:r w:rsidRPr="00B86DF8">
        <w:rPr>
          <w:rFonts w:ascii="Arial" w:hAnsi="Arial" w:cs="Arial"/>
          <w:sz w:val="24"/>
          <w:szCs w:val="24"/>
        </w:rPr>
        <w:t>$</w:t>
      </w:r>
      <w:r w:rsidR="009015BC" w:rsidRPr="00B86DF8">
        <w:rPr>
          <w:rFonts w:ascii="Arial" w:hAnsi="Arial" w:cs="Arial"/>
          <w:sz w:val="24"/>
          <w:szCs w:val="24"/>
        </w:rPr>
        <w:t>3,438,795</w:t>
      </w:r>
      <w:r w:rsidRPr="00B86DF8">
        <w:rPr>
          <w:rFonts w:ascii="Arial" w:hAnsi="Arial" w:cs="Arial"/>
          <w:sz w:val="24"/>
          <w:szCs w:val="24"/>
        </w:rPr>
        <w:t xml:space="preserve"> </w:t>
      </w:r>
      <w:r w:rsidR="00D131E1" w:rsidRPr="00B86DF8">
        <w:rPr>
          <w:rFonts w:ascii="Arial" w:hAnsi="Arial" w:cs="Arial"/>
          <w:sz w:val="24"/>
          <w:szCs w:val="24"/>
        </w:rPr>
        <w:t>for the</w:t>
      </w:r>
      <w:r w:rsidRPr="00B86DF8">
        <w:rPr>
          <w:rFonts w:ascii="Arial" w:hAnsi="Arial" w:cs="Arial"/>
          <w:sz w:val="24"/>
          <w:szCs w:val="24"/>
        </w:rPr>
        <w:t xml:space="preserve"> same period </w:t>
      </w:r>
      <w:r w:rsidR="009015BC" w:rsidRPr="00B86DF8">
        <w:rPr>
          <w:rFonts w:ascii="Arial" w:hAnsi="Arial" w:cs="Arial"/>
          <w:sz w:val="24"/>
          <w:szCs w:val="24"/>
        </w:rPr>
        <w:t>in 2020</w:t>
      </w:r>
      <w:r w:rsidRPr="00B86DF8">
        <w:rPr>
          <w:rFonts w:ascii="Arial" w:hAnsi="Arial" w:cs="Arial"/>
          <w:sz w:val="24"/>
          <w:szCs w:val="24"/>
        </w:rPr>
        <w:t>.  The 12% decrease was principally due to lower pricing</w:t>
      </w:r>
      <w:r w:rsidR="00B86DF8" w:rsidRPr="00B86DF8">
        <w:rPr>
          <w:rFonts w:ascii="Arial" w:hAnsi="Arial" w:cs="Arial"/>
          <w:sz w:val="24"/>
          <w:szCs w:val="24"/>
        </w:rPr>
        <w:t xml:space="preserve"> </w:t>
      </w:r>
      <w:r w:rsidR="00B86DF8">
        <w:rPr>
          <w:rFonts w:ascii="Arial" w:hAnsi="Arial" w:cs="Arial"/>
          <w:sz w:val="24"/>
          <w:szCs w:val="24"/>
        </w:rPr>
        <w:t xml:space="preserve">which was </w:t>
      </w:r>
      <w:r w:rsidR="00B86DF8" w:rsidRPr="00B86DF8">
        <w:rPr>
          <w:rFonts w:ascii="Arial" w:hAnsi="Arial" w:cs="Arial"/>
          <w:sz w:val="24"/>
          <w:szCs w:val="24"/>
        </w:rPr>
        <w:t xml:space="preserve">partially offset by higher volume and product mix.   </w:t>
      </w:r>
    </w:p>
    <w:p w14:paraId="3B7A87DC" w14:textId="77777777" w:rsidR="005102C1" w:rsidRDefault="005102C1" w:rsidP="002E19E5">
      <w:pPr>
        <w:spacing w:line="360" w:lineRule="auto"/>
        <w:ind w:left="0" w:right="173" w:hanging="14"/>
        <w:jc w:val="left"/>
        <w:rPr>
          <w:color w:val="auto"/>
        </w:rPr>
      </w:pPr>
    </w:p>
    <w:p w14:paraId="6FBB7A44" w14:textId="77777777" w:rsidR="00B86DF8" w:rsidRDefault="002E19E5" w:rsidP="00FE2BEE">
      <w:pPr>
        <w:pStyle w:val="BodyText"/>
        <w:spacing w:line="360" w:lineRule="auto"/>
        <w:ind w:left="0"/>
        <w:jc w:val="left"/>
        <w:rPr>
          <w:rFonts w:ascii="Arial" w:hAnsi="Arial" w:cs="Arial"/>
          <w:sz w:val="24"/>
          <w:szCs w:val="24"/>
        </w:rPr>
      </w:pPr>
      <w:r w:rsidRPr="002E19E5">
        <w:rPr>
          <w:rFonts w:ascii="Arial" w:hAnsi="Arial" w:cs="Arial"/>
          <w:iCs/>
          <w:sz w:val="24"/>
          <w:szCs w:val="24"/>
        </w:rPr>
        <w:t>Order backlog</w:t>
      </w:r>
      <w:r w:rsidR="00562FFD" w:rsidRPr="002E19E5">
        <w:rPr>
          <w:rFonts w:ascii="Arial" w:hAnsi="Arial" w:cs="Arial"/>
          <w:i/>
          <w:iCs/>
          <w:sz w:val="24"/>
          <w:szCs w:val="24"/>
        </w:rPr>
        <w:t xml:space="preserve"> </w:t>
      </w:r>
      <w:r w:rsidR="00FE2BEE">
        <w:rPr>
          <w:rFonts w:ascii="Arial" w:hAnsi="Arial" w:cs="Arial"/>
          <w:sz w:val="24"/>
          <w:szCs w:val="24"/>
        </w:rPr>
        <w:t xml:space="preserve">more than doubled </w:t>
      </w:r>
      <w:r w:rsidR="009015BC">
        <w:rPr>
          <w:rFonts w:ascii="Arial" w:hAnsi="Arial" w:cs="Arial"/>
          <w:sz w:val="24"/>
          <w:szCs w:val="24"/>
        </w:rPr>
        <w:t xml:space="preserve">to $5.7 million </w:t>
      </w:r>
      <w:r w:rsidR="00FE2BEE">
        <w:rPr>
          <w:rFonts w:ascii="Arial" w:hAnsi="Arial" w:cs="Arial"/>
          <w:sz w:val="24"/>
          <w:szCs w:val="24"/>
        </w:rPr>
        <w:t xml:space="preserve">during </w:t>
      </w:r>
      <w:r w:rsidR="009015BC">
        <w:rPr>
          <w:rFonts w:ascii="Arial" w:hAnsi="Arial" w:cs="Arial"/>
          <w:sz w:val="24"/>
          <w:szCs w:val="24"/>
        </w:rPr>
        <w:t xml:space="preserve">the first three months of 2021.  </w:t>
      </w:r>
      <w:r w:rsidR="00FE2BEE">
        <w:rPr>
          <w:rFonts w:ascii="Arial" w:hAnsi="Arial" w:cs="Arial"/>
          <w:sz w:val="24"/>
          <w:szCs w:val="24"/>
        </w:rPr>
        <w:t xml:space="preserve"> This amount compares to $2.6 million on December 31, 2020, and $5.0 million on March 31, 2020.</w:t>
      </w:r>
    </w:p>
    <w:p w14:paraId="098AA09F" w14:textId="2640988E" w:rsidR="00E06292" w:rsidRDefault="00E06292" w:rsidP="00FE2BEE">
      <w:pPr>
        <w:pStyle w:val="BodyText"/>
        <w:spacing w:line="360" w:lineRule="auto"/>
        <w:ind w:left="0"/>
        <w:jc w:val="left"/>
        <w:rPr>
          <w:rFonts w:ascii="Arial" w:hAnsi="Arial" w:cs="Arial"/>
          <w:sz w:val="24"/>
          <w:szCs w:val="24"/>
        </w:rPr>
      </w:pPr>
    </w:p>
    <w:p w14:paraId="17293A2F" w14:textId="7E7876F6" w:rsidR="00E06292" w:rsidRPr="00E06292" w:rsidRDefault="00E06292" w:rsidP="00FE2BEE">
      <w:pPr>
        <w:pStyle w:val="BodyText"/>
        <w:spacing w:line="360" w:lineRule="auto"/>
        <w:ind w:left="0"/>
        <w:jc w:val="left"/>
        <w:rPr>
          <w:rFonts w:ascii="Arial" w:hAnsi="Arial" w:cs="Arial"/>
          <w:sz w:val="24"/>
          <w:szCs w:val="24"/>
        </w:rPr>
      </w:pPr>
      <w:r w:rsidRPr="00E06292">
        <w:rPr>
          <w:rFonts w:ascii="Arial" w:hAnsi="Arial" w:cs="Arial"/>
          <w:sz w:val="24"/>
          <w:szCs w:val="24"/>
        </w:rPr>
        <w:t>Employee Retention Credit</w:t>
      </w:r>
    </w:p>
    <w:p w14:paraId="0F5EE3EF" w14:textId="31ADF47B" w:rsidR="00E06292" w:rsidRPr="00FE2BEE" w:rsidRDefault="00E06292" w:rsidP="00E06292">
      <w:pPr>
        <w:pStyle w:val="BodyText"/>
        <w:spacing w:line="360" w:lineRule="auto"/>
        <w:ind w:left="0"/>
        <w:jc w:val="left"/>
        <w:rPr>
          <w:rFonts w:ascii="Arial" w:eastAsiaTheme="minorEastAsia" w:hAnsi="Arial" w:cs="Arial"/>
          <w:color w:val="FF0000"/>
          <w:spacing w:val="-3"/>
          <w:sz w:val="24"/>
          <w:szCs w:val="24"/>
        </w:rPr>
      </w:pPr>
      <w:r>
        <w:rPr>
          <w:rFonts w:ascii="Arial" w:hAnsi="Arial" w:cs="Arial"/>
          <w:sz w:val="24"/>
          <w:szCs w:val="24"/>
        </w:rPr>
        <w:t>The Company recognized an Employee Retention Credit totaling $256,000 during the first quarter of 2021</w:t>
      </w:r>
      <w:r w:rsidR="00F14616">
        <w:rPr>
          <w:rFonts w:ascii="Arial" w:hAnsi="Arial" w:cs="Arial"/>
          <w:sz w:val="24"/>
          <w:szCs w:val="24"/>
        </w:rPr>
        <w:t xml:space="preserve">, which </w:t>
      </w:r>
      <w:r>
        <w:rPr>
          <w:rFonts w:ascii="Arial" w:eastAsiaTheme="minorEastAsia" w:hAnsi="Arial" w:cs="Arial"/>
          <w:spacing w:val="-3"/>
          <w:sz w:val="24"/>
          <w:szCs w:val="24"/>
        </w:rPr>
        <w:t xml:space="preserve">was authorized in the Taxpayer Certainty and Disaster Tax Relief Act enacted in December 2020.  </w:t>
      </w:r>
      <w:r w:rsidR="00F14616">
        <w:rPr>
          <w:rFonts w:ascii="Arial" w:eastAsiaTheme="minorEastAsia" w:hAnsi="Arial" w:cs="Arial"/>
          <w:spacing w:val="-3"/>
          <w:sz w:val="24"/>
          <w:szCs w:val="24"/>
        </w:rPr>
        <w:t xml:space="preserve">Of this amount, </w:t>
      </w:r>
      <w:r>
        <w:rPr>
          <w:rFonts w:ascii="Arial" w:eastAsiaTheme="minorEastAsia" w:hAnsi="Arial" w:cs="Arial"/>
          <w:spacing w:val="-3"/>
          <w:sz w:val="24"/>
          <w:szCs w:val="24"/>
        </w:rPr>
        <w:t xml:space="preserve">$151,000 was </w:t>
      </w:r>
      <w:r w:rsidR="00474264">
        <w:rPr>
          <w:rFonts w:ascii="Arial" w:eastAsiaTheme="minorEastAsia" w:hAnsi="Arial" w:cs="Arial"/>
          <w:spacing w:val="-3"/>
          <w:sz w:val="24"/>
          <w:szCs w:val="24"/>
        </w:rPr>
        <w:t xml:space="preserve">included </w:t>
      </w:r>
      <w:r>
        <w:rPr>
          <w:rFonts w:ascii="Arial" w:eastAsiaTheme="minorEastAsia" w:hAnsi="Arial" w:cs="Arial"/>
          <w:spacing w:val="-3"/>
          <w:sz w:val="24"/>
          <w:szCs w:val="24"/>
        </w:rPr>
        <w:t xml:space="preserve">in gross profit and $105,000 in operating expenses.  </w:t>
      </w:r>
    </w:p>
    <w:p w14:paraId="3EF88C7E" w14:textId="465B05A4" w:rsidR="00562FFD" w:rsidRPr="002E19E5" w:rsidRDefault="00562FFD" w:rsidP="00FE2BEE">
      <w:pPr>
        <w:pStyle w:val="BodyText"/>
        <w:spacing w:line="360" w:lineRule="auto"/>
        <w:ind w:left="0"/>
        <w:jc w:val="left"/>
        <w:rPr>
          <w:rFonts w:ascii="Arial" w:hAnsi="Arial" w:cs="Arial"/>
          <w:sz w:val="24"/>
          <w:szCs w:val="24"/>
        </w:rPr>
      </w:pPr>
    </w:p>
    <w:p w14:paraId="05F4D681" w14:textId="1735CE81" w:rsidR="009015BC" w:rsidRDefault="00386227">
      <w:pPr>
        <w:pStyle w:val="Heading2"/>
        <w:ind w:left="-5"/>
        <w:rPr>
          <w:color w:val="auto"/>
        </w:rPr>
      </w:pPr>
      <w:r w:rsidRPr="00C961F2">
        <w:rPr>
          <w:color w:val="auto"/>
        </w:rPr>
        <w:t>Gross profit</w:t>
      </w:r>
    </w:p>
    <w:p w14:paraId="2B4C5D8E" w14:textId="6868869A" w:rsidR="00FE2BEE" w:rsidRPr="009015BC" w:rsidRDefault="00FE2BEE" w:rsidP="00FA5755">
      <w:pPr>
        <w:pStyle w:val="BodyText"/>
        <w:spacing w:line="360" w:lineRule="auto"/>
        <w:ind w:left="0"/>
        <w:jc w:val="left"/>
        <w:rPr>
          <w:rFonts w:eastAsiaTheme="minorEastAsia"/>
          <w:i/>
          <w:iCs/>
          <w:spacing w:val="-3"/>
          <w:sz w:val="8"/>
          <w:szCs w:val="8"/>
        </w:rPr>
      </w:pPr>
      <w:r>
        <w:rPr>
          <w:rFonts w:ascii="Arial" w:eastAsiaTheme="minorEastAsia" w:hAnsi="Arial" w:cs="Arial"/>
          <w:spacing w:val="-3"/>
          <w:sz w:val="24"/>
          <w:szCs w:val="24"/>
        </w:rPr>
        <w:t xml:space="preserve">Gross profit increased 58% to $803,036 for the three months ended March 31, 2021, from $509,338 a year ago.  Approximately half of this increase was </w:t>
      </w:r>
      <w:r w:rsidR="00055004">
        <w:rPr>
          <w:rFonts w:ascii="Arial" w:eastAsiaTheme="minorEastAsia" w:hAnsi="Arial" w:cs="Arial"/>
          <w:spacing w:val="-3"/>
          <w:sz w:val="24"/>
          <w:szCs w:val="24"/>
        </w:rPr>
        <w:t xml:space="preserve">attributable </w:t>
      </w:r>
      <w:r>
        <w:rPr>
          <w:rFonts w:ascii="Arial" w:eastAsiaTheme="minorEastAsia" w:hAnsi="Arial" w:cs="Arial"/>
          <w:spacing w:val="-3"/>
          <w:sz w:val="24"/>
          <w:szCs w:val="24"/>
        </w:rPr>
        <w:t xml:space="preserve">to </w:t>
      </w:r>
      <w:r w:rsidR="009015BC">
        <w:rPr>
          <w:rFonts w:ascii="Arial" w:eastAsiaTheme="minorEastAsia" w:hAnsi="Arial" w:cs="Arial"/>
          <w:spacing w:val="-3"/>
          <w:sz w:val="24"/>
          <w:szCs w:val="24"/>
        </w:rPr>
        <w:t>product mix and improved manufacturing efficiencies</w:t>
      </w:r>
      <w:r w:rsidR="00055004">
        <w:rPr>
          <w:rFonts w:ascii="Arial" w:eastAsiaTheme="minorEastAsia" w:hAnsi="Arial" w:cs="Arial"/>
          <w:spacing w:val="-3"/>
          <w:sz w:val="24"/>
          <w:szCs w:val="24"/>
        </w:rPr>
        <w:t xml:space="preserve">, while </w:t>
      </w:r>
      <w:r w:rsidR="009015BC">
        <w:rPr>
          <w:rFonts w:ascii="Arial" w:eastAsiaTheme="minorEastAsia" w:hAnsi="Arial" w:cs="Arial"/>
          <w:spacing w:val="-3"/>
          <w:sz w:val="24"/>
          <w:szCs w:val="24"/>
        </w:rPr>
        <w:t xml:space="preserve">the remaining amount was </w:t>
      </w:r>
      <w:r w:rsidR="00055004">
        <w:rPr>
          <w:rFonts w:ascii="Arial" w:eastAsiaTheme="minorEastAsia" w:hAnsi="Arial" w:cs="Arial"/>
          <w:spacing w:val="-3"/>
          <w:sz w:val="24"/>
          <w:szCs w:val="24"/>
        </w:rPr>
        <w:t xml:space="preserve">due </w:t>
      </w:r>
      <w:r w:rsidR="009015BC">
        <w:rPr>
          <w:rFonts w:ascii="Arial" w:eastAsiaTheme="minorEastAsia" w:hAnsi="Arial" w:cs="Arial"/>
          <w:spacing w:val="-3"/>
          <w:sz w:val="24"/>
          <w:szCs w:val="24"/>
        </w:rPr>
        <w:t>to r</w:t>
      </w:r>
      <w:r>
        <w:rPr>
          <w:rFonts w:ascii="Arial" w:eastAsiaTheme="minorEastAsia" w:hAnsi="Arial" w:cs="Arial"/>
          <w:spacing w:val="-3"/>
          <w:sz w:val="24"/>
          <w:szCs w:val="24"/>
        </w:rPr>
        <w:t xml:space="preserve">ecognition of an Employee </w:t>
      </w:r>
      <w:r w:rsidR="009015BC">
        <w:rPr>
          <w:rFonts w:ascii="Arial" w:eastAsiaTheme="minorEastAsia" w:hAnsi="Arial" w:cs="Arial"/>
          <w:spacing w:val="-3"/>
          <w:sz w:val="24"/>
          <w:szCs w:val="24"/>
        </w:rPr>
        <w:t xml:space="preserve">Retention </w:t>
      </w:r>
      <w:r>
        <w:rPr>
          <w:rFonts w:ascii="Arial" w:eastAsiaTheme="minorEastAsia" w:hAnsi="Arial" w:cs="Arial"/>
          <w:spacing w:val="-3"/>
          <w:sz w:val="24"/>
          <w:szCs w:val="24"/>
        </w:rPr>
        <w:t>Credit of $151,000</w:t>
      </w:r>
      <w:r w:rsidR="009015BC">
        <w:rPr>
          <w:rFonts w:ascii="Arial" w:eastAsiaTheme="minorEastAsia" w:hAnsi="Arial" w:cs="Arial"/>
          <w:spacing w:val="-3"/>
          <w:sz w:val="24"/>
          <w:szCs w:val="24"/>
        </w:rPr>
        <w:t xml:space="preserve">.  </w:t>
      </w:r>
    </w:p>
    <w:p w14:paraId="48357E38" w14:textId="77777777" w:rsidR="00FE2BEE" w:rsidRDefault="00FE2BEE" w:rsidP="00562FFD">
      <w:pPr>
        <w:pStyle w:val="BodyText"/>
        <w:ind w:left="720"/>
        <w:rPr>
          <w:rFonts w:eastAsiaTheme="minorEastAsia"/>
          <w:i/>
          <w:iCs/>
          <w:spacing w:val="-3"/>
          <w:sz w:val="20"/>
        </w:rPr>
      </w:pPr>
    </w:p>
    <w:p w14:paraId="77EC9D8B" w14:textId="20B87538" w:rsidR="00DB1214" w:rsidRDefault="00386227" w:rsidP="00A36E28">
      <w:pPr>
        <w:ind w:left="-5" w:right="39"/>
        <w:rPr>
          <w:i/>
          <w:iCs/>
          <w:color w:val="auto"/>
        </w:rPr>
      </w:pPr>
      <w:r w:rsidRPr="009015BC">
        <w:rPr>
          <w:i/>
          <w:iCs/>
          <w:color w:val="auto"/>
        </w:rPr>
        <w:t>Operating expenses</w:t>
      </w:r>
    </w:p>
    <w:p w14:paraId="5F75AFD2" w14:textId="77777777" w:rsidR="009015BC" w:rsidRPr="009015BC" w:rsidRDefault="009015BC" w:rsidP="00A36E28">
      <w:pPr>
        <w:ind w:left="-5" w:right="39"/>
        <w:rPr>
          <w:i/>
          <w:iCs/>
          <w:color w:val="auto"/>
          <w:sz w:val="8"/>
          <w:szCs w:val="8"/>
        </w:rPr>
      </w:pPr>
    </w:p>
    <w:p w14:paraId="4CBFAFB5" w14:textId="7B4A14E0" w:rsidR="00B86DF8" w:rsidRDefault="00DB1214" w:rsidP="00DB1214">
      <w:pPr>
        <w:spacing w:line="360" w:lineRule="auto"/>
        <w:ind w:left="0" w:right="43" w:hanging="14"/>
      </w:pPr>
      <w:r>
        <w:t xml:space="preserve">Operating expenses </w:t>
      </w:r>
      <w:r w:rsidRPr="00156C24">
        <w:t>(general and administrative expense, research and development expense, and marketing and sales expense)</w:t>
      </w:r>
      <w:r>
        <w:t xml:space="preserve"> were $377,493 for the 2021 </w:t>
      </w:r>
      <w:r w:rsidR="009015BC">
        <w:t xml:space="preserve">first quarter </w:t>
      </w:r>
      <w:r>
        <w:t xml:space="preserve">compared to $421,853 </w:t>
      </w:r>
      <w:r w:rsidR="009015BC">
        <w:t>a year ago</w:t>
      </w:r>
      <w:r>
        <w:t>.  Th</w:t>
      </w:r>
      <w:r w:rsidR="009015BC">
        <w:t>e</w:t>
      </w:r>
      <w:r>
        <w:t xml:space="preserve"> 11% decrease </w:t>
      </w:r>
      <w:r w:rsidR="00FC0B36">
        <w:t xml:space="preserve">in operating expenses compared to the first quarter of 2020 </w:t>
      </w:r>
      <w:r>
        <w:t xml:space="preserve">was </w:t>
      </w:r>
      <w:r w:rsidR="009015BC">
        <w:t xml:space="preserve">attributable to </w:t>
      </w:r>
      <w:r w:rsidR="00C54792">
        <w:t xml:space="preserve">the </w:t>
      </w:r>
      <w:r>
        <w:t xml:space="preserve">$105,000 Employee Retention Credit </w:t>
      </w:r>
      <w:r w:rsidR="006F307B">
        <w:t xml:space="preserve">recorded during the 2021 first quarter related to qualifying </w:t>
      </w:r>
      <w:r w:rsidR="005102C1">
        <w:t>compensation expenses</w:t>
      </w:r>
      <w:r>
        <w:t>.</w:t>
      </w:r>
      <w:r w:rsidR="00FC0B36">
        <w:t xml:space="preserve">  </w:t>
      </w:r>
      <w:r w:rsidR="00C54792">
        <w:t>General and administrative expense for t</w:t>
      </w:r>
      <w:r w:rsidR="00B86DF8">
        <w:t>he 2021 first quarter included h</w:t>
      </w:r>
      <w:r w:rsidR="00FC0B36">
        <w:t xml:space="preserve">igher compensation and professional fees </w:t>
      </w:r>
      <w:r w:rsidR="00B86DF8">
        <w:t xml:space="preserve">which </w:t>
      </w:r>
      <w:r w:rsidR="00FC0B36">
        <w:t xml:space="preserve">were offset by </w:t>
      </w:r>
      <w:r w:rsidR="00C54792">
        <w:t>an</w:t>
      </w:r>
      <w:r w:rsidR="00FC0B36">
        <w:t xml:space="preserve"> Employee Retention Credit of $36,000.  </w:t>
      </w:r>
      <w:r w:rsidR="00FA15A2">
        <w:t>M</w:t>
      </w:r>
      <w:r w:rsidR="005102C1">
        <w:t xml:space="preserve">arketing and sales expense for the 2021 first quarter </w:t>
      </w:r>
      <w:r w:rsidR="00FA15A2">
        <w:t xml:space="preserve">included </w:t>
      </w:r>
      <w:r w:rsidR="005102C1">
        <w:t>o</w:t>
      </w:r>
      <w:r w:rsidR="00CC0121">
        <w:t xml:space="preserve">ne-time </w:t>
      </w:r>
      <w:r w:rsidR="00CC0121">
        <w:lastRenderedPageBreak/>
        <w:t xml:space="preserve">consulting expense </w:t>
      </w:r>
      <w:r w:rsidR="005102C1">
        <w:t xml:space="preserve">plus </w:t>
      </w:r>
      <w:r w:rsidR="00684F53">
        <w:t xml:space="preserve">the addition of a </w:t>
      </w:r>
      <w:r w:rsidR="005102C1">
        <w:t>sales employee</w:t>
      </w:r>
      <w:r w:rsidR="00FA15A2">
        <w:t>,</w:t>
      </w:r>
      <w:r w:rsidR="005102C1">
        <w:t xml:space="preserve"> </w:t>
      </w:r>
      <w:r w:rsidR="00FA15A2">
        <w:t xml:space="preserve">which </w:t>
      </w:r>
      <w:r w:rsidR="00CC0121">
        <w:t>w</w:t>
      </w:r>
      <w:r w:rsidR="00FA15A2">
        <w:t>as</w:t>
      </w:r>
      <w:r w:rsidR="00CC0121">
        <w:t xml:space="preserve"> offset by </w:t>
      </w:r>
      <w:r w:rsidR="005102C1">
        <w:t xml:space="preserve">approximately $30,000 related to </w:t>
      </w:r>
      <w:r w:rsidR="00CC0121">
        <w:t>the credit noted above</w:t>
      </w:r>
      <w:r w:rsidR="00FA15A2">
        <w:t>.</w:t>
      </w:r>
      <w:r w:rsidR="00CC0121">
        <w:t xml:space="preserve"> </w:t>
      </w:r>
      <w:r w:rsidR="00FA15A2">
        <w:t xml:space="preserve"> </w:t>
      </w:r>
      <w:r>
        <w:t>The Company</w:t>
      </w:r>
      <w:r w:rsidR="006F307B">
        <w:t xml:space="preserve"> continue</w:t>
      </w:r>
      <w:r w:rsidR="00CC0121">
        <w:t>s</w:t>
      </w:r>
      <w:r w:rsidR="006F307B">
        <w:t xml:space="preserve"> to pursue r</w:t>
      </w:r>
      <w:r>
        <w:t>esearch and development</w:t>
      </w:r>
      <w:r w:rsidR="00FC0B36">
        <w:t xml:space="preserve"> (R&amp;D)</w:t>
      </w:r>
      <w:r>
        <w:t xml:space="preserve"> initiatives </w:t>
      </w:r>
      <w:r w:rsidR="006F307B">
        <w:t xml:space="preserve">including </w:t>
      </w:r>
      <w:r>
        <w:t>specialty materials and custom applications for niche markets</w:t>
      </w:r>
      <w:r w:rsidR="006F307B">
        <w:t xml:space="preserve">.  The 56% decrease in R&amp;D expenses </w:t>
      </w:r>
      <w:r w:rsidR="00CC0121">
        <w:t xml:space="preserve">for the 2021 first quarter </w:t>
      </w:r>
      <w:r w:rsidR="006F307B">
        <w:t xml:space="preserve">compared to last year was </w:t>
      </w:r>
      <w:r w:rsidR="00684F53">
        <w:t xml:space="preserve">primarily </w:t>
      </w:r>
      <w:r w:rsidR="006F307B">
        <w:t xml:space="preserve">related to recognition of </w:t>
      </w:r>
      <w:r w:rsidR="005102C1">
        <w:t xml:space="preserve">$39,000 </w:t>
      </w:r>
      <w:r w:rsidR="00CC0121">
        <w:t xml:space="preserve">of </w:t>
      </w:r>
      <w:r w:rsidR="006F307B">
        <w:t xml:space="preserve">the </w:t>
      </w:r>
      <w:r w:rsidR="005102C1">
        <w:t xml:space="preserve">previously noted </w:t>
      </w:r>
      <w:r w:rsidR="006F307B">
        <w:t>credit.</w:t>
      </w:r>
    </w:p>
    <w:p w14:paraId="54896EBB" w14:textId="080F4466" w:rsidR="00FC0B36" w:rsidRDefault="00EC5B46" w:rsidP="00DB1214">
      <w:pPr>
        <w:spacing w:line="360" w:lineRule="auto"/>
        <w:ind w:left="0" w:right="43" w:hanging="14"/>
      </w:pPr>
      <w:r>
        <w:t xml:space="preserve"> </w:t>
      </w:r>
    </w:p>
    <w:p w14:paraId="74BB492A" w14:textId="461784D3" w:rsidR="006B4F80" w:rsidRDefault="006B4F80" w:rsidP="00A36E28">
      <w:pPr>
        <w:ind w:left="-5" w:right="39"/>
        <w:rPr>
          <w:i/>
          <w:iCs/>
          <w:color w:val="auto"/>
        </w:rPr>
      </w:pPr>
      <w:r w:rsidRPr="006B4F80">
        <w:rPr>
          <w:i/>
          <w:iCs/>
          <w:color w:val="auto"/>
        </w:rPr>
        <w:t>Income from Operations</w:t>
      </w:r>
    </w:p>
    <w:p w14:paraId="0F4F6B12" w14:textId="74CB51E6" w:rsidR="006F307B" w:rsidRPr="00FC0B36" w:rsidRDefault="006F307B" w:rsidP="00A36E28">
      <w:pPr>
        <w:ind w:left="-5" w:right="39"/>
        <w:rPr>
          <w:i/>
          <w:iCs/>
          <w:color w:val="auto"/>
          <w:sz w:val="16"/>
          <w:szCs w:val="16"/>
        </w:rPr>
      </w:pPr>
    </w:p>
    <w:p w14:paraId="3711E5E2" w14:textId="6B0FE312" w:rsidR="006F307B" w:rsidRPr="006F307B" w:rsidRDefault="006F307B" w:rsidP="00A36E28">
      <w:pPr>
        <w:ind w:left="-5" w:right="39"/>
        <w:rPr>
          <w:color w:val="auto"/>
        </w:rPr>
      </w:pPr>
      <w:r>
        <w:rPr>
          <w:color w:val="auto"/>
        </w:rPr>
        <w:t xml:space="preserve">The Company’s 2021 first quarter income from operations increased to $425,543 from $87,485 for the same period last year.  </w:t>
      </w:r>
      <w:r w:rsidR="00D32B18">
        <w:rPr>
          <w:color w:val="auto"/>
        </w:rPr>
        <w:t xml:space="preserve">Excluding the amount related to the Employee Retention Credit, income from operations </w:t>
      </w:r>
      <w:r w:rsidR="00CC34BD">
        <w:rPr>
          <w:color w:val="auto"/>
        </w:rPr>
        <w:t>increased 94%</w:t>
      </w:r>
      <w:r w:rsidR="00D32B18">
        <w:rPr>
          <w:color w:val="auto"/>
        </w:rPr>
        <w:t xml:space="preserve"> </w:t>
      </w:r>
      <w:r w:rsidR="00CC0121">
        <w:rPr>
          <w:color w:val="auto"/>
        </w:rPr>
        <w:t xml:space="preserve">to </w:t>
      </w:r>
      <w:r w:rsidR="00D32B18">
        <w:rPr>
          <w:color w:val="auto"/>
        </w:rPr>
        <w:t>$1</w:t>
      </w:r>
      <w:r w:rsidR="005A76AA">
        <w:rPr>
          <w:color w:val="auto"/>
        </w:rPr>
        <w:t>70,036</w:t>
      </w:r>
      <w:r w:rsidR="00D32B18">
        <w:rPr>
          <w:color w:val="auto"/>
        </w:rPr>
        <w:t xml:space="preserve"> compared to the 2020 first quarter</w:t>
      </w:r>
      <w:r w:rsidR="00FC0B36">
        <w:rPr>
          <w:color w:val="auto"/>
        </w:rPr>
        <w:t xml:space="preserve"> amount</w:t>
      </w:r>
      <w:r w:rsidR="00D32B18">
        <w:rPr>
          <w:color w:val="auto"/>
        </w:rPr>
        <w:t>.</w:t>
      </w:r>
    </w:p>
    <w:p w14:paraId="2FD867BE" w14:textId="77777777" w:rsidR="00D32B18" w:rsidRPr="00D32B18" w:rsidRDefault="00D32B18" w:rsidP="00D32B18"/>
    <w:p w14:paraId="202E559A" w14:textId="0ED6F04D" w:rsidR="00B120C0" w:rsidRPr="00C961F2" w:rsidRDefault="00386227">
      <w:pPr>
        <w:pStyle w:val="Heading2"/>
        <w:spacing w:after="41"/>
        <w:ind w:left="-5"/>
        <w:rPr>
          <w:color w:val="auto"/>
        </w:rPr>
      </w:pPr>
      <w:r w:rsidRPr="00C961F2">
        <w:rPr>
          <w:color w:val="auto"/>
        </w:rPr>
        <w:t>EBITDA</w:t>
      </w:r>
      <w:r w:rsidR="00B839B2" w:rsidRPr="00C961F2">
        <w:rPr>
          <w:color w:val="auto"/>
        </w:rPr>
        <w:t>*</w:t>
      </w:r>
      <w:r w:rsidRPr="00C961F2">
        <w:rPr>
          <w:i w:val="0"/>
          <w:color w:val="auto"/>
        </w:rPr>
        <w:t xml:space="preserve"> </w:t>
      </w:r>
    </w:p>
    <w:p w14:paraId="2C96C57F" w14:textId="77777777" w:rsidR="00B120C0" w:rsidRPr="00230BA1" w:rsidRDefault="00386227">
      <w:pPr>
        <w:spacing w:after="60" w:line="259" w:lineRule="auto"/>
        <w:ind w:left="0" w:right="0" w:firstLine="0"/>
        <w:jc w:val="left"/>
        <w:rPr>
          <w:sz w:val="10"/>
          <w:szCs w:val="10"/>
        </w:rPr>
      </w:pPr>
      <w:r>
        <w:rPr>
          <w:b/>
          <w:i/>
          <w:sz w:val="16"/>
        </w:rPr>
        <w:t xml:space="preserve"> </w:t>
      </w:r>
    </w:p>
    <w:p w14:paraId="14AF22C0" w14:textId="388CA409" w:rsidR="00EC5B46" w:rsidRDefault="0002729E">
      <w:pPr>
        <w:spacing w:after="159"/>
        <w:ind w:left="-5" w:right="39"/>
      </w:pPr>
      <w:r>
        <w:t xml:space="preserve">Earnings before interest, income taxes, depreciation, and amortization (EBITDA) </w:t>
      </w:r>
      <w:r w:rsidR="00E30786">
        <w:t>increased to $</w:t>
      </w:r>
      <w:r w:rsidR="00562FFD">
        <w:t>867,970</w:t>
      </w:r>
      <w:r>
        <w:t xml:space="preserve"> for the </w:t>
      </w:r>
      <w:r w:rsidR="00562FFD">
        <w:t xml:space="preserve">three months ended March 31, 2021, </w:t>
      </w:r>
      <w:r w:rsidR="00E30786">
        <w:t xml:space="preserve">from </w:t>
      </w:r>
      <w:r w:rsidR="00562FFD">
        <w:t xml:space="preserve">$203,195 for the same period last year.  This </w:t>
      </w:r>
      <w:r w:rsidR="00B078B3">
        <w:t>significant i</w:t>
      </w:r>
      <w:r w:rsidR="00562FFD">
        <w:t xml:space="preserve">ncrease was </w:t>
      </w:r>
      <w:r w:rsidR="00FC0B36">
        <w:t xml:space="preserve">primarily </w:t>
      </w:r>
      <w:r w:rsidR="00B078B3">
        <w:t xml:space="preserve">due to </w:t>
      </w:r>
      <w:r w:rsidR="00562FFD">
        <w:t xml:space="preserve">higher </w:t>
      </w:r>
      <w:r w:rsidR="003841E8">
        <w:t xml:space="preserve">gross </w:t>
      </w:r>
      <w:r w:rsidR="00950E11">
        <w:t xml:space="preserve">profit, </w:t>
      </w:r>
      <w:r w:rsidR="00E06292">
        <w:t>the</w:t>
      </w:r>
      <w:r w:rsidR="003841E8">
        <w:t xml:space="preserve"> Employee Retention Credit and gain on extinguishment of debt related to the forgiveness of the Company’s P</w:t>
      </w:r>
      <w:r w:rsidR="00B26B76">
        <w:t xml:space="preserve">aycheck </w:t>
      </w:r>
      <w:r w:rsidR="003841E8">
        <w:t>P</w:t>
      </w:r>
      <w:r w:rsidR="00B26B76">
        <w:t xml:space="preserve">rotection </w:t>
      </w:r>
      <w:r w:rsidR="003841E8">
        <w:t>P</w:t>
      </w:r>
      <w:r w:rsidR="00B26B76">
        <w:t>rogram (PPP)</w:t>
      </w:r>
      <w:r w:rsidR="003841E8">
        <w:t xml:space="preserve"> loan.</w:t>
      </w:r>
    </w:p>
    <w:p w14:paraId="19464218" w14:textId="06F65776" w:rsidR="009C41BA" w:rsidRPr="00FB3B3D" w:rsidRDefault="009C41BA" w:rsidP="00F35F7B">
      <w:pPr>
        <w:rPr>
          <w:rFonts w:eastAsiaTheme="minorEastAsia"/>
          <w:sz w:val="16"/>
          <w:szCs w:val="16"/>
        </w:rPr>
      </w:pPr>
    </w:p>
    <w:p w14:paraId="79C3033F" w14:textId="613C327D" w:rsidR="00B120C0" w:rsidRPr="00C961F2" w:rsidRDefault="00386227">
      <w:pPr>
        <w:pStyle w:val="Heading2"/>
        <w:ind w:left="-5"/>
        <w:rPr>
          <w:color w:val="auto"/>
        </w:rPr>
      </w:pPr>
      <w:r w:rsidRPr="00C961F2">
        <w:rPr>
          <w:color w:val="auto"/>
        </w:rPr>
        <w:t>Income Applicable to Common S</w:t>
      </w:r>
      <w:r w:rsidR="007864B8">
        <w:rPr>
          <w:color w:val="auto"/>
        </w:rPr>
        <w:t>hares</w:t>
      </w:r>
      <w:r w:rsidRPr="00C961F2">
        <w:rPr>
          <w:color w:val="auto"/>
        </w:rPr>
        <w:t xml:space="preserve"> </w:t>
      </w:r>
    </w:p>
    <w:p w14:paraId="1700B388" w14:textId="3341E73B" w:rsidR="003553C2" w:rsidRPr="0000483A" w:rsidRDefault="003553C2" w:rsidP="00E30786">
      <w:pPr>
        <w:tabs>
          <w:tab w:val="left" w:pos="2160"/>
          <w:tab w:val="left" w:pos="2880"/>
          <w:tab w:val="left" w:pos="3600"/>
          <w:tab w:val="left" w:pos="4320"/>
          <w:tab w:val="left" w:pos="5040"/>
          <w:tab w:val="left" w:pos="5760"/>
          <w:tab w:val="left" w:pos="6480"/>
          <w:tab w:val="left" w:pos="7200"/>
          <w:tab w:val="left" w:pos="7920"/>
          <w:tab w:val="left" w:pos="8640"/>
        </w:tabs>
        <w:rPr>
          <w:rFonts w:eastAsiaTheme="minorEastAsia"/>
        </w:rPr>
      </w:pPr>
      <w:r w:rsidRPr="0000483A">
        <w:rPr>
          <w:rFonts w:eastAsiaTheme="minorEastAsia"/>
        </w:rPr>
        <w:t>Income applicable to common s</w:t>
      </w:r>
      <w:r w:rsidR="00E30786" w:rsidRPr="0000483A">
        <w:rPr>
          <w:rFonts w:eastAsiaTheme="minorEastAsia"/>
        </w:rPr>
        <w:t xml:space="preserve">hares </w:t>
      </w:r>
      <w:r w:rsidRPr="0000483A">
        <w:rPr>
          <w:rFonts w:eastAsiaTheme="minorEastAsia"/>
        </w:rPr>
        <w:t xml:space="preserve">for the </w:t>
      </w:r>
      <w:r w:rsidR="0000483A">
        <w:rPr>
          <w:rFonts w:eastAsiaTheme="minorEastAsia"/>
        </w:rPr>
        <w:t>2021 first quarter w</w:t>
      </w:r>
      <w:r w:rsidRPr="0000483A">
        <w:rPr>
          <w:rFonts w:eastAsiaTheme="minorEastAsia"/>
        </w:rPr>
        <w:t>as $646,547</w:t>
      </w:r>
      <w:r w:rsidR="000F2028">
        <w:rPr>
          <w:rFonts w:eastAsiaTheme="minorEastAsia"/>
        </w:rPr>
        <w:t>, or $0.14 per share,</w:t>
      </w:r>
      <w:r w:rsidRPr="0000483A">
        <w:rPr>
          <w:rFonts w:eastAsiaTheme="minorEastAsia"/>
        </w:rPr>
        <w:t xml:space="preserve"> </w:t>
      </w:r>
      <w:r w:rsidR="0000483A">
        <w:rPr>
          <w:rFonts w:eastAsiaTheme="minorEastAsia"/>
        </w:rPr>
        <w:t xml:space="preserve">compared to </w:t>
      </w:r>
      <w:r w:rsidRPr="0000483A">
        <w:rPr>
          <w:rFonts w:eastAsiaTheme="minorEastAsia"/>
        </w:rPr>
        <w:t>$75,478</w:t>
      </w:r>
      <w:r w:rsidR="000F2028">
        <w:rPr>
          <w:rFonts w:eastAsiaTheme="minorEastAsia"/>
        </w:rPr>
        <w:t>, or $0.02 per share,</w:t>
      </w:r>
      <w:r w:rsidR="0000483A">
        <w:rPr>
          <w:rFonts w:eastAsiaTheme="minorEastAsia"/>
        </w:rPr>
        <w:t xml:space="preserve"> a year ago.  </w:t>
      </w:r>
      <w:r w:rsidRPr="0000483A">
        <w:rPr>
          <w:rFonts w:eastAsiaTheme="minorEastAsia"/>
        </w:rPr>
        <w:t xml:space="preserve">The increase was </w:t>
      </w:r>
      <w:r w:rsidR="000F2028">
        <w:rPr>
          <w:rFonts w:eastAsiaTheme="minorEastAsia"/>
        </w:rPr>
        <w:t xml:space="preserve">attributable to </w:t>
      </w:r>
      <w:r w:rsidR="00AC188B">
        <w:rPr>
          <w:rFonts w:eastAsiaTheme="minorEastAsia"/>
        </w:rPr>
        <w:t xml:space="preserve">a $256,000 </w:t>
      </w:r>
      <w:r w:rsidRPr="0000483A">
        <w:rPr>
          <w:rFonts w:eastAsiaTheme="minorEastAsia"/>
        </w:rPr>
        <w:t>Employee</w:t>
      </w:r>
      <w:r w:rsidR="0000483A">
        <w:rPr>
          <w:rFonts w:eastAsiaTheme="minorEastAsia"/>
        </w:rPr>
        <w:t xml:space="preserve"> Retention C</w:t>
      </w:r>
      <w:r w:rsidRPr="0000483A">
        <w:rPr>
          <w:rFonts w:eastAsiaTheme="minorEastAsia"/>
        </w:rPr>
        <w:t>redit</w:t>
      </w:r>
      <w:r w:rsidR="00B078B3">
        <w:rPr>
          <w:rFonts w:eastAsiaTheme="minorEastAsia"/>
        </w:rPr>
        <w:t xml:space="preserve"> and </w:t>
      </w:r>
      <w:r w:rsidR="00AC188B">
        <w:rPr>
          <w:rFonts w:eastAsiaTheme="minorEastAsia"/>
        </w:rPr>
        <w:t xml:space="preserve">$325,300 gain on extinguishment of debt related to forgiveness of the </w:t>
      </w:r>
      <w:r w:rsidR="00B078B3">
        <w:rPr>
          <w:rFonts w:eastAsiaTheme="minorEastAsia"/>
        </w:rPr>
        <w:t xml:space="preserve">Company’s </w:t>
      </w:r>
      <w:r w:rsidR="00B078B3" w:rsidRPr="0000483A">
        <w:rPr>
          <w:rFonts w:eastAsiaTheme="minorEastAsia"/>
        </w:rPr>
        <w:t>P</w:t>
      </w:r>
      <w:r w:rsidR="00B26B76">
        <w:rPr>
          <w:rFonts w:eastAsiaTheme="minorEastAsia"/>
        </w:rPr>
        <w:t>PP</w:t>
      </w:r>
      <w:r w:rsidR="00B078B3">
        <w:rPr>
          <w:rFonts w:eastAsiaTheme="minorEastAsia"/>
        </w:rPr>
        <w:t xml:space="preserve"> l</w:t>
      </w:r>
      <w:r w:rsidR="00B078B3" w:rsidRPr="0000483A">
        <w:rPr>
          <w:rFonts w:eastAsiaTheme="minorEastAsia"/>
        </w:rPr>
        <w:t>oan</w:t>
      </w:r>
      <w:r w:rsidR="00B078B3">
        <w:rPr>
          <w:rFonts w:eastAsiaTheme="minorEastAsia"/>
        </w:rPr>
        <w:t>.</w:t>
      </w:r>
      <w:r w:rsidR="00CC34BD">
        <w:rPr>
          <w:rFonts w:eastAsiaTheme="minorEastAsia"/>
        </w:rPr>
        <w:t xml:space="preserve">  </w:t>
      </w:r>
    </w:p>
    <w:p w14:paraId="7720960A" w14:textId="77777777" w:rsidR="003553C2" w:rsidRDefault="003553C2" w:rsidP="00564333">
      <w:pPr>
        <w:ind w:left="-5" w:right="39"/>
      </w:pPr>
    </w:p>
    <w:p w14:paraId="0AF076BA" w14:textId="3E091F09" w:rsidR="00B120C0" w:rsidRPr="00C961F2" w:rsidRDefault="000F2028">
      <w:pPr>
        <w:pStyle w:val="Heading2"/>
        <w:ind w:left="-5"/>
        <w:rPr>
          <w:color w:val="auto"/>
        </w:rPr>
      </w:pPr>
      <w:r>
        <w:rPr>
          <w:color w:val="auto"/>
        </w:rPr>
        <w:t xml:space="preserve">Net </w:t>
      </w:r>
      <w:r w:rsidR="00A97383">
        <w:rPr>
          <w:color w:val="auto"/>
        </w:rPr>
        <w:t>Ca</w:t>
      </w:r>
      <w:r w:rsidR="00386227" w:rsidRPr="00C961F2">
        <w:rPr>
          <w:color w:val="auto"/>
        </w:rPr>
        <w:t xml:space="preserve">sh and Total Debt Outstanding </w:t>
      </w:r>
    </w:p>
    <w:p w14:paraId="6CCA69A5" w14:textId="7AC59F1B" w:rsidR="003553C2" w:rsidRDefault="000F2028" w:rsidP="00F7796D">
      <w:pPr>
        <w:spacing w:after="142"/>
        <w:ind w:left="-5" w:right="39"/>
      </w:pPr>
      <w:r>
        <w:t xml:space="preserve">Net cash on March </w:t>
      </w:r>
      <w:r w:rsidR="00AE03E9">
        <w:t>31, 20</w:t>
      </w:r>
      <w:r w:rsidR="006F279D">
        <w:t>2</w:t>
      </w:r>
      <w:r>
        <w:t>1</w:t>
      </w:r>
      <w:r w:rsidR="00AE03E9">
        <w:t xml:space="preserve">, </w:t>
      </w:r>
      <w:r>
        <w:t xml:space="preserve">was $3.0 million compared to $1.8 million on the same date </w:t>
      </w:r>
      <w:r w:rsidR="00B078B3">
        <w:t>in 2020</w:t>
      </w:r>
      <w:r>
        <w:t xml:space="preserve"> and $2.9 million on December 31, 2020.</w:t>
      </w:r>
    </w:p>
    <w:p w14:paraId="3DD4C91A" w14:textId="7CE47745" w:rsidR="003553C2" w:rsidRDefault="003553C2" w:rsidP="00F7796D">
      <w:pPr>
        <w:spacing w:after="142"/>
        <w:ind w:left="-5" w:right="39"/>
      </w:pPr>
      <w:r w:rsidRPr="000F2028">
        <w:lastRenderedPageBreak/>
        <w:t xml:space="preserve">Total debt outstanding </w:t>
      </w:r>
      <w:r w:rsidR="00CC34BD">
        <w:t xml:space="preserve">was </w:t>
      </w:r>
      <w:r w:rsidRPr="000F2028">
        <w:t xml:space="preserve">$360,179 </w:t>
      </w:r>
      <w:r w:rsidR="00FE7473">
        <w:t>on</w:t>
      </w:r>
      <w:r w:rsidRPr="000F2028">
        <w:t xml:space="preserve"> March 31, 2021,</w:t>
      </w:r>
      <w:r w:rsidR="00FE7473">
        <w:t xml:space="preserve"> </w:t>
      </w:r>
      <w:r w:rsidR="00CC34BD">
        <w:t xml:space="preserve">or </w:t>
      </w:r>
      <w:r w:rsidR="00FE7473">
        <w:t xml:space="preserve">approximately 51% </w:t>
      </w:r>
      <w:r w:rsidR="001F5EF6">
        <w:t xml:space="preserve">below </w:t>
      </w:r>
      <w:r w:rsidR="00CC34BD">
        <w:t xml:space="preserve">the </w:t>
      </w:r>
      <w:r w:rsidRPr="000F2028">
        <w:t xml:space="preserve">$728,934 </w:t>
      </w:r>
      <w:r w:rsidR="00CC34BD">
        <w:t xml:space="preserve">amount </w:t>
      </w:r>
      <w:r w:rsidR="00FE7473">
        <w:t xml:space="preserve">on </w:t>
      </w:r>
      <w:r w:rsidRPr="000F2028">
        <w:t>December 31, 2020</w:t>
      </w:r>
      <w:r w:rsidR="00FE7473">
        <w:t xml:space="preserve">.  Most of this decrease was due to </w:t>
      </w:r>
      <w:r w:rsidR="00684F53">
        <w:t xml:space="preserve">forgiveness of </w:t>
      </w:r>
      <w:r w:rsidR="00FE7473">
        <w:t xml:space="preserve">the Company’s PPP loan by the U.S. Small Business Administration in January 2021.  </w:t>
      </w:r>
      <w:r w:rsidR="00684F53">
        <w:t>P</w:t>
      </w:r>
      <w:r w:rsidR="00B078B3">
        <w:t xml:space="preserve">rincipal payments on finance lease obligations </w:t>
      </w:r>
      <w:r w:rsidR="00FC0B36">
        <w:t>were</w:t>
      </w:r>
      <w:r w:rsidR="00B078B3">
        <w:t xml:space="preserve"> $43,454 during the first three months of 2021.</w:t>
      </w:r>
    </w:p>
    <w:p w14:paraId="0D53505A" w14:textId="5F56FAA0" w:rsidR="00CC34BD" w:rsidRDefault="00CC34BD" w:rsidP="00F7796D">
      <w:pPr>
        <w:spacing w:after="142"/>
        <w:ind w:left="-5" w:right="39"/>
        <w:rPr>
          <w:color w:val="auto"/>
        </w:rPr>
      </w:pPr>
      <w:r>
        <w:rPr>
          <w:color w:val="auto"/>
        </w:rPr>
        <w:t>T</w:t>
      </w:r>
      <w:r w:rsidR="00103D89" w:rsidRPr="00B078B3">
        <w:rPr>
          <w:color w:val="auto"/>
        </w:rPr>
        <w:t>he Company was approved for an $800,000 line of credit</w:t>
      </w:r>
      <w:r w:rsidR="00684F53">
        <w:rPr>
          <w:color w:val="auto"/>
        </w:rPr>
        <w:t xml:space="preserve"> during the first quarter of 2021, </w:t>
      </w:r>
      <w:r w:rsidR="00684F53" w:rsidRPr="00B078B3">
        <w:rPr>
          <w:color w:val="auto"/>
        </w:rPr>
        <w:t>which</w:t>
      </w:r>
      <w:r>
        <w:rPr>
          <w:color w:val="auto"/>
        </w:rPr>
        <w:t xml:space="preserve"> is </w:t>
      </w:r>
      <w:r w:rsidR="00103D89" w:rsidRPr="00B078B3">
        <w:rPr>
          <w:color w:val="auto"/>
        </w:rPr>
        <w:t xml:space="preserve">specifically for the acquisition of equipment during </w:t>
      </w:r>
      <w:r w:rsidR="00684F53">
        <w:rPr>
          <w:color w:val="auto"/>
        </w:rPr>
        <w:t>this year</w:t>
      </w:r>
      <w:r w:rsidR="00103D89" w:rsidRPr="00B078B3">
        <w:rPr>
          <w:color w:val="auto"/>
        </w:rPr>
        <w:t xml:space="preserve">.  This amount is in addition to a $1 million line of credit previously renewed in October 2020.  </w:t>
      </w:r>
      <w:r w:rsidR="001B4EEF">
        <w:rPr>
          <w:color w:val="auto"/>
        </w:rPr>
        <w:t>There were no amounts outstanding on either line of credit o</w:t>
      </w:r>
      <w:r w:rsidR="00103D89" w:rsidRPr="00B078B3">
        <w:rPr>
          <w:color w:val="auto"/>
        </w:rPr>
        <w:t>n March 31, 2021.</w:t>
      </w:r>
    </w:p>
    <w:p w14:paraId="463FC984" w14:textId="63C08B00" w:rsidR="00B120C0" w:rsidRDefault="00103D89" w:rsidP="001F5EF6">
      <w:pPr>
        <w:spacing w:after="142"/>
        <w:ind w:left="-5" w:right="39"/>
      </w:pPr>
      <w:r w:rsidRPr="00B078B3">
        <w:rPr>
          <w:color w:val="auto"/>
        </w:rPr>
        <w:t xml:space="preserve"> </w:t>
      </w:r>
      <w:r w:rsidR="00386227">
        <w:rPr>
          <w:i/>
        </w:rPr>
        <w:t xml:space="preserve">About SCI Engineered Materials, Inc. </w:t>
      </w:r>
    </w:p>
    <w:p w14:paraId="057C5EE1" w14:textId="6A099CD7" w:rsidR="00B120C0" w:rsidRDefault="00386227" w:rsidP="00FA5755">
      <w:pPr>
        <w:spacing w:after="120" w:line="360" w:lineRule="auto"/>
        <w:ind w:left="0" w:right="0" w:firstLine="0"/>
        <w:jc w:val="left"/>
      </w:pPr>
      <w:r>
        <w:rPr>
          <w:b/>
        </w:rPr>
        <w:t xml:space="preserve"> </w:t>
      </w:r>
      <w:r>
        <w:t xml:space="preserve">SCI Engineered Materials is a global supplier and manufacturer of advanced materials for PVD thin film applications </w:t>
      </w:r>
      <w:r w:rsidR="003841E8">
        <w:t>wh</w:t>
      </w:r>
      <w:r w:rsidR="00FA5755">
        <w:t>ich</w:t>
      </w:r>
      <w:r w:rsidR="003841E8">
        <w:t xml:space="preserve"> </w:t>
      </w:r>
      <w:r>
        <w:t xml:space="preserve">works closely with end user and OEMs to develop innovative, customized solutions. </w:t>
      </w:r>
      <w:r w:rsidR="00636C2E">
        <w:t>A</w:t>
      </w:r>
      <w:r>
        <w:t xml:space="preserve">dditional information is available at  </w:t>
      </w:r>
      <w:hyperlink r:id="rId9">
        <w:r w:rsidRPr="002F68E6">
          <w:rPr>
            <w:color w:val="auto"/>
            <w:u w:color="0563C1"/>
          </w:rPr>
          <w:t>www.sciengineeredmaterials.com</w:t>
        </w:r>
      </w:hyperlink>
      <w:hyperlink r:id="rId10">
        <w:r w:rsidRPr="00581A2C">
          <w:rPr>
            <w:color w:val="auto"/>
            <w:u w:color="0563C1"/>
          </w:rPr>
          <w:t xml:space="preserve"> </w:t>
        </w:r>
      </w:hyperlink>
      <w:r w:rsidRPr="00581A2C">
        <w:rPr>
          <w:color w:val="auto"/>
          <w:u w:color="0563C1"/>
        </w:rPr>
        <w:t>o</w:t>
      </w:r>
      <w:r w:rsidRPr="00581A2C">
        <w:rPr>
          <w:color w:val="auto"/>
        </w:rPr>
        <w:t>r</w:t>
      </w:r>
      <w:r>
        <w:t xml:space="preserve"> follow SCI Engineered Materials, Inc. at: </w:t>
      </w:r>
    </w:p>
    <w:p w14:paraId="0F5080A8" w14:textId="7DE1DCD7" w:rsidR="00B120C0" w:rsidRDefault="00EF47C5" w:rsidP="00FA5755">
      <w:pPr>
        <w:spacing w:after="2" w:line="360" w:lineRule="auto"/>
        <w:ind w:left="0" w:right="0" w:firstLine="0"/>
        <w:jc w:val="left"/>
        <w:rPr>
          <w:color w:val="auto"/>
        </w:rPr>
      </w:pPr>
      <w:hyperlink r:id="rId11">
        <w:r w:rsidR="00386227" w:rsidRPr="002F68E6">
          <w:rPr>
            <w:color w:val="auto"/>
            <w:u w:color="0563C1"/>
          </w:rPr>
          <w:t>https://www.linkedin.com/company/sci</w:t>
        </w:r>
      </w:hyperlink>
      <w:hyperlink r:id="rId12">
        <w:r w:rsidR="00386227" w:rsidRPr="002F68E6">
          <w:rPr>
            <w:color w:val="auto"/>
            <w:u w:color="0563C1"/>
          </w:rPr>
          <w:t>-</w:t>
        </w:r>
      </w:hyperlink>
      <w:hyperlink r:id="rId13">
        <w:r w:rsidR="00386227" w:rsidRPr="002F68E6">
          <w:rPr>
            <w:color w:val="auto"/>
            <w:u w:color="0563C1"/>
          </w:rPr>
          <w:t>engineered</w:t>
        </w:r>
      </w:hyperlink>
      <w:hyperlink r:id="rId14">
        <w:r w:rsidR="00386227" w:rsidRPr="002F68E6">
          <w:rPr>
            <w:color w:val="auto"/>
            <w:u w:color="0563C1"/>
          </w:rPr>
          <w:t>-</w:t>
        </w:r>
      </w:hyperlink>
      <w:hyperlink r:id="rId15">
        <w:r w:rsidR="00386227" w:rsidRPr="002F68E6">
          <w:rPr>
            <w:color w:val="auto"/>
            <w:u w:color="0563C1"/>
          </w:rPr>
          <w:t>materials.</w:t>
        </w:r>
      </w:hyperlink>
      <w:hyperlink r:id="rId16">
        <w:r w:rsidR="00386227" w:rsidRPr="002F68E6">
          <w:rPr>
            <w:color w:val="auto"/>
            <w:u w:color="0563C1"/>
          </w:rPr>
          <w:t>-</w:t>
        </w:r>
      </w:hyperlink>
      <w:hyperlink r:id="rId17">
        <w:r w:rsidR="00386227" w:rsidRPr="002F68E6">
          <w:rPr>
            <w:color w:val="auto"/>
            <w:u w:color="0563C1"/>
          </w:rPr>
          <w:t>inc</w:t>
        </w:r>
      </w:hyperlink>
      <w:hyperlink r:id="rId18">
        <w:r w:rsidR="00386227" w:rsidRPr="002F68E6">
          <w:rPr>
            <w:color w:val="auto"/>
          </w:rPr>
          <w:t xml:space="preserve"> </w:t>
        </w:r>
      </w:hyperlink>
      <w:hyperlink r:id="rId19">
        <w:r w:rsidR="00386227" w:rsidRPr="002F68E6">
          <w:rPr>
            <w:color w:val="auto"/>
            <w:u w:color="0563C1"/>
          </w:rPr>
          <w:t>https://www.facebook.com/sciengineeredmaterials/</w:t>
        </w:r>
      </w:hyperlink>
      <w:hyperlink r:id="rId20">
        <w:r w:rsidR="00386227" w:rsidRPr="002F68E6">
          <w:rPr>
            <w:color w:val="auto"/>
          </w:rPr>
          <w:t xml:space="preserve"> </w:t>
        </w:r>
      </w:hyperlink>
    </w:p>
    <w:p w14:paraId="6006BD20" w14:textId="77777777" w:rsidR="00FB7F82" w:rsidRDefault="00FB7F82" w:rsidP="00B839B2">
      <w:pPr>
        <w:spacing w:after="0" w:line="259" w:lineRule="auto"/>
        <w:ind w:left="0" w:right="0" w:firstLine="0"/>
        <w:jc w:val="left"/>
        <w:rPr>
          <w:color w:val="222222"/>
          <w:sz w:val="18"/>
        </w:rPr>
      </w:pPr>
    </w:p>
    <w:p w14:paraId="0F8BC239" w14:textId="5322BC5E" w:rsidR="00B120C0" w:rsidRDefault="00386227" w:rsidP="00B839B2">
      <w:pPr>
        <w:spacing w:after="0" w:line="259" w:lineRule="auto"/>
        <w:ind w:left="0" w:right="0" w:firstLine="0"/>
        <w:jc w:val="left"/>
        <w:rPr>
          <w:sz w:val="18"/>
        </w:rPr>
      </w:pPr>
      <w:r>
        <w:rPr>
          <w:color w:val="222222"/>
          <w:sz w:val="18"/>
        </w:rPr>
        <w:t>*A reconciliation of the differences between the GAAP and non-GAAP financial measure of EBITDA as used in this release with the most directly comparable GAAP financial measures is included in the financial schedules that are a part of this release. This non-GAAP financial measure is intended to supplement and should be read together with our financial results. It should not be considered an alternative or substitute for, and should not be considered superior to, our reported financial results</w:t>
      </w:r>
      <w:r w:rsidR="00636C2E">
        <w:rPr>
          <w:color w:val="222222"/>
          <w:sz w:val="18"/>
        </w:rPr>
        <w:t xml:space="preserve">. </w:t>
      </w:r>
      <w:r>
        <w:rPr>
          <w:color w:val="222222"/>
          <w:sz w:val="18"/>
        </w:rPr>
        <w:t>Accordingly, users of this financial information should not place undue reliance on this non-GAAP financial measure</w:t>
      </w:r>
      <w:r w:rsidR="00FB7F82">
        <w:rPr>
          <w:color w:val="222222"/>
          <w:sz w:val="18"/>
        </w:rPr>
        <w:t>.</w:t>
      </w:r>
      <w:r>
        <w:rPr>
          <w:sz w:val="18"/>
        </w:rPr>
        <w:t xml:space="preserve"> </w:t>
      </w:r>
    </w:p>
    <w:p w14:paraId="20F4EC83" w14:textId="77777777" w:rsidR="000C4E55" w:rsidRDefault="000C4E55" w:rsidP="00B839B2">
      <w:pPr>
        <w:spacing w:after="0" w:line="259" w:lineRule="auto"/>
        <w:ind w:left="0" w:right="0" w:firstLine="0"/>
        <w:jc w:val="left"/>
      </w:pPr>
    </w:p>
    <w:p w14:paraId="5FB106BF" w14:textId="0D03337B" w:rsidR="00B120C0" w:rsidRDefault="00386227" w:rsidP="00754B74">
      <w:pPr>
        <w:spacing w:line="360" w:lineRule="auto"/>
        <w:ind w:left="0" w:right="173" w:hanging="14"/>
        <w:rPr>
          <w:sz w:val="22"/>
        </w:rPr>
      </w:pPr>
      <w:r w:rsidRPr="001F2F5D">
        <w:rPr>
          <w:sz w:val="22"/>
        </w:rPr>
        <w:t>This press release contains certain forward-looking statements within the meaning of Section 27A of the Securities Act of 1933, as amended, and Section 21E of the Securities Exchange Act of 1934, as amended, which are intended to be covered by the safe harbors created thereby. Those statements include, but are not limited to, all statements regarding intent, beliefs, expectations, projections, customer guidance, forecasts, plans of the Company and its management</w:t>
      </w:r>
      <w:r w:rsidR="00F20B63">
        <w:rPr>
          <w:sz w:val="22"/>
        </w:rPr>
        <w:t>.</w:t>
      </w:r>
      <w:r w:rsidR="00743B1B" w:rsidRPr="00743B1B">
        <w:rPr>
          <w:sz w:val="22"/>
        </w:rPr>
        <w:t xml:space="preserve"> </w:t>
      </w:r>
      <w:r w:rsidRPr="00743B1B">
        <w:rPr>
          <w:sz w:val="22"/>
        </w:rPr>
        <w:t>These</w:t>
      </w:r>
      <w:r w:rsidRPr="00CF7C62">
        <w:rPr>
          <w:sz w:val="22"/>
        </w:rPr>
        <w:t xml:space="preserve"> forward-looking statements involve numerous risks and uncertainties, including, without limitation, other risks and uncertainties detailed from time to time in the Company's Securities and Exchange Commission filings, including the Company's Annual Report on Form 10-K for the year ended December 31, 20</w:t>
      </w:r>
      <w:r w:rsidR="00E931A0">
        <w:rPr>
          <w:sz w:val="22"/>
        </w:rPr>
        <w:t>20</w:t>
      </w:r>
      <w:r w:rsidRPr="00CF7C62">
        <w:rPr>
          <w:sz w:val="22"/>
        </w:rPr>
        <w:t xml:space="preserve">. One or more of these factors have affected, and could in the future affect, the Company's projections. Therefore, there can be no </w:t>
      </w:r>
      <w:r w:rsidRPr="00CF7C62">
        <w:rPr>
          <w:sz w:val="22"/>
        </w:rPr>
        <w:lastRenderedPageBreak/>
        <w:t>assurances that the forward-looking statements included in this press release will prove to be accurate. Due to the significant uncertainties in the forward-looking statements included herein, the inclusion of such information should not be regarded as a representation by the Company, or any other persons, that the objectives and plans of the company will be achieved. All forward-looking statements made in this press release are based on information presently available to the management of the Company. The Company assumes no obligation to update any forward-looking statements.</w:t>
      </w:r>
    </w:p>
    <w:p w14:paraId="4EDAB84B" w14:textId="37DD0172" w:rsidR="001F5EF6" w:rsidRDefault="001F5EF6" w:rsidP="00754B74">
      <w:pPr>
        <w:spacing w:line="360" w:lineRule="auto"/>
        <w:ind w:left="0" w:right="173" w:hanging="14"/>
        <w:rPr>
          <w:sz w:val="22"/>
        </w:rPr>
      </w:pPr>
    </w:p>
    <w:p w14:paraId="348D30FB" w14:textId="7A36612D" w:rsidR="001F5EF6" w:rsidRPr="00CF7C62" w:rsidRDefault="001F5EF6" w:rsidP="00754B74">
      <w:pPr>
        <w:spacing w:line="360" w:lineRule="auto"/>
        <w:ind w:left="0" w:right="173" w:hanging="14"/>
        <w:rPr>
          <w:sz w:val="22"/>
        </w:rPr>
      </w:pPr>
    </w:p>
    <w:p w14:paraId="451EBE00" w14:textId="093F1076" w:rsidR="00A9222D" w:rsidRDefault="00A9222D" w:rsidP="00E931A0">
      <w:pPr>
        <w:spacing w:after="0" w:line="259" w:lineRule="auto"/>
        <w:ind w:left="108" w:right="0" w:firstLine="0"/>
        <w:jc w:val="left"/>
        <w:rPr>
          <w:noProof/>
        </w:rPr>
      </w:pPr>
    </w:p>
    <w:p w14:paraId="7534B74A" w14:textId="276A642E" w:rsidR="004159DD" w:rsidRDefault="008A55E6" w:rsidP="00563DDA">
      <w:pPr>
        <w:spacing w:after="0" w:line="259" w:lineRule="auto"/>
        <w:ind w:left="0" w:right="19" w:firstLine="0"/>
      </w:pPr>
      <w:r w:rsidRPr="008A55E6">
        <w:rPr>
          <w:noProof/>
        </w:rPr>
        <w:lastRenderedPageBreak/>
        <w:drawing>
          <wp:inline distT="0" distB="0" distL="0" distR="0" wp14:anchorId="007F6D8F" wp14:editId="3704253D">
            <wp:extent cx="5979795" cy="7527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9795" cy="7527290"/>
                    </a:xfrm>
                    <a:prstGeom prst="rect">
                      <a:avLst/>
                    </a:prstGeom>
                    <a:noFill/>
                    <a:ln>
                      <a:noFill/>
                    </a:ln>
                  </pic:spPr>
                </pic:pic>
              </a:graphicData>
            </a:graphic>
          </wp:inline>
        </w:drawing>
      </w:r>
    </w:p>
    <w:p w14:paraId="33535DE6" w14:textId="4C678D69" w:rsidR="00FB4CF4" w:rsidRDefault="00FB4CF4" w:rsidP="00563DDA">
      <w:pPr>
        <w:spacing w:after="0" w:line="259" w:lineRule="auto"/>
        <w:ind w:left="0" w:right="19" w:firstLine="0"/>
      </w:pPr>
    </w:p>
    <w:p w14:paraId="71D08800" w14:textId="5305313F" w:rsidR="001E7CDC" w:rsidRDefault="000418A7" w:rsidP="00563DDA">
      <w:pPr>
        <w:spacing w:after="0" w:line="259" w:lineRule="auto"/>
        <w:ind w:left="0" w:right="19" w:firstLine="0"/>
      </w:pPr>
      <w:r w:rsidRPr="000418A7">
        <w:rPr>
          <w:noProof/>
        </w:rPr>
        <w:lastRenderedPageBreak/>
        <w:drawing>
          <wp:inline distT="0" distB="0" distL="0" distR="0" wp14:anchorId="70E0BE7F" wp14:editId="247FB9BC">
            <wp:extent cx="5734685" cy="814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685" cy="8140700"/>
                    </a:xfrm>
                    <a:prstGeom prst="rect">
                      <a:avLst/>
                    </a:prstGeom>
                    <a:noFill/>
                    <a:ln>
                      <a:noFill/>
                    </a:ln>
                  </pic:spPr>
                </pic:pic>
              </a:graphicData>
            </a:graphic>
          </wp:inline>
        </w:drawing>
      </w:r>
    </w:p>
    <w:p w14:paraId="7B84108D" w14:textId="1517BACB" w:rsidR="001E7CDC" w:rsidRDefault="00991EDD" w:rsidP="00563DDA">
      <w:pPr>
        <w:spacing w:after="0" w:line="259" w:lineRule="auto"/>
        <w:ind w:left="0" w:right="19" w:firstLine="0"/>
      </w:pPr>
      <w:r w:rsidRPr="00991EDD">
        <w:rPr>
          <w:noProof/>
        </w:rPr>
        <w:lastRenderedPageBreak/>
        <w:drawing>
          <wp:inline distT="0" distB="0" distL="0" distR="0" wp14:anchorId="3A37A8FB" wp14:editId="79AA4B4D">
            <wp:extent cx="5979795" cy="6887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9795" cy="6887845"/>
                    </a:xfrm>
                    <a:prstGeom prst="rect">
                      <a:avLst/>
                    </a:prstGeom>
                    <a:noFill/>
                    <a:ln>
                      <a:noFill/>
                    </a:ln>
                  </pic:spPr>
                </pic:pic>
              </a:graphicData>
            </a:graphic>
          </wp:inline>
        </w:drawing>
      </w:r>
    </w:p>
    <w:p w14:paraId="6F2F33B1" w14:textId="00DF1107" w:rsidR="001E7CDC" w:rsidRDefault="001E7CDC" w:rsidP="00563DDA">
      <w:pPr>
        <w:spacing w:after="0" w:line="259" w:lineRule="auto"/>
        <w:ind w:left="0" w:right="19" w:firstLine="0"/>
      </w:pPr>
    </w:p>
    <w:p w14:paraId="2B3F45E1" w14:textId="54FD1125" w:rsidR="001E7CDC" w:rsidRDefault="001E7CDC" w:rsidP="00563DDA">
      <w:pPr>
        <w:spacing w:after="0" w:line="259" w:lineRule="auto"/>
        <w:ind w:left="0" w:right="19" w:firstLine="0"/>
      </w:pPr>
    </w:p>
    <w:sectPr w:rsidR="001E7CDC">
      <w:footerReference w:type="even" r:id="rId24"/>
      <w:footerReference w:type="default" r:id="rId25"/>
      <w:footerReference w:type="first" r:id="rId26"/>
      <w:pgSz w:w="12240" w:h="15840"/>
      <w:pgMar w:top="1445" w:right="1383" w:bottom="1575" w:left="144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43DCF" w14:textId="77777777" w:rsidR="00EF47C5" w:rsidRDefault="00EF47C5">
      <w:pPr>
        <w:spacing w:after="0" w:line="240" w:lineRule="auto"/>
      </w:pPr>
      <w:r>
        <w:separator/>
      </w:r>
    </w:p>
  </w:endnote>
  <w:endnote w:type="continuationSeparator" w:id="0">
    <w:p w14:paraId="23963837" w14:textId="77777777" w:rsidR="00EF47C5" w:rsidRDefault="00EF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01C3" w14:textId="77777777" w:rsidR="00820F2C" w:rsidRDefault="00820F2C">
    <w:pPr>
      <w:spacing w:after="0" w:line="259" w:lineRule="auto"/>
      <w:ind w:left="0" w:right="5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36E87A9" w14:textId="77777777" w:rsidR="00820F2C" w:rsidRDefault="00820F2C">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0F81" w14:textId="77777777" w:rsidR="00820F2C" w:rsidRDefault="00820F2C">
    <w:pPr>
      <w:spacing w:after="0" w:line="259" w:lineRule="auto"/>
      <w:ind w:left="0" w:right="5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2639AE2" w14:textId="77777777" w:rsidR="00820F2C" w:rsidRDefault="00820F2C">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4C328" w14:textId="77777777" w:rsidR="00820F2C" w:rsidRDefault="00820F2C">
    <w:pPr>
      <w:spacing w:after="0" w:line="259" w:lineRule="auto"/>
      <w:ind w:left="0" w:right="5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3AF81AA" w14:textId="77777777" w:rsidR="00820F2C" w:rsidRDefault="00820F2C">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D46CD" w14:textId="77777777" w:rsidR="00EF47C5" w:rsidRDefault="00EF47C5">
      <w:pPr>
        <w:spacing w:after="0" w:line="240" w:lineRule="auto"/>
      </w:pPr>
      <w:r>
        <w:separator/>
      </w:r>
    </w:p>
  </w:footnote>
  <w:footnote w:type="continuationSeparator" w:id="0">
    <w:p w14:paraId="51128A2B" w14:textId="77777777" w:rsidR="00EF47C5" w:rsidRDefault="00EF4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61D8F"/>
    <w:multiLevelType w:val="hybridMultilevel"/>
    <w:tmpl w:val="627A7F98"/>
    <w:lvl w:ilvl="0" w:tplc="8A5EA67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DD2818C">
      <w:start w:val="1"/>
      <w:numFmt w:val="bullet"/>
      <w:lvlText w:val="o"/>
      <w:lvlJc w:val="left"/>
      <w:pPr>
        <w:ind w:left="20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B363C74">
      <w:start w:val="1"/>
      <w:numFmt w:val="bullet"/>
      <w:lvlText w:val="▪"/>
      <w:lvlJc w:val="left"/>
      <w:pPr>
        <w:ind w:left="27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FD89A0C">
      <w:start w:val="1"/>
      <w:numFmt w:val="bullet"/>
      <w:lvlText w:val="•"/>
      <w:lvlJc w:val="left"/>
      <w:pPr>
        <w:ind w:left="34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4268F98">
      <w:start w:val="1"/>
      <w:numFmt w:val="bullet"/>
      <w:lvlText w:val="o"/>
      <w:lvlJc w:val="left"/>
      <w:pPr>
        <w:ind w:left="41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56672B0">
      <w:start w:val="1"/>
      <w:numFmt w:val="bullet"/>
      <w:lvlText w:val="▪"/>
      <w:lvlJc w:val="left"/>
      <w:pPr>
        <w:ind w:left="48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B0A6E4">
      <w:start w:val="1"/>
      <w:numFmt w:val="bullet"/>
      <w:lvlText w:val="•"/>
      <w:lvlJc w:val="left"/>
      <w:pPr>
        <w:ind w:left="56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A3A30DA">
      <w:start w:val="1"/>
      <w:numFmt w:val="bullet"/>
      <w:lvlText w:val="o"/>
      <w:lvlJc w:val="left"/>
      <w:pPr>
        <w:ind w:left="63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35E2D3E">
      <w:start w:val="1"/>
      <w:numFmt w:val="bullet"/>
      <w:lvlText w:val="▪"/>
      <w:lvlJc w:val="left"/>
      <w:pPr>
        <w:ind w:left="70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1MTYwsTQ0MDe1NDRW0lEKTi0uzszPAykwqgUA1SitGSwAAAA="/>
  </w:docVars>
  <w:rsids>
    <w:rsidRoot w:val="00B120C0"/>
    <w:rsid w:val="00001AEF"/>
    <w:rsid w:val="0000483A"/>
    <w:rsid w:val="00004B89"/>
    <w:rsid w:val="00021936"/>
    <w:rsid w:val="0002729E"/>
    <w:rsid w:val="00032DAD"/>
    <w:rsid w:val="0003364F"/>
    <w:rsid w:val="00036FD9"/>
    <w:rsid w:val="000372CE"/>
    <w:rsid w:val="000418A7"/>
    <w:rsid w:val="0005025F"/>
    <w:rsid w:val="00054300"/>
    <w:rsid w:val="00055004"/>
    <w:rsid w:val="00057BA3"/>
    <w:rsid w:val="00057BAC"/>
    <w:rsid w:val="00064E9B"/>
    <w:rsid w:val="000661E9"/>
    <w:rsid w:val="00066710"/>
    <w:rsid w:val="00070203"/>
    <w:rsid w:val="00083E46"/>
    <w:rsid w:val="00090756"/>
    <w:rsid w:val="00090EA5"/>
    <w:rsid w:val="00093D94"/>
    <w:rsid w:val="0009536A"/>
    <w:rsid w:val="000B1805"/>
    <w:rsid w:val="000B656B"/>
    <w:rsid w:val="000C4E55"/>
    <w:rsid w:val="000E681C"/>
    <w:rsid w:val="000F2028"/>
    <w:rsid w:val="000F52C5"/>
    <w:rsid w:val="0010099A"/>
    <w:rsid w:val="00103D89"/>
    <w:rsid w:val="00104145"/>
    <w:rsid w:val="0011502F"/>
    <w:rsid w:val="001160F0"/>
    <w:rsid w:val="00130A7D"/>
    <w:rsid w:val="001360AB"/>
    <w:rsid w:val="00145701"/>
    <w:rsid w:val="00150A13"/>
    <w:rsid w:val="00156C24"/>
    <w:rsid w:val="001627A2"/>
    <w:rsid w:val="001815EC"/>
    <w:rsid w:val="00193263"/>
    <w:rsid w:val="0019602C"/>
    <w:rsid w:val="001A0482"/>
    <w:rsid w:val="001A34F4"/>
    <w:rsid w:val="001B4064"/>
    <w:rsid w:val="001B49A4"/>
    <w:rsid w:val="001B4EEF"/>
    <w:rsid w:val="001C1765"/>
    <w:rsid w:val="001D1260"/>
    <w:rsid w:val="001E42CE"/>
    <w:rsid w:val="001E7CDC"/>
    <w:rsid w:val="001F2F5D"/>
    <w:rsid w:val="001F5EF6"/>
    <w:rsid w:val="00200E63"/>
    <w:rsid w:val="00230BA1"/>
    <w:rsid w:val="00246576"/>
    <w:rsid w:val="00261599"/>
    <w:rsid w:val="0027224C"/>
    <w:rsid w:val="002739FD"/>
    <w:rsid w:val="00275F3B"/>
    <w:rsid w:val="002860BD"/>
    <w:rsid w:val="00286922"/>
    <w:rsid w:val="002941BD"/>
    <w:rsid w:val="00296D2A"/>
    <w:rsid w:val="002A09E0"/>
    <w:rsid w:val="002B5F26"/>
    <w:rsid w:val="002D083E"/>
    <w:rsid w:val="002D56F1"/>
    <w:rsid w:val="002E00B0"/>
    <w:rsid w:val="002E19E5"/>
    <w:rsid w:val="002E5A4D"/>
    <w:rsid w:val="002F1E8B"/>
    <w:rsid w:val="002F68E6"/>
    <w:rsid w:val="00304565"/>
    <w:rsid w:val="00313A1E"/>
    <w:rsid w:val="003205F8"/>
    <w:rsid w:val="00332FAE"/>
    <w:rsid w:val="00341920"/>
    <w:rsid w:val="00342ED7"/>
    <w:rsid w:val="003479A3"/>
    <w:rsid w:val="003553C2"/>
    <w:rsid w:val="003605B5"/>
    <w:rsid w:val="0037041F"/>
    <w:rsid w:val="00376818"/>
    <w:rsid w:val="00380E4F"/>
    <w:rsid w:val="003841E8"/>
    <w:rsid w:val="00386227"/>
    <w:rsid w:val="00391681"/>
    <w:rsid w:val="00391C9B"/>
    <w:rsid w:val="003A13DD"/>
    <w:rsid w:val="003B10C3"/>
    <w:rsid w:val="003B5C1A"/>
    <w:rsid w:val="003D3B01"/>
    <w:rsid w:val="003D3FB8"/>
    <w:rsid w:val="003D54AA"/>
    <w:rsid w:val="003E0D12"/>
    <w:rsid w:val="003E5753"/>
    <w:rsid w:val="004159DD"/>
    <w:rsid w:val="00422247"/>
    <w:rsid w:val="00441AFF"/>
    <w:rsid w:val="00443AC1"/>
    <w:rsid w:val="004601A2"/>
    <w:rsid w:val="00461D41"/>
    <w:rsid w:val="00474264"/>
    <w:rsid w:val="00480698"/>
    <w:rsid w:val="00490BA0"/>
    <w:rsid w:val="00494DA0"/>
    <w:rsid w:val="00497694"/>
    <w:rsid w:val="004A1A31"/>
    <w:rsid w:val="004B7068"/>
    <w:rsid w:val="004C1BEB"/>
    <w:rsid w:val="004D0868"/>
    <w:rsid w:val="004D16BF"/>
    <w:rsid w:val="004D45EF"/>
    <w:rsid w:val="004E1F5E"/>
    <w:rsid w:val="004E3E21"/>
    <w:rsid w:val="004E6FCA"/>
    <w:rsid w:val="004E7C40"/>
    <w:rsid w:val="00505511"/>
    <w:rsid w:val="005102C1"/>
    <w:rsid w:val="005117EB"/>
    <w:rsid w:val="00534A11"/>
    <w:rsid w:val="005379A0"/>
    <w:rsid w:val="00545E4D"/>
    <w:rsid w:val="005463E5"/>
    <w:rsid w:val="005501B7"/>
    <w:rsid w:val="00562FFD"/>
    <w:rsid w:val="00563DDA"/>
    <w:rsid w:val="00564333"/>
    <w:rsid w:val="005658DD"/>
    <w:rsid w:val="00571994"/>
    <w:rsid w:val="005760F1"/>
    <w:rsid w:val="00581A2C"/>
    <w:rsid w:val="00584DCA"/>
    <w:rsid w:val="0059327F"/>
    <w:rsid w:val="00594AC4"/>
    <w:rsid w:val="005A76AA"/>
    <w:rsid w:val="005B3120"/>
    <w:rsid w:val="005B60FE"/>
    <w:rsid w:val="005B63C5"/>
    <w:rsid w:val="005B77BB"/>
    <w:rsid w:val="005D5944"/>
    <w:rsid w:val="006323AC"/>
    <w:rsid w:val="00634170"/>
    <w:rsid w:val="00636B50"/>
    <w:rsid w:val="00636C2E"/>
    <w:rsid w:val="00644E34"/>
    <w:rsid w:val="0065286E"/>
    <w:rsid w:val="006545CE"/>
    <w:rsid w:val="00654E61"/>
    <w:rsid w:val="006653D1"/>
    <w:rsid w:val="00670462"/>
    <w:rsid w:val="00670BA3"/>
    <w:rsid w:val="00671542"/>
    <w:rsid w:val="00684F53"/>
    <w:rsid w:val="006A677C"/>
    <w:rsid w:val="006B21A7"/>
    <w:rsid w:val="006B4F80"/>
    <w:rsid w:val="006C3086"/>
    <w:rsid w:val="006C5E19"/>
    <w:rsid w:val="006E4A9A"/>
    <w:rsid w:val="006F15F6"/>
    <w:rsid w:val="006F279D"/>
    <w:rsid w:val="006F307B"/>
    <w:rsid w:val="006F65D9"/>
    <w:rsid w:val="0070366D"/>
    <w:rsid w:val="00705FAC"/>
    <w:rsid w:val="0072167F"/>
    <w:rsid w:val="00722048"/>
    <w:rsid w:val="007244E1"/>
    <w:rsid w:val="00743B1B"/>
    <w:rsid w:val="00747C9C"/>
    <w:rsid w:val="007502AC"/>
    <w:rsid w:val="00753386"/>
    <w:rsid w:val="00754B74"/>
    <w:rsid w:val="00755334"/>
    <w:rsid w:val="00773013"/>
    <w:rsid w:val="00776B03"/>
    <w:rsid w:val="007864B8"/>
    <w:rsid w:val="007A0D5F"/>
    <w:rsid w:val="007A773D"/>
    <w:rsid w:val="007B16B7"/>
    <w:rsid w:val="007B57D3"/>
    <w:rsid w:val="007C63CE"/>
    <w:rsid w:val="007D564F"/>
    <w:rsid w:val="007E1277"/>
    <w:rsid w:val="007F1846"/>
    <w:rsid w:val="007F2531"/>
    <w:rsid w:val="00801E3C"/>
    <w:rsid w:val="0080686E"/>
    <w:rsid w:val="00806944"/>
    <w:rsid w:val="00806BAE"/>
    <w:rsid w:val="00813B60"/>
    <w:rsid w:val="00817891"/>
    <w:rsid w:val="00820F2C"/>
    <w:rsid w:val="008262DF"/>
    <w:rsid w:val="00826A5E"/>
    <w:rsid w:val="00827403"/>
    <w:rsid w:val="008320F9"/>
    <w:rsid w:val="00840C0D"/>
    <w:rsid w:val="00842D11"/>
    <w:rsid w:val="00843637"/>
    <w:rsid w:val="008468B3"/>
    <w:rsid w:val="00862780"/>
    <w:rsid w:val="00885D6F"/>
    <w:rsid w:val="00886266"/>
    <w:rsid w:val="00887E09"/>
    <w:rsid w:val="00887E4E"/>
    <w:rsid w:val="008A3070"/>
    <w:rsid w:val="008A34F8"/>
    <w:rsid w:val="008A55E6"/>
    <w:rsid w:val="008C24B2"/>
    <w:rsid w:val="008C39BE"/>
    <w:rsid w:val="008D4515"/>
    <w:rsid w:val="008E0D1F"/>
    <w:rsid w:val="008F1EDB"/>
    <w:rsid w:val="008F42A2"/>
    <w:rsid w:val="0090132B"/>
    <w:rsid w:val="009015BC"/>
    <w:rsid w:val="00915B8E"/>
    <w:rsid w:val="00917E33"/>
    <w:rsid w:val="0092601C"/>
    <w:rsid w:val="00950E11"/>
    <w:rsid w:val="00954ADD"/>
    <w:rsid w:val="009720D7"/>
    <w:rsid w:val="00980912"/>
    <w:rsid w:val="00991EDD"/>
    <w:rsid w:val="00992166"/>
    <w:rsid w:val="00994B78"/>
    <w:rsid w:val="00994F5D"/>
    <w:rsid w:val="009A1C16"/>
    <w:rsid w:val="009A35F8"/>
    <w:rsid w:val="009B36BC"/>
    <w:rsid w:val="009C04D2"/>
    <w:rsid w:val="009C0EF1"/>
    <w:rsid w:val="009C3504"/>
    <w:rsid w:val="009C41BA"/>
    <w:rsid w:val="009C61A2"/>
    <w:rsid w:val="009E0D13"/>
    <w:rsid w:val="009E6658"/>
    <w:rsid w:val="009E7102"/>
    <w:rsid w:val="00A0202D"/>
    <w:rsid w:val="00A04C2A"/>
    <w:rsid w:val="00A10A7D"/>
    <w:rsid w:val="00A213F5"/>
    <w:rsid w:val="00A2612B"/>
    <w:rsid w:val="00A36E28"/>
    <w:rsid w:val="00A52E30"/>
    <w:rsid w:val="00A71288"/>
    <w:rsid w:val="00A72378"/>
    <w:rsid w:val="00A746D7"/>
    <w:rsid w:val="00A819BC"/>
    <w:rsid w:val="00A81D2D"/>
    <w:rsid w:val="00A833F1"/>
    <w:rsid w:val="00A8534C"/>
    <w:rsid w:val="00A8638A"/>
    <w:rsid w:val="00A9222D"/>
    <w:rsid w:val="00A97383"/>
    <w:rsid w:val="00AA0D0E"/>
    <w:rsid w:val="00AA7902"/>
    <w:rsid w:val="00AB12DA"/>
    <w:rsid w:val="00AC1362"/>
    <w:rsid w:val="00AC188B"/>
    <w:rsid w:val="00AE03E9"/>
    <w:rsid w:val="00AE3500"/>
    <w:rsid w:val="00AF1C02"/>
    <w:rsid w:val="00AF6D23"/>
    <w:rsid w:val="00B02C68"/>
    <w:rsid w:val="00B078B3"/>
    <w:rsid w:val="00B120C0"/>
    <w:rsid w:val="00B21860"/>
    <w:rsid w:val="00B26B76"/>
    <w:rsid w:val="00B43EA2"/>
    <w:rsid w:val="00B6522E"/>
    <w:rsid w:val="00B66FEC"/>
    <w:rsid w:val="00B77096"/>
    <w:rsid w:val="00B77611"/>
    <w:rsid w:val="00B839B2"/>
    <w:rsid w:val="00B8460E"/>
    <w:rsid w:val="00B86DF8"/>
    <w:rsid w:val="00B8742E"/>
    <w:rsid w:val="00B9274E"/>
    <w:rsid w:val="00B945EB"/>
    <w:rsid w:val="00BA768F"/>
    <w:rsid w:val="00BE2F84"/>
    <w:rsid w:val="00BE316B"/>
    <w:rsid w:val="00BE394F"/>
    <w:rsid w:val="00BF3781"/>
    <w:rsid w:val="00C10CA9"/>
    <w:rsid w:val="00C12B57"/>
    <w:rsid w:val="00C51B6C"/>
    <w:rsid w:val="00C54792"/>
    <w:rsid w:val="00C57D56"/>
    <w:rsid w:val="00C61BB9"/>
    <w:rsid w:val="00C64E5A"/>
    <w:rsid w:val="00C735A1"/>
    <w:rsid w:val="00C76BDF"/>
    <w:rsid w:val="00C7783E"/>
    <w:rsid w:val="00C77F53"/>
    <w:rsid w:val="00C84525"/>
    <w:rsid w:val="00C853EE"/>
    <w:rsid w:val="00C961F2"/>
    <w:rsid w:val="00C96CDE"/>
    <w:rsid w:val="00CA1702"/>
    <w:rsid w:val="00CB2FE7"/>
    <w:rsid w:val="00CC0121"/>
    <w:rsid w:val="00CC13AB"/>
    <w:rsid w:val="00CC34BD"/>
    <w:rsid w:val="00CC4B1B"/>
    <w:rsid w:val="00CC7B89"/>
    <w:rsid w:val="00CD7350"/>
    <w:rsid w:val="00CE0B9A"/>
    <w:rsid w:val="00CE59E4"/>
    <w:rsid w:val="00CF7C62"/>
    <w:rsid w:val="00D131E1"/>
    <w:rsid w:val="00D1389F"/>
    <w:rsid w:val="00D27003"/>
    <w:rsid w:val="00D30EA3"/>
    <w:rsid w:val="00D3220F"/>
    <w:rsid w:val="00D32B18"/>
    <w:rsid w:val="00D42AD6"/>
    <w:rsid w:val="00D4620D"/>
    <w:rsid w:val="00D46B39"/>
    <w:rsid w:val="00D54E6A"/>
    <w:rsid w:val="00D5618C"/>
    <w:rsid w:val="00D777DC"/>
    <w:rsid w:val="00D806C2"/>
    <w:rsid w:val="00D85627"/>
    <w:rsid w:val="00D85E45"/>
    <w:rsid w:val="00D8722A"/>
    <w:rsid w:val="00D90C85"/>
    <w:rsid w:val="00D912A4"/>
    <w:rsid w:val="00D949CC"/>
    <w:rsid w:val="00D975F1"/>
    <w:rsid w:val="00DA3A4F"/>
    <w:rsid w:val="00DB1214"/>
    <w:rsid w:val="00DB5504"/>
    <w:rsid w:val="00DB7729"/>
    <w:rsid w:val="00DC2779"/>
    <w:rsid w:val="00DD0550"/>
    <w:rsid w:val="00DD5599"/>
    <w:rsid w:val="00DE3294"/>
    <w:rsid w:val="00DF0B65"/>
    <w:rsid w:val="00E01CC2"/>
    <w:rsid w:val="00E06292"/>
    <w:rsid w:val="00E150A1"/>
    <w:rsid w:val="00E215E2"/>
    <w:rsid w:val="00E22863"/>
    <w:rsid w:val="00E267E5"/>
    <w:rsid w:val="00E26BA7"/>
    <w:rsid w:val="00E30786"/>
    <w:rsid w:val="00E32333"/>
    <w:rsid w:val="00E34425"/>
    <w:rsid w:val="00E36F4B"/>
    <w:rsid w:val="00E37734"/>
    <w:rsid w:val="00E5147F"/>
    <w:rsid w:val="00E55156"/>
    <w:rsid w:val="00E55F1D"/>
    <w:rsid w:val="00E57915"/>
    <w:rsid w:val="00E63DB9"/>
    <w:rsid w:val="00E73919"/>
    <w:rsid w:val="00E92B4C"/>
    <w:rsid w:val="00E931A0"/>
    <w:rsid w:val="00EC5B46"/>
    <w:rsid w:val="00EC5E7A"/>
    <w:rsid w:val="00EC6766"/>
    <w:rsid w:val="00ED0B98"/>
    <w:rsid w:val="00ED27B8"/>
    <w:rsid w:val="00EE0B53"/>
    <w:rsid w:val="00EF0E46"/>
    <w:rsid w:val="00EF26D8"/>
    <w:rsid w:val="00EF47C5"/>
    <w:rsid w:val="00F14616"/>
    <w:rsid w:val="00F20B63"/>
    <w:rsid w:val="00F248A0"/>
    <w:rsid w:val="00F300A3"/>
    <w:rsid w:val="00F3250C"/>
    <w:rsid w:val="00F35F7B"/>
    <w:rsid w:val="00F36ED0"/>
    <w:rsid w:val="00F421C8"/>
    <w:rsid w:val="00F5341D"/>
    <w:rsid w:val="00F55C7F"/>
    <w:rsid w:val="00F61501"/>
    <w:rsid w:val="00F626C6"/>
    <w:rsid w:val="00F62B61"/>
    <w:rsid w:val="00F65941"/>
    <w:rsid w:val="00F7796D"/>
    <w:rsid w:val="00F87E62"/>
    <w:rsid w:val="00F92CDE"/>
    <w:rsid w:val="00FA0647"/>
    <w:rsid w:val="00FA15A2"/>
    <w:rsid w:val="00FA5755"/>
    <w:rsid w:val="00FA5BEB"/>
    <w:rsid w:val="00FB16D0"/>
    <w:rsid w:val="00FB3B3D"/>
    <w:rsid w:val="00FB4CF4"/>
    <w:rsid w:val="00FB7F82"/>
    <w:rsid w:val="00FC0B36"/>
    <w:rsid w:val="00FC6BA0"/>
    <w:rsid w:val="00FD4D52"/>
    <w:rsid w:val="00FD6ED9"/>
    <w:rsid w:val="00FD6F1E"/>
    <w:rsid w:val="00FE2BEE"/>
    <w:rsid w:val="00FE2D39"/>
    <w:rsid w:val="00FE7473"/>
    <w:rsid w:val="00FF3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0852B"/>
  <w15:docId w15:val="{219BD309-48DD-4214-A077-1D650FCF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1" w:lineRule="auto"/>
      <w:ind w:left="10" w:right="17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right="54"/>
      <w:jc w:val="center"/>
      <w:outlineLvl w:val="0"/>
    </w:pPr>
    <w:rPr>
      <w:rFonts w:ascii="Arial" w:eastAsia="Arial" w:hAnsi="Arial" w:cs="Arial"/>
      <w:b/>
      <w:color w:val="FF0000"/>
      <w:sz w:val="24"/>
    </w:rPr>
  </w:style>
  <w:style w:type="paragraph" w:styleId="Heading2">
    <w:name w:val="heading 2"/>
    <w:next w:val="Normal"/>
    <w:link w:val="Heading2Char"/>
    <w:uiPriority w:val="9"/>
    <w:unhideWhenUsed/>
    <w:qFormat/>
    <w:pPr>
      <w:keepNext/>
      <w:keepLines/>
      <w:spacing w:after="276"/>
      <w:ind w:left="10" w:hanging="10"/>
      <w:outlineLvl w:val="1"/>
    </w:pPr>
    <w:rPr>
      <w:rFonts w:ascii="Arial" w:eastAsia="Arial" w:hAnsi="Arial" w:cs="Arial"/>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i/>
      <w:color w:val="000000"/>
      <w:sz w:val="24"/>
    </w:rPr>
  </w:style>
  <w:style w:type="character" w:customStyle="1" w:styleId="Heading1Char">
    <w:name w:val="Heading 1 Char"/>
    <w:link w:val="Heading1"/>
    <w:rPr>
      <w:rFonts w:ascii="Arial" w:eastAsia="Arial" w:hAnsi="Arial" w:cs="Arial"/>
      <w:b/>
      <w:color w:val="FF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odyText">
    <w:name w:val="Body Text"/>
    <w:basedOn w:val="Normal"/>
    <w:link w:val="BodyTextChar"/>
    <w:rsid w:val="00644E34"/>
    <w:pPr>
      <w:tabs>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0" w:firstLine="0"/>
    </w:pPr>
    <w:rPr>
      <w:rFonts w:ascii="Times New Roman" w:eastAsia="Times New Roman" w:hAnsi="Times New Roman" w:cs="Times New Roman"/>
      <w:color w:val="auto"/>
      <w:sz w:val="22"/>
      <w:szCs w:val="20"/>
    </w:rPr>
  </w:style>
  <w:style w:type="character" w:customStyle="1" w:styleId="BodyTextChar">
    <w:name w:val="Body Text Char"/>
    <w:basedOn w:val="DefaultParagraphFont"/>
    <w:link w:val="BodyText"/>
    <w:rsid w:val="00644E34"/>
    <w:rPr>
      <w:rFonts w:ascii="Times New Roman" w:eastAsia="Times New Roman" w:hAnsi="Times New Roman" w:cs="Times New Roman"/>
      <w:szCs w:val="20"/>
    </w:rPr>
  </w:style>
  <w:style w:type="paragraph" w:styleId="Header">
    <w:name w:val="header"/>
    <w:basedOn w:val="Normal"/>
    <w:link w:val="HeaderChar"/>
    <w:uiPriority w:val="99"/>
    <w:unhideWhenUsed/>
    <w:rsid w:val="001F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5D"/>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6283">
      <w:bodyDiv w:val="1"/>
      <w:marLeft w:val="0"/>
      <w:marRight w:val="0"/>
      <w:marTop w:val="0"/>
      <w:marBottom w:val="0"/>
      <w:divBdr>
        <w:top w:val="none" w:sz="0" w:space="0" w:color="auto"/>
        <w:left w:val="none" w:sz="0" w:space="0" w:color="auto"/>
        <w:bottom w:val="none" w:sz="0" w:space="0" w:color="auto"/>
        <w:right w:val="none" w:sz="0" w:space="0" w:color="auto"/>
      </w:divBdr>
    </w:div>
    <w:div w:id="110712560">
      <w:bodyDiv w:val="1"/>
      <w:marLeft w:val="0"/>
      <w:marRight w:val="0"/>
      <w:marTop w:val="0"/>
      <w:marBottom w:val="0"/>
      <w:divBdr>
        <w:top w:val="none" w:sz="0" w:space="0" w:color="auto"/>
        <w:left w:val="none" w:sz="0" w:space="0" w:color="auto"/>
        <w:bottom w:val="none" w:sz="0" w:space="0" w:color="auto"/>
        <w:right w:val="none" w:sz="0" w:space="0" w:color="auto"/>
      </w:divBdr>
    </w:div>
    <w:div w:id="181095113">
      <w:bodyDiv w:val="1"/>
      <w:marLeft w:val="0"/>
      <w:marRight w:val="0"/>
      <w:marTop w:val="0"/>
      <w:marBottom w:val="0"/>
      <w:divBdr>
        <w:top w:val="none" w:sz="0" w:space="0" w:color="auto"/>
        <w:left w:val="none" w:sz="0" w:space="0" w:color="auto"/>
        <w:bottom w:val="none" w:sz="0" w:space="0" w:color="auto"/>
        <w:right w:val="none" w:sz="0" w:space="0" w:color="auto"/>
      </w:divBdr>
    </w:div>
    <w:div w:id="244387052">
      <w:bodyDiv w:val="1"/>
      <w:marLeft w:val="0"/>
      <w:marRight w:val="0"/>
      <w:marTop w:val="0"/>
      <w:marBottom w:val="0"/>
      <w:divBdr>
        <w:top w:val="none" w:sz="0" w:space="0" w:color="auto"/>
        <w:left w:val="none" w:sz="0" w:space="0" w:color="auto"/>
        <w:bottom w:val="none" w:sz="0" w:space="0" w:color="auto"/>
        <w:right w:val="none" w:sz="0" w:space="0" w:color="auto"/>
      </w:divBdr>
      <w:divsChild>
        <w:div w:id="619193159">
          <w:marLeft w:val="0"/>
          <w:marRight w:val="0"/>
          <w:marTop w:val="0"/>
          <w:marBottom w:val="0"/>
          <w:divBdr>
            <w:top w:val="none" w:sz="0" w:space="0" w:color="auto"/>
            <w:left w:val="none" w:sz="0" w:space="0" w:color="auto"/>
            <w:bottom w:val="none" w:sz="0" w:space="0" w:color="auto"/>
            <w:right w:val="none" w:sz="0" w:space="0" w:color="auto"/>
          </w:divBdr>
        </w:div>
        <w:div w:id="1538660437">
          <w:marLeft w:val="0"/>
          <w:marRight w:val="0"/>
          <w:marTop w:val="0"/>
          <w:marBottom w:val="0"/>
          <w:divBdr>
            <w:top w:val="none" w:sz="0" w:space="0" w:color="auto"/>
            <w:left w:val="none" w:sz="0" w:space="0" w:color="auto"/>
            <w:bottom w:val="none" w:sz="0" w:space="0" w:color="auto"/>
            <w:right w:val="none" w:sz="0" w:space="0" w:color="auto"/>
          </w:divBdr>
        </w:div>
      </w:divsChild>
    </w:div>
    <w:div w:id="252083933">
      <w:bodyDiv w:val="1"/>
      <w:marLeft w:val="0"/>
      <w:marRight w:val="0"/>
      <w:marTop w:val="0"/>
      <w:marBottom w:val="0"/>
      <w:divBdr>
        <w:top w:val="none" w:sz="0" w:space="0" w:color="auto"/>
        <w:left w:val="none" w:sz="0" w:space="0" w:color="auto"/>
        <w:bottom w:val="none" w:sz="0" w:space="0" w:color="auto"/>
        <w:right w:val="none" w:sz="0" w:space="0" w:color="auto"/>
      </w:divBdr>
    </w:div>
    <w:div w:id="271481012">
      <w:bodyDiv w:val="1"/>
      <w:marLeft w:val="0"/>
      <w:marRight w:val="0"/>
      <w:marTop w:val="0"/>
      <w:marBottom w:val="0"/>
      <w:divBdr>
        <w:top w:val="none" w:sz="0" w:space="0" w:color="auto"/>
        <w:left w:val="none" w:sz="0" w:space="0" w:color="auto"/>
        <w:bottom w:val="none" w:sz="0" w:space="0" w:color="auto"/>
        <w:right w:val="none" w:sz="0" w:space="0" w:color="auto"/>
      </w:divBdr>
    </w:div>
    <w:div w:id="288899319">
      <w:bodyDiv w:val="1"/>
      <w:marLeft w:val="0"/>
      <w:marRight w:val="0"/>
      <w:marTop w:val="0"/>
      <w:marBottom w:val="0"/>
      <w:divBdr>
        <w:top w:val="none" w:sz="0" w:space="0" w:color="auto"/>
        <w:left w:val="none" w:sz="0" w:space="0" w:color="auto"/>
        <w:bottom w:val="none" w:sz="0" w:space="0" w:color="auto"/>
        <w:right w:val="none" w:sz="0" w:space="0" w:color="auto"/>
      </w:divBdr>
    </w:div>
    <w:div w:id="364672667">
      <w:bodyDiv w:val="1"/>
      <w:marLeft w:val="0"/>
      <w:marRight w:val="0"/>
      <w:marTop w:val="0"/>
      <w:marBottom w:val="0"/>
      <w:divBdr>
        <w:top w:val="none" w:sz="0" w:space="0" w:color="auto"/>
        <w:left w:val="none" w:sz="0" w:space="0" w:color="auto"/>
        <w:bottom w:val="none" w:sz="0" w:space="0" w:color="auto"/>
        <w:right w:val="none" w:sz="0" w:space="0" w:color="auto"/>
      </w:divBdr>
    </w:div>
    <w:div w:id="365561942">
      <w:bodyDiv w:val="1"/>
      <w:marLeft w:val="0"/>
      <w:marRight w:val="0"/>
      <w:marTop w:val="0"/>
      <w:marBottom w:val="0"/>
      <w:divBdr>
        <w:top w:val="none" w:sz="0" w:space="0" w:color="auto"/>
        <w:left w:val="none" w:sz="0" w:space="0" w:color="auto"/>
        <w:bottom w:val="none" w:sz="0" w:space="0" w:color="auto"/>
        <w:right w:val="none" w:sz="0" w:space="0" w:color="auto"/>
      </w:divBdr>
    </w:div>
    <w:div w:id="424421513">
      <w:bodyDiv w:val="1"/>
      <w:marLeft w:val="0"/>
      <w:marRight w:val="0"/>
      <w:marTop w:val="0"/>
      <w:marBottom w:val="0"/>
      <w:divBdr>
        <w:top w:val="none" w:sz="0" w:space="0" w:color="auto"/>
        <w:left w:val="none" w:sz="0" w:space="0" w:color="auto"/>
        <w:bottom w:val="none" w:sz="0" w:space="0" w:color="auto"/>
        <w:right w:val="none" w:sz="0" w:space="0" w:color="auto"/>
      </w:divBdr>
    </w:div>
    <w:div w:id="554585491">
      <w:bodyDiv w:val="1"/>
      <w:marLeft w:val="0"/>
      <w:marRight w:val="0"/>
      <w:marTop w:val="0"/>
      <w:marBottom w:val="0"/>
      <w:divBdr>
        <w:top w:val="none" w:sz="0" w:space="0" w:color="auto"/>
        <w:left w:val="none" w:sz="0" w:space="0" w:color="auto"/>
        <w:bottom w:val="none" w:sz="0" w:space="0" w:color="auto"/>
        <w:right w:val="none" w:sz="0" w:space="0" w:color="auto"/>
      </w:divBdr>
    </w:div>
    <w:div w:id="620571599">
      <w:bodyDiv w:val="1"/>
      <w:marLeft w:val="0"/>
      <w:marRight w:val="0"/>
      <w:marTop w:val="0"/>
      <w:marBottom w:val="0"/>
      <w:divBdr>
        <w:top w:val="none" w:sz="0" w:space="0" w:color="auto"/>
        <w:left w:val="none" w:sz="0" w:space="0" w:color="auto"/>
        <w:bottom w:val="none" w:sz="0" w:space="0" w:color="auto"/>
        <w:right w:val="none" w:sz="0" w:space="0" w:color="auto"/>
      </w:divBdr>
    </w:div>
    <w:div w:id="917708450">
      <w:bodyDiv w:val="1"/>
      <w:marLeft w:val="0"/>
      <w:marRight w:val="0"/>
      <w:marTop w:val="0"/>
      <w:marBottom w:val="0"/>
      <w:divBdr>
        <w:top w:val="none" w:sz="0" w:space="0" w:color="auto"/>
        <w:left w:val="none" w:sz="0" w:space="0" w:color="auto"/>
        <w:bottom w:val="none" w:sz="0" w:space="0" w:color="auto"/>
        <w:right w:val="none" w:sz="0" w:space="0" w:color="auto"/>
      </w:divBdr>
    </w:div>
    <w:div w:id="1017731643">
      <w:bodyDiv w:val="1"/>
      <w:marLeft w:val="0"/>
      <w:marRight w:val="0"/>
      <w:marTop w:val="0"/>
      <w:marBottom w:val="0"/>
      <w:divBdr>
        <w:top w:val="none" w:sz="0" w:space="0" w:color="auto"/>
        <w:left w:val="none" w:sz="0" w:space="0" w:color="auto"/>
        <w:bottom w:val="none" w:sz="0" w:space="0" w:color="auto"/>
        <w:right w:val="none" w:sz="0" w:space="0" w:color="auto"/>
      </w:divBdr>
    </w:div>
    <w:div w:id="1223560264">
      <w:bodyDiv w:val="1"/>
      <w:marLeft w:val="0"/>
      <w:marRight w:val="0"/>
      <w:marTop w:val="0"/>
      <w:marBottom w:val="0"/>
      <w:divBdr>
        <w:top w:val="none" w:sz="0" w:space="0" w:color="auto"/>
        <w:left w:val="none" w:sz="0" w:space="0" w:color="auto"/>
        <w:bottom w:val="none" w:sz="0" w:space="0" w:color="auto"/>
        <w:right w:val="none" w:sz="0" w:space="0" w:color="auto"/>
      </w:divBdr>
    </w:div>
    <w:div w:id="1439064438">
      <w:bodyDiv w:val="1"/>
      <w:marLeft w:val="0"/>
      <w:marRight w:val="0"/>
      <w:marTop w:val="0"/>
      <w:marBottom w:val="0"/>
      <w:divBdr>
        <w:top w:val="none" w:sz="0" w:space="0" w:color="auto"/>
        <w:left w:val="none" w:sz="0" w:space="0" w:color="auto"/>
        <w:bottom w:val="none" w:sz="0" w:space="0" w:color="auto"/>
        <w:right w:val="none" w:sz="0" w:space="0" w:color="auto"/>
      </w:divBdr>
    </w:div>
    <w:div w:id="1622807994">
      <w:bodyDiv w:val="1"/>
      <w:marLeft w:val="0"/>
      <w:marRight w:val="0"/>
      <w:marTop w:val="0"/>
      <w:marBottom w:val="0"/>
      <w:divBdr>
        <w:top w:val="none" w:sz="0" w:space="0" w:color="auto"/>
        <w:left w:val="none" w:sz="0" w:space="0" w:color="auto"/>
        <w:bottom w:val="none" w:sz="0" w:space="0" w:color="auto"/>
        <w:right w:val="none" w:sz="0" w:space="0" w:color="auto"/>
      </w:divBdr>
    </w:div>
    <w:div w:id="1772780226">
      <w:bodyDiv w:val="1"/>
      <w:marLeft w:val="0"/>
      <w:marRight w:val="0"/>
      <w:marTop w:val="0"/>
      <w:marBottom w:val="0"/>
      <w:divBdr>
        <w:top w:val="none" w:sz="0" w:space="0" w:color="auto"/>
        <w:left w:val="none" w:sz="0" w:space="0" w:color="auto"/>
        <w:bottom w:val="none" w:sz="0" w:space="0" w:color="auto"/>
        <w:right w:val="none" w:sz="0" w:space="0" w:color="auto"/>
      </w:divBdr>
    </w:div>
    <w:div w:id="2007054974">
      <w:bodyDiv w:val="1"/>
      <w:marLeft w:val="0"/>
      <w:marRight w:val="0"/>
      <w:marTop w:val="0"/>
      <w:marBottom w:val="0"/>
      <w:divBdr>
        <w:top w:val="none" w:sz="0" w:space="0" w:color="auto"/>
        <w:left w:val="none" w:sz="0" w:space="0" w:color="auto"/>
        <w:bottom w:val="none" w:sz="0" w:space="0" w:color="auto"/>
        <w:right w:val="none" w:sz="0" w:space="0" w:color="auto"/>
      </w:divBdr>
    </w:div>
    <w:div w:id="2077895464">
      <w:bodyDiv w:val="1"/>
      <w:marLeft w:val="0"/>
      <w:marRight w:val="0"/>
      <w:marTop w:val="0"/>
      <w:marBottom w:val="0"/>
      <w:divBdr>
        <w:top w:val="none" w:sz="0" w:space="0" w:color="auto"/>
        <w:left w:val="none" w:sz="0" w:space="0" w:color="auto"/>
        <w:bottom w:val="none" w:sz="0" w:space="0" w:color="auto"/>
        <w:right w:val="none" w:sz="0" w:space="0" w:color="auto"/>
      </w:divBdr>
    </w:div>
    <w:div w:id="2131778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linkedin.com/company/sci-engineered-materials.-inc" TargetMode="External"/><Relationship Id="rId18" Type="http://schemas.openxmlformats.org/officeDocument/2006/relationships/hyperlink" Target="https://www.linkedin.com/company/sci-engineered-materials.-inc"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www.linkedin.com/company/sci-engineered-materials.-inc" TargetMode="External"/><Relationship Id="rId17" Type="http://schemas.openxmlformats.org/officeDocument/2006/relationships/hyperlink" Target="https://www.linkedin.com/company/sci-engineered-materials.-inc"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linkedin.com/company/sci-engineered-materials.-inc" TargetMode="External"/><Relationship Id="rId20" Type="http://schemas.openxmlformats.org/officeDocument/2006/relationships/hyperlink" Target="https://www.facebook.com/sciengineeredmateri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sci-engineered-materials.-inc"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inkedin.com/company/sci-engineered-materials.-inc" TargetMode="Externa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hyperlink" Target="http://www.sciengineeredmaterials.com/" TargetMode="External"/><Relationship Id="rId19" Type="http://schemas.openxmlformats.org/officeDocument/2006/relationships/hyperlink" Target="https://www.facebook.com/sciengineeredmaterials/" TargetMode="External"/><Relationship Id="rId4" Type="http://schemas.openxmlformats.org/officeDocument/2006/relationships/settings" Target="settings.xml"/><Relationship Id="rId9" Type="http://schemas.openxmlformats.org/officeDocument/2006/relationships/hyperlink" Target="http://www.sciengineeredmaterials.com/" TargetMode="External"/><Relationship Id="rId14" Type="http://schemas.openxmlformats.org/officeDocument/2006/relationships/hyperlink" Target="https://www.linkedin.com/company/sci-engineered-materials.-inc" TargetMode="External"/><Relationship Id="rId22" Type="http://schemas.openxmlformats.org/officeDocument/2006/relationships/image" Target="media/image3.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7EA7E-0CE7-48EB-B27A-1FE5ABE2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Lentz</dc:creator>
  <cp:keywords/>
  <dc:description/>
  <cp:lastModifiedBy>Bob Lentz</cp:lastModifiedBy>
  <cp:revision>2</cp:revision>
  <cp:lastPrinted>2021-04-26T13:40:00Z</cp:lastPrinted>
  <dcterms:created xsi:type="dcterms:W3CDTF">2021-04-27T22:58:00Z</dcterms:created>
  <dcterms:modified xsi:type="dcterms:W3CDTF">2021-04-27T22:58:00Z</dcterms:modified>
</cp:coreProperties>
</file>