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2F955" w14:textId="4BBFCBF9" w:rsidR="00171453" w:rsidRDefault="00171453" w:rsidP="00171453">
      <w:pPr>
        <w:jc w:val="center"/>
        <w:rPr>
          <w:b/>
          <w:bCs/>
        </w:rPr>
      </w:pPr>
      <w:r w:rsidRPr="00171453">
        <w:rPr>
          <w:b/>
          <w:bCs/>
          <w:noProof/>
        </w:rPr>
        <w:drawing>
          <wp:inline distT="0" distB="0" distL="0" distR="0" wp14:anchorId="1800EC25" wp14:editId="7E064624">
            <wp:extent cx="2071991" cy="997183"/>
            <wp:effectExtent l="0" t="0" r="0" b="0"/>
            <wp:docPr id="16" name="Screen Shot 2020-12-31 at 10.12.03 AM.png" descr="Screen Shot 2020-12-31 at 10.12.03 AM.png">
              <a:extLst xmlns:a="http://schemas.openxmlformats.org/drawingml/2006/main">
                <a:ext uri="{FF2B5EF4-FFF2-40B4-BE49-F238E27FC236}">
                  <a16:creationId xmlns:a16="http://schemas.microsoft.com/office/drawing/2014/main" id="{C956EE82-E6BA-194F-88C0-2FF041ED2C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12-31 at 10.12.03 AM.png" descr="Screen Shot 2020-12-31 at 10.12.03 AM.png">
                      <a:extLst>
                        <a:ext uri="{FF2B5EF4-FFF2-40B4-BE49-F238E27FC236}">
                          <a16:creationId xmlns:a16="http://schemas.microsoft.com/office/drawing/2014/main" id="{C956EE82-E6BA-194F-88C0-2FF041ED2CE7}"/>
                        </a:ext>
                      </a:extLst>
                    </pic:cNvPr>
                    <pic:cNvPicPr>
                      <a:picLocks noChangeAspect="1"/>
                    </pic:cNvPicPr>
                  </pic:nvPicPr>
                  <pic:blipFill>
                    <a:blip r:embed="rId5"/>
                    <a:stretch>
                      <a:fillRect/>
                    </a:stretch>
                  </pic:blipFill>
                  <pic:spPr>
                    <a:xfrm>
                      <a:off x="0" y="0"/>
                      <a:ext cx="2090409" cy="1006047"/>
                    </a:xfrm>
                    <a:prstGeom prst="rect">
                      <a:avLst/>
                    </a:prstGeom>
                    <a:ln w="12700">
                      <a:miter lim="400000"/>
                    </a:ln>
                  </pic:spPr>
                </pic:pic>
              </a:graphicData>
            </a:graphic>
          </wp:inline>
        </w:drawing>
      </w:r>
    </w:p>
    <w:p w14:paraId="5BA549D7" w14:textId="77777777" w:rsidR="00171453" w:rsidRDefault="00171453" w:rsidP="00274003">
      <w:pPr>
        <w:jc w:val="both"/>
        <w:rPr>
          <w:b/>
          <w:bCs/>
        </w:rPr>
      </w:pPr>
    </w:p>
    <w:p w14:paraId="06E54FF9" w14:textId="3F8B3578" w:rsidR="0054676E" w:rsidRPr="00274003" w:rsidRDefault="00274003" w:rsidP="00274003">
      <w:pPr>
        <w:jc w:val="both"/>
        <w:rPr>
          <w:b/>
          <w:bCs/>
        </w:rPr>
      </w:pPr>
      <w:r w:rsidRPr="00274003">
        <w:rPr>
          <w:b/>
          <w:bCs/>
        </w:rPr>
        <w:t xml:space="preserve">Contakt World </w:t>
      </w:r>
      <w:r w:rsidR="00C14B17">
        <w:rPr>
          <w:b/>
          <w:bCs/>
        </w:rPr>
        <w:t xml:space="preserve">Honors </w:t>
      </w:r>
      <w:r w:rsidR="007F2B49">
        <w:rPr>
          <w:b/>
          <w:bCs/>
        </w:rPr>
        <w:t>33</w:t>
      </w:r>
      <w:r w:rsidR="00C14B17">
        <w:rPr>
          <w:b/>
          <w:bCs/>
        </w:rPr>
        <w:t xml:space="preserve"> Winners for</w:t>
      </w:r>
      <w:r w:rsidRPr="00274003">
        <w:rPr>
          <w:b/>
          <w:bCs/>
        </w:rPr>
        <w:t xml:space="preserve"> </w:t>
      </w:r>
      <w:r w:rsidR="00FF5F4E">
        <w:rPr>
          <w:b/>
          <w:bCs/>
        </w:rPr>
        <w:t xml:space="preserve">NACCHO’s </w:t>
      </w:r>
      <w:r w:rsidR="007F2B49">
        <w:rPr>
          <w:b/>
          <w:bCs/>
        </w:rPr>
        <w:t xml:space="preserve">Inaugural </w:t>
      </w:r>
      <w:r w:rsidRPr="00274003">
        <w:rPr>
          <w:b/>
          <w:bCs/>
        </w:rPr>
        <w:t>2021 Innovative Practice Award</w:t>
      </w:r>
      <w:r w:rsidR="00FF5F4E">
        <w:rPr>
          <w:b/>
          <w:bCs/>
        </w:rPr>
        <w:t>, Commending</w:t>
      </w:r>
      <w:r w:rsidRPr="00274003">
        <w:rPr>
          <w:b/>
          <w:bCs/>
        </w:rPr>
        <w:t xml:space="preserve"> </w:t>
      </w:r>
      <w:r w:rsidR="00FF5F4E">
        <w:rPr>
          <w:b/>
          <w:bCs/>
        </w:rPr>
        <w:t xml:space="preserve">the </w:t>
      </w:r>
      <w:r w:rsidRPr="00274003">
        <w:rPr>
          <w:b/>
          <w:bCs/>
        </w:rPr>
        <w:t>Best Practices</w:t>
      </w:r>
      <w:r w:rsidR="00C14B17">
        <w:rPr>
          <w:b/>
          <w:bCs/>
        </w:rPr>
        <w:t xml:space="preserve"> from Local Health Agencies</w:t>
      </w:r>
      <w:r w:rsidRPr="00274003">
        <w:rPr>
          <w:b/>
          <w:bCs/>
        </w:rPr>
        <w:t xml:space="preserve"> in Response to C</w:t>
      </w:r>
      <w:r w:rsidR="00277CF6">
        <w:rPr>
          <w:b/>
          <w:bCs/>
        </w:rPr>
        <w:t>OVID</w:t>
      </w:r>
      <w:r w:rsidRPr="00274003">
        <w:rPr>
          <w:b/>
          <w:bCs/>
        </w:rPr>
        <w:t>-19 Pandemic</w:t>
      </w:r>
    </w:p>
    <w:p w14:paraId="7746975F" w14:textId="6A2A111E" w:rsidR="00274003" w:rsidRDefault="00274003"/>
    <w:p w14:paraId="4F8D3AAE" w14:textId="2B33AE68" w:rsidR="00C14B17" w:rsidRDefault="00123567" w:rsidP="00274003">
      <w:pPr>
        <w:jc w:val="both"/>
      </w:pPr>
      <w:r>
        <w:t>Vancouver, B.C.</w:t>
      </w:r>
      <w:r w:rsidR="00274003">
        <w:t xml:space="preserve">, May </w:t>
      </w:r>
      <w:r w:rsidR="00147C4D">
        <w:t>27</w:t>
      </w:r>
      <w:r w:rsidR="00274003">
        <w:t xml:space="preserve">, 2021 – </w:t>
      </w:r>
      <w:r w:rsidRPr="00123567">
        <w:t>Tracker Ventures Corp. (“</w:t>
      </w:r>
      <w:r w:rsidRPr="00F62BF1">
        <w:rPr>
          <w:b/>
          <w:bCs/>
        </w:rPr>
        <w:t>Tracker</w:t>
      </w:r>
      <w:r w:rsidRPr="00123567">
        <w:t>” or the “</w:t>
      </w:r>
      <w:r w:rsidRPr="00F62BF1">
        <w:rPr>
          <w:b/>
          <w:bCs/>
        </w:rPr>
        <w:t>Company</w:t>
      </w:r>
      <w:r w:rsidRPr="00123567">
        <w:t xml:space="preserve">”) (CSE:TKR; OTC:TLOOF; FWB: B2I) today announced that </w:t>
      </w:r>
      <w:hyperlink r:id="rId6" w:history="1">
        <w:proofErr w:type="spellStart"/>
        <w:r w:rsidRPr="00123567">
          <w:rPr>
            <w:rStyle w:val="Hyperlink"/>
          </w:rPr>
          <w:t>Contakt</w:t>
        </w:r>
        <w:proofErr w:type="spellEnd"/>
        <w:r w:rsidRPr="00123567">
          <w:rPr>
            <w:rStyle w:val="Hyperlink"/>
          </w:rPr>
          <w:t xml:space="preserve"> LLC</w:t>
        </w:r>
      </w:hyperlink>
      <w:r>
        <w:t xml:space="preserve"> (“</w:t>
      </w:r>
      <w:proofErr w:type="spellStart"/>
      <w:r w:rsidRPr="00F62BF1">
        <w:rPr>
          <w:b/>
          <w:bCs/>
        </w:rPr>
        <w:t>Contakt</w:t>
      </w:r>
      <w:proofErr w:type="spellEnd"/>
      <w:r w:rsidRPr="00F62BF1">
        <w:rPr>
          <w:b/>
          <w:bCs/>
        </w:rPr>
        <w:t xml:space="preserve"> World</w:t>
      </w:r>
      <w:r>
        <w:t>”) is pleased to announce winners for the 2021 Innovative Practice Award, as</w:t>
      </w:r>
      <w:r w:rsidRPr="00123567">
        <w:t xml:space="preserve"> </w:t>
      </w:r>
      <w:r w:rsidR="000A6A8C">
        <w:t>part of</w:t>
      </w:r>
      <w:r w:rsidR="00FF5F4E">
        <w:t xml:space="preserve"> </w:t>
      </w:r>
      <w:r>
        <w:t xml:space="preserve">its </w:t>
      </w:r>
      <w:r w:rsidR="00C14B17">
        <w:t xml:space="preserve">ongoing alignment with </w:t>
      </w:r>
      <w:r w:rsidR="00F427CF">
        <w:t xml:space="preserve">the </w:t>
      </w:r>
      <w:r w:rsidR="00C14B17">
        <w:t>National Association of County and City Health Officials (NACCHO), the voice of the country’s nearly 3,000 local governmental health departments.</w:t>
      </w:r>
    </w:p>
    <w:p w14:paraId="79D35C27" w14:textId="77777777" w:rsidR="00274003" w:rsidRDefault="00274003" w:rsidP="00274003">
      <w:pPr>
        <w:jc w:val="both"/>
      </w:pPr>
    </w:p>
    <w:p w14:paraId="671179DA" w14:textId="01EA3C40" w:rsidR="00274003" w:rsidRDefault="00274003" w:rsidP="00274003">
      <w:pPr>
        <w:jc w:val="both"/>
      </w:pPr>
      <w:r>
        <w:t>Th</w:t>
      </w:r>
      <w:r w:rsidR="000A6A8C">
        <w:t>e</w:t>
      </w:r>
      <w:r>
        <w:t xml:space="preserve"> new award recognizes innovative programs developed in response to the Covid-19 pandemic demonstrating effective community partnerships and collaboration, adaptability and program resilience, and remarkable innovation. </w:t>
      </w:r>
      <w:r w:rsidR="00FF5F4E">
        <w:t>A total of 33</w:t>
      </w:r>
      <w:r>
        <w:t xml:space="preserve"> outstanding local health department programs received this recognition, with eight Gold Awardees, five Silver Awardees, and twenty Bronze Awardees. An additional 15 programs received Honorable Mention.</w:t>
      </w:r>
    </w:p>
    <w:p w14:paraId="2976FCD4" w14:textId="54CE28E8" w:rsidR="007F2B49" w:rsidRDefault="007F2B49" w:rsidP="00274003">
      <w:pPr>
        <w:jc w:val="both"/>
      </w:pPr>
    </w:p>
    <w:p w14:paraId="04042899" w14:textId="5A108F0D" w:rsidR="007F2B49" w:rsidRDefault="007F2B49" w:rsidP="00274003">
      <w:pPr>
        <w:jc w:val="both"/>
      </w:pPr>
      <w:r>
        <w:t>“We are honored to work with NACCHO in recognizing programs from local heroes who, in the face of adversity and unprecedented strain upon their resources, created new and better ways to serve,” said Justin Beck, Chief Visionary Officer and founder of Contakt World. “This inaugural award represents everything we stand for at Contakt World. We believe that sustainable public health and</w:t>
      </w:r>
      <w:r w:rsidR="000A6A8C">
        <w:t xml:space="preserve"> achievement of</w:t>
      </w:r>
      <w:r>
        <w:t xml:space="preserve"> true health equity requires courage, innovation, and resolve.</w:t>
      </w:r>
      <w:r w:rsidR="00FF5F4E">
        <w:t>”</w:t>
      </w:r>
    </w:p>
    <w:p w14:paraId="41CF1014" w14:textId="3FA8B970" w:rsidR="00274003" w:rsidRDefault="00274003"/>
    <w:p w14:paraId="46DEE64A" w14:textId="2E850189" w:rsidR="00274003" w:rsidRDefault="00274003" w:rsidP="00274003">
      <w:pPr>
        <w:jc w:val="both"/>
      </w:pPr>
      <w:r>
        <w:t>Gold, Silver, and Bronze Innovative Practice Awardees will receive one complimentary registration and support to atten</w:t>
      </w:r>
      <w:r w:rsidR="00C14B17">
        <w:t>d</w:t>
      </w:r>
      <w:r>
        <w:t xml:space="preserve"> the 2021 NACCHO 360 Virtual Conference from June 29 – July 1, 2021. Awardees will be </w:t>
      </w:r>
      <w:r w:rsidR="00D761C0">
        <w:t>recognized by Contakt World and NACCHO</w:t>
      </w:r>
      <w:r>
        <w:t xml:space="preserve"> during a Virtual Awards Reception on Wednesday, June 30</w:t>
      </w:r>
      <w:r w:rsidR="000A6A8C">
        <w:t>, 2021</w:t>
      </w:r>
      <w:r>
        <w:t xml:space="preserve"> at 5:00 PM ET.</w:t>
      </w:r>
      <w:r w:rsidR="00D761C0">
        <w:t xml:space="preserve"> Winning </w:t>
      </w:r>
      <w:r w:rsidR="00E33586">
        <w:t xml:space="preserve">local health </w:t>
      </w:r>
      <w:r w:rsidR="00D761C0">
        <w:t>agencies will also receive</w:t>
      </w:r>
      <w:r w:rsidR="00171453">
        <w:t xml:space="preserve"> </w:t>
      </w:r>
      <w:r w:rsidR="00D761C0">
        <w:t>in-kind contribution</w:t>
      </w:r>
      <w:r w:rsidR="00171453">
        <w:t>s</w:t>
      </w:r>
      <w:r w:rsidR="00D761C0">
        <w:t xml:space="preserve"> from Contakt World</w:t>
      </w:r>
      <w:r w:rsidR="00DB0EFB">
        <w:t xml:space="preserve">, such as </w:t>
      </w:r>
      <w:r w:rsidR="00D761C0">
        <w:t>community engagement (</w:t>
      </w:r>
      <w:hyperlink r:id="rId7" w:history="1">
        <w:r w:rsidR="00D761C0" w:rsidRPr="005538A1">
          <w:rPr>
            <w:rStyle w:val="Hyperlink"/>
            <w:b/>
            <w:bCs/>
          </w:rPr>
          <w:t>engagency</w:t>
        </w:r>
      </w:hyperlink>
      <w:r w:rsidR="00D761C0">
        <w:t>)</w:t>
      </w:r>
      <w:r w:rsidR="00FF5F4E">
        <w:t>,</w:t>
      </w:r>
      <w:r w:rsidR="00D761C0">
        <w:t xml:space="preserve"> case management software (</w:t>
      </w:r>
      <w:hyperlink r:id="rId8" w:history="1">
        <w:r w:rsidR="00D761C0" w:rsidRPr="005538A1">
          <w:rPr>
            <w:rStyle w:val="Hyperlink"/>
            <w:b/>
            <w:bCs/>
          </w:rPr>
          <w:t>smart health RM</w:t>
        </w:r>
      </w:hyperlink>
      <w:r w:rsidR="00D761C0">
        <w:t>)</w:t>
      </w:r>
      <w:r w:rsidR="00FF5F4E">
        <w:t>, and</w:t>
      </w:r>
      <w:r w:rsidR="00DB0EFB">
        <w:t>/or</w:t>
      </w:r>
      <w:r w:rsidR="00FF5F4E">
        <w:t xml:space="preserve"> integration with </w:t>
      </w:r>
      <w:r w:rsidR="00DB0EFB">
        <w:t xml:space="preserve">Satcher Health Leadership Institute’s </w:t>
      </w:r>
      <w:hyperlink r:id="rId9" w:history="1">
        <w:r w:rsidR="00FF5F4E" w:rsidRPr="00171453">
          <w:rPr>
            <w:rStyle w:val="Hyperlink"/>
            <w:b/>
            <w:bCs/>
          </w:rPr>
          <w:t>Heath Equity Tracker Project</w:t>
        </w:r>
      </w:hyperlink>
      <w:r w:rsidR="00D761C0">
        <w:t xml:space="preserve">. Contakt World is no stranger to innovation, having received </w:t>
      </w:r>
      <w:r w:rsidR="00961397">
        <w:t xml:space="preserve">a </w:t>
      </w:r>
      <w:r w:rsidR="00D761C0">
        <w:t xml:space="preserve">2021 Gold BIG Innovation Award, </w:t>
      </w:r>
      <w:r w:rsidR="00277CF6">
        <w:t>2021 Silver and Bronze</w:t>
      </w:r>
      <w:r w:rsidR="00D761C0">
        <w:t xml:space="preserve"> Stevie Awards</w:t>
      </w:r>
      <w:r w:rsidR="00E33586">
        <w:t xml:space="preserve"> </w:t>
      </w:r>
      <w:r w:rsidR="00171453">
        <w:t xml:space="preserve">in </w:t>
      </w:r>
      <w:r w:rsidR="00E33586">
        <w:t>American Business</w:t>
      </w:r>
      <w:r w:rsidR="00D761C0">
        <w:t>, Honorable Mention from Fast Company in two categories for “World Changing Idea</w:t>
      </w:r>
      <w:r w:rsidR="00277CF6">
        <w:t>s 2021</w:t>
      </w:r>
      <w:r w:rsidR="00F43F79">
        <w:t xml:space="preserve">,” and (2) AVA Awards for its </w:t>
      </w:r>
      <w:hyperlink r:id="rId10" w:history="1">
        <w:r w:rsidR="00F43F79" w:rsidRPr="00F43F79">
          <w:rPr>
            <w:rStyle w:val="Hyperlink"/>
            <w:b/>
            <w:bCs/>
          </w:rPr>
          <w:t>Contakt World: Truth in Health</w:t>
        </w:r>
      </w:hyperlink>
      <w:r w:rsidR="00F43F79">
        <w:t xml:space="preserve"> podcast co-produced with iHeartRadio.</w:t>
      </w:r>
    </w:p>
    <w:p w14:paraId="59845F17" w14:textId="4640E5F9" w:rsidR="00961397" w:rsidRDefault="00961397" w:rsidP="00274003">
      <w:pPr>
        <w:jc w:val="both"/>
      </w:pPr>
    </w:p>
    <w:p w14:paraId="42C35B85" w14:textId="636A3E46" w:rsidR="00961397" w:rsidRDefault="00FF5F4E" w:rsidP="00274003">
      <w:pPr>
        <w:jc w:val="both"/>
      </w:pPr>
      <w:r>
        <w:t xml:space="preserve">“Local health departments have demonstrated remarkable innovation and resilience to better the health of their communities during the pandemic, and the 2021 Innovative Practice Awards highlight the very best practices,” said NACCHO’s Chief Executive Officer Lori </w:t>
      </w:r>
      <w:proofErr w:type="spellStart"/>
      <w:r>
        <w:t>Tremmel</w:t>
      </w:r>
      <w:proofErr w:type="spellEnd"/>
      <w:r>
        <w:t xml:space="preserve"> Freeman. “Winners excelled at various disciplines including promoting health equity</w:t>
      </w:r>
      <w:r w:rsidR="00277CF6">
        <w:t xml:space="preserve">, contact tracing, </w:t>
      </w:r>
      <w:r w:rsidR="00277CF6">
        <w:lastRenderedPageBreak/>
        <w:t>mobile testing, contactless medication delivery, and many more. We also thank Contakt World for their commitment to recognizing innovation in local public health. NACCHO is very proud to join them in honoring the outstanding work done by local health departments in response to the COVID-19 pandemic.”</w:t>
      </w:r>
    </w:p>
    <w:p w14:paraId="16B570FE" w14:textId="49BC80F0" w:rsidR="00D761C0" w:rsidRDefault="00D761C0" w:rsidP="00274003">
      <w:pPr>
        <w:jc w:val="both"/>
      </w:pPr>
    </w:p>
    <w:p w14:paraId="4BB88315" w14:textId="56A76D13" w:rsidR="00557A72" w:rsidRDefault="00171453" w:rsidP="00274003">
      <w:pPr>
        <w:jc w:val="both"/>
      </w:pPr>
      <w:r>
        <w:t xml:space="preserve">Winning projects were determined through a competitive, peer-reviewed process and will be added to </w:t>
      </w:r>
      <w:hyperlink r:id="rId11" w:history="1">
        <w:r w:rsidRPr="00171453">
          <w:rPr>
            <w:rStyle w:val="Hyperlink"/>
          </w:rPr>
          <w:t>NACCHO’s Innovative Practice searchable online database</w:t>
        </w:r>
      </w:hyperlink>
      <w:r>
        <w:t>. There, other local health departments can review these practices and adopt them for use in their local community.</w:t>
      </w:r>
      <w:r w:rsidR="00557A72">
        <w:t xml:space="preserve"> A list of all winners follows, along with press, local health agency, and investor contacts for Contakt World.</w:t>
      </w:r>
    </w:p>
    <w:p w14:paraId="2FD514A0" w14:textId="77777777" w:rsidR="00D761C0" w:rsidRDefault="00D761C0" w:rsidP="00274003">
      <w:pPr>
        <w:jc w:val="both"/>
      </w:pPr>
    </w:p>
    <w:p w14:paraId="67B669F1" w14:textId="370C8750" w:rsidR="00F43F79" w:rsidRPr="00F43F79" w:rsidRDefault="00F43F79" w:rsidP="00F43F79">
      <w:pPr>
        <w:spacing w:line="360" w:lineRule="auto"/>
        <w:jc w:val="both"/>
        <w:rPr>
          <w:rFonts w:cstheme="minorHAnsi"/>
        </w:rPr>
      </w:pPr>
      <w:r w:rsidRPr="00557A72">
        <w:rPr>
          <w:rFonts w:eastAsia="Cambria" w:cstheme="minorHAnsi"/>
          <w:b/>
          <w:bCs/>
          <w:u w:val="single"/>
        </w:rPr>
        <w:t xml:space="preserve">2021 Innovative Practice Awards Presented by </w:t>
      </w:r>
      <w:hyperlink r:id="rId12" w:history="1">
        <w:r w:rsidRPr="00557A72">
          <w:rPr>
            <w:rStyle w:val="Hyperlink"/>
            <w:rFonts w:eastAsia="Cambria" w:cstheme="minorHAnsi"/>
            <w:b/>
            <w:bCs/>
          </w:rPr>
          <w:t>Contakt World</w:t>
        </w:r>
      </w:hyperlink>
      <w:r w:rsidRPr="00557A72">
        <w:rPr>
          <w:rFonts w:eastAsia="Cambria" w:cstheme="minorHAnsi"/>
          <w:b/>
          <w:bCs/>
          <w:u w:val="single"/>
        </w:rPr>
        <w:t xml:space="preserve"> – Gold Winners</w:t>
      </w:r>
      <w:r w:rsidRPr="00F43F79">
        <w:rPr>
          <w:rFonts w:eastAsia="Cambria" w:cstheme="minorHAnsi"/>
          <w:b/>
          <w:bCs/>
        </w:rPr>
        <w:t>:</w:t>
      </w:r>
    </w:p>
    <w:p w14:paraId="5C0B411A" w14:textId="60A28C1B" w:rsidR="00F43F79" w:rsidRPr="00F43F79" w:rsidRDefault="00F43F79" w:rsidP="00F43F79">
      <w:pPr>
        <w:spacing w:line="360" w:lineRule="auto"/>
        <w:jc w:val="both"/>
        <w:rPr>
          <w:rFonts w:cstheme="minorHAnsi"/>
        </w:rPr>
      </w:pPr>
      <w:r>
        <w:rPr>
          <w:rFonts w:eastAsia="Cambria" w:cstheme="minorHAnsi"/>
          <w:b/>
          <w:bCs/>
        </w:rPr>
        <w:t>ALABAMA</w:t>
      </w:r>
    </w:p>
    <w:p w14:paraId="03E659D2" w14:textId="105CEEC8"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Jefferson County Department of Health, </w:t>
      </w:r>
      <w:r w:rsidRPr="00F43F79">
        <w:rPr>
          <w:rFonts w:asciiTheme="minorHAnsi" w:eastAsia="Cambria" w:hAnsiTheme="minorHAnsi" w:cstheme="minorHAnsi"/>
          <w:i/>
          <w:iCs/>
          <w:szCs w:val="24"/>
        </w:rPr>
        <w:t xml:space="preserve">Online Naloxone Program </w:t>
      </w:r>
    </w:p>
    <w:p w14:paraId="37106CE9" w14:textId="14AB3B44" w:rsidR="00F43F79" w:rsidRPr="00F43F79" w:rsidRDefault="00F43F79" w:rsidP="00F43F79">
      <w:pPr>
        <w:spacing w:line="360" w:lineRule="auto"/>
        <w:jc w:val="both"/>
        <w:rPr>
          <w:rFonts w:cstheme="minorHAnsi"/>
        </w:rPr>
      </w:pPr>
      <w:r>
        <w:rPr>
          <w:rFonts w:eastAsia="Cambria" w:cstheme="minorHAnsi"/>
          <w:b/>
          <w:bCs/>
        </w:rPr>
        <w:t>ARIZONA</w:t>
      </w:r>
    </w:p>
    <w:p w14:paraId="0032BDBE" w14:textId="5DDEF164"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Pima County Health Department, </w:t>
      </w:r>
      <w:r w:rsidRPr="00F43F79">
        <w:rPr>
          <w:rFonts w:asciiTheme="minorHAnsi" w:eastAsia="Cambria" w:hAnsiTheme="minorHAnsi" w:cstheme="minorHAnsi"/>
          <w:i/>
          <w:iCs/>
          <w:szCs w:val="24"/>
        </w:rPr>
        <w:t>Mitigating the Impact of COVID-19 in Communities of Color</w:t>
      </w:r>
    </w:p>
    <w:p w14:paraId="35A5D9B2" w14:textId="42ACC965" w:rsidR="00F43F79" w:rsidRPr="00F43F79" w:rsidRDefault="00F43F79" w:rsidP="00F43F79">
      <w:pPr>
        <w:spacing w:line="360" w:lineRule="auto"/>
        <w:jc w:val="both"/>
        <w:rPr>
          <w:rFonts w:cstheme="minorHAnsi"/>
        </w:rPr>
      </w:pPr>
      <w:r>
        <w:rPr>
          <w:rFonts w:eastAsia="Cambria" w:cstheme="minorHAnsi"/>
          <w:b/>
          <w:bCs/>
        </w:rPr>
        <w:t>CALIFORNIA</w:t>
      </w:r>
    </w:p>
    <w:p w14:paraId="4D8FE6A3" w14:textId="681DE2C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County of San Diego Health &amp; Human Services Agency,</w:t>
      </w:r>
      <w:r w:rsidRPr="00F43F79">
        <w:rPr>
          <w:rFonts w:asciiTheme="minorHAnsi" w:eastAsia="Cambria" w:hAnsiTheme="minorHAnsi" w:cstheme="minorHAnsi"/>
          <w:i/>
          <w:iCs/>
          <w:szCs w:val="24"/>
        </w:rPr>
        <w:t xml:space="preserve"> San Diego County COVID-19 Response - Academic Detailing by Zip Code </w:t>
      </w:r>
    </w:p>
    <w:p w14:paraId="248FD9A0" w14:textId="2B5D22B8" w:rsidR="00F43F79" w:rsidRPr="00F43F79" w:rsidRDefault="00F43F79" w:rsidP="00F43F79">
      <w:pPr>
        <w:spacing w:line="360" w:lineRule="auto"/>
        <w:jc w:val="both"/>
        <w:rPr>
          <w:rFonts w:cstheme="minorHAnsi"/>
        </w:rPr>
      </w:pPr>
      <w:r>
        <w:rPr>
          <w:rFonts w:eastAsia="Cambria" w:cstheme="minorHAnsi"/>
          <w:b/>
          <w:bCs/>
        </w:rPr>
        <w:t>COLORADO</w:t>
      </w:r>
    </w:p>
    <w:p w14:paraId="3D476632" w14:textId="586C8246"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Metro Denver Partnership for Health, </w:t>
      </w:r>
      <w:r w:rsidRPr="00F43F79">
        <w:rPr>
          <w:rFonts w:asciiTheme="minorHAnsi" w:eastAsia="Cambria" w:hAnsiTheme="minorHAnsi" w:cstheme="minorHAnsi"/>
          <w:i/>
          <w:iCs/>
          <w:szCs w:val="24"/>
        </w:rPr>
        <w:t>Collaborative Approaches to the COVID-19 Response</w:t>
      </w:r>
    </w:p>
    <w:p w14:paraId="7728713D" w14:textId="7AAE7DAF" w:rsidR="00F43F79" w:rsidRPr="00F43F79" w:rsidRDefault="00F43F79" w:rsidP="00F43F79">
      <w:pPr>
        <w:spacing w:line="360" w:lineRule="auto"/>
        <w:jc w:val="both"/>
        <w:rPr>
          <w:rFonts w:cstheme="minorHAnsi"/>
        </w:rPr>
      </w:pPr>
      <w:r w:rsidRPr="00F43F79">
        <w:rPr>
          <w:rFonts w:eastAsia="Cambria" w:cstheme="minorHAnsi"/>
          <w:b/>
          <w:bCs/>
        </w:rPr>
        <w:t>F</w:t>
      </w:r>
      <w:r>
        <w:rPr>
          <w:rFonts w:eastAsia="Cambria" w:cstheme="minorHAnsi"/>
          <w:b/>
          <w:bCs/>
        </w:rPr>
        <w:t>LORIDA</w:t>
      </w:r>
    </w:p>
    <w:p w14:paraId="658D32A2"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Seminole County, </w:t>
      </w:r>
      <w:r w:rsidRPr="00F43F79">
        <w:rPr>
          <w:rFonts w:asciiTheme="minorHAnsi" w:eastAsia="Cambria" w:hAnsiTheme="minorHAnsi" w:cstheme="minorHAnsi"/>
          <w:i/>
          <w:iCs/>
          <w:szCs w:val="24"/>
        </w:rPr>
        <w:t>Community Integrated Mobile Health Services</w:t>
      </w:r>
    </w:p>
    <w:p w14:paraId="47320009" w14:textId="0E178A61"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Pinellas County, </w:t>
      </w:r>
      <w:r w:rsidRPr="00F43F79">
        <w:rPr>
          <w:rFonts w:asciiTheme="minorHAnsi" w:eastAsia="Cambria" w:hAnsiTheme="minorHAnsi" w:cstheme="minorHAnsi"/>
          <w:i/>
          <w:iCs/>
          <w:szCs w:val="24"/>
        </w:rPr>
        <w:t>Mitigating the Spread of COVID-19 in People Experiencing Homelessness</w:t>
      </w:r>
    </w:p>
    <w:p w14:paraId="64382E03" w14:textId="4AD49294" w:rsidR="00F43F79" w:rsidRPr="00F43F79" w:rsidRDefault="00F43F79" w:rsidP="00F43F79">
      <w:pPr>
        <w:spacing w:line="360" w:lineRule="auto"/>
        <w:jc w:val="both"/>
        <w:rPr>
          <w:rFonts w:cstheme="minorHAnsi"/>
        </w:rPr>
      </w:pPr>
      <w:r>
        <w:rPr>
          <w:rFonts w:eastAsia="Cambria" w:cstheme="minorHAnsi"/>
          <w:b/>
          <w:bCs/>
        </w:rPr>
        <w:t>NEW YORK</w:t>
      </w:r>
    </w:p>
    <w:p w14:paraId="5A4A13A3"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Albany County Department of Health, </w:t>
      </w:r>
      <w:r w:rsidRPr="00F43F79">
        <w:rPr>
          <w:rFonts w:asciiTheme="minorHAnsi" w:eastAsia="Cambria" w:hAnsiTheme="minorHAnsi" w:cstheme="minorHAnsi"/>
          <w:i/>
          <w:iCs/>
          <w:szCs w:val="24"/>
        </w:rPr>
        <w:t>Collaboration to Advance Mobile COVID-19 Testing in Underserved Communities</w:t>
      </w:r>
      <w:r w:rsidRPr="00F43F79">
        <w:rPr>
          <w:rFonts w:asciiTheme="minorHAnsi" w:eastAsia="Cambria" w:hAnsiTheme="minorHAnsi" w:cstheme="minorHAnsi"/>
          <w:szCs w:val="24"/>
        </w:rPr>
        <w:t xml:space="preserve"> </w:t>
      </w:r>
    </w:p>
    <w:p w14:paraId="66E0394B" w14:textId="78B68EE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lastRenderedPageBreak/>
        <w:t xml:space="preserve">Broome County Health Department, </w:t>
      </w:r>
      <w:r w:rsidRPr="00F43F79">
        <w:rPr>
          <w:rFonts w:asciiTheme="minorHAnsi" w:eastAsia="Cambria" w:hAnsiTheme="minorHAnsi" w:cstheme="minorHAnsi"/>
          <w:i/>
          <w:iCs/>
          <w:szCs w:val="24"/>
        </w:rPr>
        <w:t>Broome County Mobile COVID-19 Rapid Testing Site</w:t>
      </w:r>
    </w:p>
    <w:p w14:paraId="4302CD5C" w14:textId="77777777" w:rsidR="00F43F79" w:rsidRPr="00F43F79" w:rsidRDefault="00F43F79" w:rsidP="00F43F79">
      <w:pPr>
        <w:spacing w:line="360" w:lineRule="auto"/>
        <w:jc w:val="both"/>
        <w:rPr>
          <w:rFonts w:eastAsia="Cambria" w:cstheme="minorHAnsi"/>
          <w:b/>
          <w:bCs/>
        </w:rPr>
      </w:pPr>
    </w:p>
    <w:p w14:paraId="5D8D1777" w14:textId="195AEE03" w:rsidR="00F43F79" w:rsidRPr="00F43F79" w:rsidRDefault="00F43F79" w:rsidP="00F43F79">
      <w:pPr>
        <w:spacing w:line="360" w:lineRule="auto"/>
        <w:jc w:val="both"/>
        <w:rPr>
          <w:rFonts w:cstheme="minorHAnsi"/>
        </w:rPr>
      </w:pPr>
      <w:r w:rsidRPr="00F43F79">
        <w:rPr>
          <w:rFonts w:eastAsia="Cambria" w:cstheme="minorHAnsi"/>
          <w:b/>
          <w:bCs/>
          <w:u w:val="single"/>
        </w:rPr>
        <w:t xml:space="preserve">2021 Innovative Practice Awards Presented by </w:t>
      </w:r>
      <w:hyperlink r:id="rId13" w:history="1">
        <w:r w:rsidRPr="00F43F79">
          <w:rPr>
            <w:rStyle w:val="Hyperlink"/>
            <w:rFonts w:eastAsia="Cambria" w:cstheme="minorHAnsi"/>
            <w:b/>
            <w:bCs/>
          </w:rPr>
          <w:t>Contakt World</w:t>
        </w:r>
      </w:hyperlink>
      <w:r w:rsidRPr="00F43F79">
        <w:rPr>
          <w:rFonts w:eastAsia="Cambria" w:cstheme="minorHAnsi"/>
          <w:b/>
          <w:bCs/>
          <w:u w:val="single"/>
        </w:rPr>
        <w:t xml:space="preserve"> – Silver Winners</w:t>
      </w:r>
      <w:r w:rsidRPr="00F43F79">
        <w:rPr>
          <w:rFonts w:eastAsia="Cambria" w:cstheme="minorHAnsi"/>
          <w:b/>
          <w:bCs/>
        </w:rPr>
        <w:t>:</w:t>
      </w:r>
    </w:p>
    <w:p w14:paraId="08CA104B" w14:textId="4C50E937" w:rsidR="00F43F79" w:rsidRPr="00F43F79" w:rsidRDefault="00F43F79" w:rsidP="00F43F79">
      <w:pPr>
        <w:spacing w:line="360" w:lineRule="auto"/>
        <w:jc w:val="both"/>
        <w:rPr>
          <w:rFonts w:cstheme="minorHAnsi"/>
        </w:rPr>
      </w:pPr>
      <w:r>
        <w:rPr>
          <w:rFonts w:eastAsia="Cambria" w:cstheme="minorHAnsi"/>
          <w:b/>
          <w:bCs/>
        </w:rPr>
        <w:t>CALIFORNIA</w:t>
      </w:r>
    </w:p>
    <w:p w14:paraId="042813F0" w14:textId="6B3997C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County of San Diego Health and Human Services Agency, </w:t>
      </w:r>
      <w:r w:rsidRPr="00F43F79">
        <w:rPr>
          <w:rFonts w:asciiTheme="minorHAnsi" w:eastAsia="Cambria" w:hAnsiTheme="minorHAnsi" w:cstheme="minorHAnsi"/>
          <w:i/>
          <w:iCs/>
          <w:szCs w:val="24"/>
        </w:rPr>
        <w:t xml:space="preserve">Operationalizing the Live Well San Diego Framework: </w:t>
      </w:r>
      <w:proofErr w:type="gramStart"/>
      <w:r w:rsidRPr="00F43F79">
        <w:rPr>
          <w:rFonts w:asciiTheme="minorHAnsi" w:eastAsia="Cambria" w:hAnsiTheme="minorHAnsi" w:cstheme="minorHAnsi"/>
          <w:i/>
          <w:iCs/>
          <w:szCs w:val="24"/>
        </w:rPr>
        <w:t>a</w:t>
      </w:r>
      <w:proofErr w:type="gramEnd"/>
      <w:r w:rsidRPr="00F43F79">
        <w:rPr>
          <w:rFonts w:asciiTheme="minorHAnsi" w:eastAsia="Cambria" w:hAnsiTheme="minorHAnsi" w:cstheme="minorHAnsi"/>
          <w:i/>
          <w:iCs/>
          <w:szCs w:val="24"/>
        </w:rPr>
        <w:t xml:space="preserve"> Population Health Approach to COVID 19 Pandemic</w:t>
      </w:r>
    </w:p>
    <w:p w14:paraId="10917EC9" w14:textId="75F749DB" w:rsidR="00F43F79" w:rsidRPr="00F43F79" w:rsidRDefault="00F43F79" w:rsidP="00F43F79">
      <w:pPr>
        <w:spacing w:line="360" w:lineRule="auto"/>
        <w:jc w:val="both"/>
        <w:rPr>
          <w:rFonts w:cstheme="minorHAnsi"/>
        </w:rPr>
      </w:pPr>
      <w:r>
        <w:rPr>
          <w:rFonts w:eastAsia="Cambria" w:cstheme="minorHAnsi"/>
          <w:b/>
          <w:bCs/>
        </w:rPr>
        <w:t>FLORIDA</w:t>
      </w:r>
    </w:p>
    <w:p w14:paraId="433030E7" w14:textId="231CD4BE"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Florida Department of Health in Hillsborough County</w:t>
      </w:r>
      <w:r w:rsidRPr="00F43F79">
        <w:rPr>
          <w:rFonts w:asciiTheme="minorHAnsi" w:eastAsia="Cambria" w:hAnsiTheme="minorHAnsi" w:cstheme="minorHAnsi"/>
          <w:i/>
          <w:iCs/>
          <w:szCs w:val="24"/>
        </w:rPr>
        <w:t>, Virtual Programming to Expand Chronic Disease Education</w:t>
      </w:r>
    </w:p>
    <w:p w14:paraId="2AD0F0D3" w14:textId="25F47BAF" w:rsidR="00F43F79" w:rsidRPr="00F43F79" w:rsidRDefault="00F43F79" w:rsidP="00F43F79">
      <w:pPr>
        <w:spacing w:line="360" w:lineRule="auto"/>
        <w:jc w:val="both"/>
        <w:rPr>
          <w:rFonts w:cstheme="minorHAnsi"/>
        </w:rPr>
      </w:pPr>
      <w:r>
        <w:rPr>
          <w:rFonts w:eastAsia="Cambria" w:cstheme="minorHAnsi"/>
          <w:b/>
          <w:bCs/>
        </w:rPr>
        <w:t>MASSACHUSETTS</w:t>
      </w:r>
    </w:p>
    <w:p w14:paraId="01FACAF8" w14:textId="195D617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Northampton Health Department,</w:t>
      </w:r>
      <w:r w:rsidRPr="00F43F79">
        <w:rPr>
          <w:rFonts w:asciiTheme="minorHAnsi" w:eastAsia="Cambria" w:hAnsiTheme="minorHAnsi" w:cstheme="minorHAnsi"/>
          <w:i/>
          <w:iCs/>
          <w:szCs w:val="24"/>
        </w:rPr>
        <w:t xml:space="preserve"> Regional Face Mask Distribution Program</w:t>
      </w:r>
    </w:p>
    <w:p w14:paraId="0D493AED" w14:textId="32289A88" w:rsidR="00F43F79" w:rsidRPr="00F43F79" w:rsidRDefault="00F43F79" w:rsidP="00F43F79">
      <w:pPr>
        <w:spacing w:line="360" w:lineRule="auto"/>
        <w:jc w:val="both"/>
        <w:rPr>
          <w:rFonts w:cstheme="minorHAnsi"/>
        </w:rPr>
      </w:pPr>
      <w:r>
        <w:rPr>
          <w:rFonts w:eastAsia="Cambria" w:cstheme="minorHAnsi"/>
          <w:b/>
          <w:bCs/>
        </w:rPr>
        <w:t>NEW YORK</w:t>
      </w:r>
    </w:p>
    <w:p w14:paraId="4D665DBB"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Rensselaer County Health Department,</w:t>
      </w:r>
      <w:r w:rsidRPr="00F43F79">
        <w:rPr>
          <w:rFonts w:asciiTheme="minorHAnsi" w:eastAsia="Cambria" w:hAnsiTheme="minorHAnsi" w:cstheme="minorHAnsi"/>
          <w:i/>
          <w:iCs/>
          <w:szCs w:val="24"/>
        </w:rPr>
        <w:t xml:space="preserve"> Naloxone Now - Free Contactless Delivery of Narcan</w:t>
      </w:r>
    </w:p>
    <w:p w14:paraId="6B26B247"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Oswego County Health Department, </w:t>
      </w:r>
      <w:r w:rsidRPr="00F43F79">
        <w:rPr>
          <w:rFonts w:asciiTheme="minorHAnsi" w:eastAsia="Cambria" w:hAnsiTheme="minorHAnsi" w:cstheme="minorHAnsi"/>
          <w:i/>
          <w:iCs/>
          <w:szCs w:val="24"/>
        </w:rPr>
        <w:t>Phone Bank to Promote Health Equity in the Pandemic Response in a Rural County</w:t>
      </w:r>
    </w:p>
    <w:p w14:paraId="72A7E555" w14:textId="4B6E3B52" w:rsidR="00F43F79" w:rsidRPr="00F43F79" w:rsidRDefault="00F43F79" w:rsidP="00F43F79">
      <w:pPr>
        <w:spacing w:line="360" w:lineRule="auto"/>
        <w:jc w:val="both"/>
        <w:rPr>
          <w:rFonts w:cstheme="minorHAnsi"/>
        </w:rPr>
      </w:pPr>
    </w:p>
    <w:p w14:paraId="0D68C767" w14:textId="77777777" w:rsidR="00557A72" w:rsidRDefault="00F43F79" w:rsidP="00F43F79">
      <w:pPr>
        <w:spacing w:line="360" w:lineRule="auto"/>
        <w:jc w:val="both"/>
        <w:rPr>
          <w:rFonts w:cstheme="minorHAnsi"/>
        </w:rPr>
      </w:pPr>
      <w:r w:rsidRPr="00F43F79">
        <w:rPr>
          <w:rFonts w:eastAsia="Cambria" w:cstheme="minorHAnsi"/>
          <w:b/>
          <w:bCs/>
          <w:u w:val="single"/>
        </w:rPr>
        <w:t xml:space="preserve">2021 Innovative Practice Awards Presented by </w:t>
      </w:r>
      <w:hyperlink r:id="rId14" w:history="1">
        <w:r w:rsidRPr="00F43F79">
          <w:rPr>
            <w:rStyle w:val="Hyperlink"/>
            <w:rFonts w:eastAsia="Cambria" w:cstheme="minorHAnsi"/>
            <w:b/>
            <w:bCs/>
          </w:rPr>
          <w:t>Contakt World</w:t>
        </w:r>
      </w:hyperlink>
      <w:r w:rsidRPr="00F43F79">
        <w:rPr>
          <w:rFonts w:eastAsia="Cambria" w:cstheme="minorHAnsi"/>
          <w:b/>
          <w:bCs/>
          <w:u w:val="single"/>
        </w:rPr>
        <w:t xml:space="preserve"> – Bronze Winners</w:t>
      </w:r>
      <w:r w:rsidRPr="00F43F79">
        <w:rPr>
          <w:rFonts w:eastAsia="Cambria" w:cstheme="minorHAnsi"/>
          <w:b/>
          <w:bCs/>
        </w:rPr>
        <w:t>:</w:t>
      </w:r>
    </w:p>
    <w:p w14:paraId="1A8C4B1B" w14:textId="07B67311" w:rsidR="00F43F79" w:rsidRPr="00F43F79" w:rsidRDefault="00F43F79" w:rsidP="00F43F79">
      <w:pPr>
        <w:spacing w:line="360" w:lineRule="auto"/>
        <w:jc w:val="both"/>
        <w:rPr>
          <w:rFonts w:cstheme="minorHAnsi"/>
        </w:rPr>
      </w:pPr>
      <w:r>
        <w:rPr>
          <w:rFonts w:eastAsia="Cambria" w:cstheme="minorHAnsi"/>
          <w:b/>
          <w:bCs/>
        </w:rPr>
        <w:t>CALIFORNIA</w:t>
      </w:r>
    </w:p>
    <w:p w14:paraId="132A0482"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County of San Diego Health and Human Services Agency, </w:t>
      </w:r>
      <w:r w:rsidRPr="00F43F79">
        <w:rPr>
          <w:rFonts w:asciiTheme="minorHAnsi" w:eastAsia="Cambria" w:hAnsiTheme="minorHAnsi" w:cstheme="minorHAnsi"/>
          <w:i/>
          <w:iCs/>
          <w:szCs w:val="24"/>
        </w:rPr>
        <w:t>Operationalizing the Live Well San Diego Framework during the COVID-19 Pandemic: COVID-19 Prevention Hygiene Kit Distribution Program</w:t>
      </w:r>
    </w:p>
    <w:p w14:paraId="48D46E1D" w14:textId="6B9A727F"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County of San Diego Health and Human Services Agency, </w:t>
      </w:r>
      <w:r w:rsidRPr="00F43F79">
        <w:rPr>
          <w:rFonts w:asciiTheme="minorHAnsi" w:eastAsia="Cambria" w:hAnsiTheme="minorHAnsi" w:cstheme="minorHAnsi"/>
          <w:i/>
          <w:iCs/>
          <w:szCs w:val="24"/>
        </w:rPr>
        <w:t>Cross-border (San Diego-Tijuana) COVID-19 Collaboration</w:t>
      </w:r>
    </w:p>
    <w:p w14:paraId="18913BDC" w14:textId="476E781E" w:rsidR="00F43F79" w:rsidRPr="00F43F79" w:rsidRDefault="00F43F79" w:rsidP="00F43F79">
      <w:pPr>
        <w:spacing w:line="360" w:lineRule="auto"/>
        <w:jc w:val="both"/>
        <w:rPr>
          <w:rFonts w:cstheme="minorHAnsi"/>
        </w:rPr>
      </w:pPr>
      <w:r>
        <w:rPr>
          <w:rFonts w:eastAsia="Cambria" w:cstheme="minorHAnsi"/>
          <w:b/>
          <w:bCs/>
        </w:rPr>
        <w:t>COLORADO</w:t>
      </w:r>
    </w:p>
    <w:p w14:paraId="16B21AED"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El Paso County Public Health, </w:t>
      </w:r>
      <w:r w:rsidRPr="00F43F79">
        <w:rPr>
          <w:rFonts w:asciiTheme="minorHAnsi" w:eastAsia="Cambria" w:hAnsiTheme="minorHAnsi" w:cstheme="minorHAnsi"/>
          <w:i/>
          <w:iCs/>
          <w:szCs w:val="24"/>
        </w:rPr>
        <w:t>Supporting Data-based Dialogue During the COVID-19 Pandemic</w:t>
      </w:r>
    </w:p>
    <w:p w14:paraId="592F7A31" w14:textId="017387B0"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lastRenderedPageBreak/>
        <w:t xml:space="preserve">Tri-County Health Department, </w:t>
      </w:r>
      <w:proofErr w:type="gramStart"/>
      <w:r w:rsidRPr="00F43F79">
        <w:rPr>
          <w:rFonts w:asciiTheme="minorHAnsi" w:eastAsia="Cambria" w:hAnsiTheme="minorHAnsi" w:cstheme="minorHAnsi"/>
          <w:i/>
          <w:iCs/>
          <w:szCs w:val="24"/>
        </w:rPr>
        <w:t>Developing</w:t>
      </w:r>
      <w:proofErr w:type="gramEnd"/>
      <w:r w:rsidRPr="00F43F79">
        <w:rPr>
          <w:rFonts w:asciiTheme="minorHAnsi" w:eastAsia="Cambria" w:hAnsiTheme="minorHAnsi" w:cstheme="minorHAnsi"/>
          <w:i/>
          <w:iCs/>
          <w:szCs w:val="24"/>
        </w:rPr>
        <w:t xml:space="preserve"> a Homegrown, GIS-Based COVID-19 Case Investigation and Contact Tracing Software System by Leveraging Existing Internal Technology</w:t>
      </w:r>
    </w:p>
    <w:p w14:paraId="0D6FA104" w14:textId="0BD1AD28" w:rsidR="00F43F79" w:rsidRPr="00F43F79" w:rsidRDefault="00F43F79" w:rsidP="00F43F79">
      <w:pPr>
        <w:spacing w:line="360" w:lineRule="auto"/>
        <w:jc w:val="both"/>
        <w:rPr>
          <w:rFonts w:cstheme="minorHAnsi"/>
        </w:rPr>
      </w:pPr>
      <w:r>
        <w:rPr>
          <w:rFonts w:eastAsia="Cambria" w:cstheme="minorHAnsi"/>
          <w:b/>
          <w:bCs/>
        </w:rPr>
        <w:t>FLORIDA</w:t>
      </w:r>
    </w:p>
    <w:p w14:paraId="0E80C98F"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Broward County, </w:t>
      </w:r>
      <w:r w:rsidRPr="00F43F79">
        <w:rPr>
          <w:rFonts w:asciiTheme="minorHAnsi" w:eastAsia="Cambria" w:hAnsiTheme="minorHAnsi" w:cstheme="minorHAnsi"/>
          <w:i/>
          <w:iCs/>
          <w:szCs w:val="24"/>
        </w:rPr>
        <w:t>Implementation of Mass Prophylaxis Plan for COVID 19 Testing</w:t>
      </w:r>
    </w:p>
    <w:p w14:paraId="7539BD49" w14:textId="586674C0"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Broward County, </w:t>
      </w:r>
      <w:r w:rsidRPr="00F43F79">
        <w:rPr>
          <w:rFonts w:asciiTheme="minorHAnsi" w:eastAsia="Cambria" w:hAnsiTheme="minorHAnsi" w:cstheme="minorHAnsi"/>
          <w:i/>
          <w:iCs/>
          <w:szCs w:val="24"/>
        </w:rPr>
        <w:t xml:space="preserve">COVID PH Safety: Fit Testing and Don/Doff Training: AHCA, County, </w:t>
      </w:r>
      <w:proofErr w:type="spellStart"/>
      <w:r w:rsidRPr="00F43F79">
        <w:rPr>
          <w:rFonts w:asciiTheme="minorHAnsi" w:eastAsia="Cambria" w:hAnsiTheme="minorHAnsi" w:cstheme="minorHAnsi"/>
          <w:i/>
          <w:iCs/>
          <w:szCs w:val="24"/>
        </w:rPr>
        <w:t>Nat'l</w:t>
      </w:r>
      <w:proofErr w:type="spellEnd"/>
      <w:r w:rsidRPr="00F43F79">
        <w:rPr>
          <w:rFonts w:asciiTheme="minorHAnsi" w:eastAsia="Cambria" w:hAnsiTheme="minorHAnsi" w:cstheme="minorHAnsi"/>
          <w:i/>
          <w:iCs/>
          <w:szCs w:val="24"/>
        </w:rPr>
        <w:t xml:space="preserve"> Guard, DOH, Nurses</w:t>
      </w:r>
    </w:p>
    <w:p w14:paraId="431F8C3C" w14:textId="1242E68B" w:rsidR="00F43F79" w:rsidRPr="00F43F79" w:rsidRDefault="00F43F79" w:rsidP="00F43F79">
      <w:pPr>
        <w:spacing w:line="360" w:lineRule="auto"/>
        <w:jc w:val="both"/>
        <w:rPr>
          <w:rFonts w:cstheme="minorHAnsi"/>
        </w:rPr>
      </w:pPr>
      <w:r>
        <w:rPr>
          <w:rFonts w:eastAsia="Cambria" w:cstheme="minorHAnsi"/>
          <w:b/>
          <w:bCs/>
        </w:rPr>
        <w:t>IOWA</w:t>
      </w:r>
    </w:p>
    <w:p w14:paraId="22A93FAE" w14:textId="3E4F21CE"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Johnson County Public Health, </w:t>
      </w:r>
      <w:r w:rsidRPr="00F43F79">
        <w:rPr>
          <w:rFonts w:asciiTheme="minorHAnsi" w:eastAsia="Cambria" w:hAnsiTheme="minorHAnsi" w:cstheme="minorHAnsi"/>
          <w:i/>
          <w:iCs/>
          <w:szCs w:val="24"/>
        </w:rPr>
        <w:t xml:space="preserve">Integration of An Online Survey Tool </w:t>
      </w:r>
      <w:proofErr w:type="gramStart"/>
      <w:r w:rsidRPr="00F43F79">
        <w:rPr>
          <w:rFonts w:asciiTheme="minorHAnsi" w:eastAsia="Cambria" w:hAnsiTheme="minorHAnsi" w:cstheme="minorHAnsi"/>
          <w:i/>
          <w:iCs/>
          <w:szCs w:val="24"/>
        </w:rPr>
        <w:t>To</w:t>
      </w:r>
      <w:proofErr w:type="gramEnd"/>
      <w:r w:rsidRPr="00F43F79">
        <w:rPr>
          <w:rFonts w:asciiTheme="minorHAnsi" w:eastAsia="Cambria" w:hAnsiTheme="minorHAnsi" w:cstheme="minorHAnsi"/>
          <w:i/>
          <w:iCs/>
          <w:szCs w:val="24"/>
        </w:rPr>
        <w:t xml:space="preserve"> Streamline COVID-19 Case Investigations</w:t>
      </w:r>
    </w:p>
    <w:p w14:paraId="51FCC99B" w14:textId="1AF6D28E" w:rsidR="00F43F79" w:rsidRPr="00F43F79" w:rsidRDefault="00F43F79" w:rsidP="00F43F79">
      <w:pPr>
        <w:spacing w:line="360" w:lineRule="auto"/>
        <w:jc w:val="both"/>
        <w:rPr>
          <w:rFonts w:cstheme="minorHAnsi"/>
        </w:rPr>
      </w:pPr>
      <w:r>
        <w:rPr>
          <w:rFonts w:eastAsia="Cambria" w:cstheme="minorHAnsi"/>
          <w:b/>
          <w:bCs/>
        </w:rPr>
        <w:t>KENTUCKY</w:t>
      </w:r>
    </w:p>
    <w:p w14:paraId="69CF1F84"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Franklin County Health Department, </w:t>
      </w:r>
      <w:r w:rsidRPr="00F43F79">
        <w:rPr>
          <w:rFonts w:asciiTheme="minorHAnsi" w:eastAsia="Cambria" w:hAnsiTheme="minorHAnsi" w:cstheme="minorHAnsi"/>
          <w:i/>
          <w:iCs/>
          <w:szCs w:val="24"/>
        </w:rPr>
        <w:t>COVID Testing Drive Thru Clinics</w:t>
      </w:r>
      <w:r w:rsidRPr="00F43F79">
        <w:rPr>
          <w:rFonts w:asciiTheme="minorHAnsi" w:eastAsia="Cambria" w:hAnsiTheme="minorHAnsi" w:cstheme="minorHAnsi"/>
          <w:szCs w:val="24"/>
        </w:rPr>
        <w:t xml:space="preserve"> </w:t>
      </w:r>
    </w:p>
    <w:p w14:paraId="6DBB826A" w14:textId="44EB09B0"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Louisville Metro Department of Public Health and Wellness, </w:t>
      </w:r>
      <w:r w:rsidRPr="00F43F79">
        <w:rPr>
          <w:rFonts w:asciiTheme="minorHAnsi" w:eastAsia="Cambria" w:hAnsiTheme="minorHAnsi" w:cstheme="minorHAnsi"/>
          <w:i/>
          <w:iCs/>
          <w:szCs w:val="24"/>
        </w:rPr>
        <w:t>Health Equity During a Pandemic</w:t>
      </w:r>
    </w:p>
    <w:p w14:paraId="4D870A94" w14:textId="24AE9D98" w:rsidR="00F43F79" w:rsidRPr="00F43F79" w:rsidRDefault="00F43F79" w:rsidP="00F43F79">
      <w:pPr>
        <w:spacing w:line="360" w:lineRule="auto"/>
        <w:jc w:val="both"/>
        <w:rPr>
          <w:rFonts w:cstheme="minorHAnsi"/>
        </w:rPr>
      </w:pPr>
      <w:r>
        <w:rPr>
          <w:rFonts w:eastAsia="Cambria" w:cstheme="minorHAnsi"/>
          <w:b/>
          <w:bCs/>
        </w:rPr>
        <w:t>MARYLAND</w:t>
      </w:r>
    </w:p>
    <w:p w14:paraId="30593C1B" w14:textId="13B06154"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Anne Arundel County Department of Health, </w:t>
      </w:r>
      <w:r w:rsidRPr="00F43F79">
        <w:rPr>
          <w:rFonts w:asciiTheme="minorHAnsi" w:eastAsia="Cambria" w:hAnsiTheme="minorHAnsi" w:cstheme="minorHAnsi"/>
          <w:i/>
          <w:iCs/>
          <w:szCs w:val="24"/>
        </w:rPr>
        <w:t>Strengthening Families Program</w:t>
      </w:r>
      <w:r w:rsidRPr="00F43F79">
        <w:rPr>
          <w:rFonts w:asciiTheme="minorHAnsi" w:eastAsia="Cambria" w:hAnsiTheme="minorHAnsi" w:cstheme="minorHAnsi"/>
          <w:szCs w:val="24"/>
        </w:rPr>
        <w:t xml:space="preserve"> </w:t>
      </w:r>
    </w:p>
    <w:p w14:paraId="6A6393F9" w14:textId="46B76AF9" w:rsidR="00F43F79" w:rsidRPr="00F43F79" w:rsidRDefault="00F43F79" w:rsidP="00F43F79">
      <w:pPr>
        <w:spacing w:line="360" w:lineRule="auto"/>
        <w:jc w:val="both"/>
        <w:rPr>
          <w:rFonts w:cstheme="minorHAnsi"/>
        </w:rPr>
      </w:pPr>
      <w:r>
        <w:rPr>
          <w:rFonts w:eastAsia="Cambria" w:cstheme="minorHAnsi"/>
          <w:b/>
          <w:bCs/>
        </w:rPr>
        <w:t>NEW YORK</w:t>
      </w:r>
    </w:p>
    <w:p w14:paraId="0930B231"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Nassau County Department of Health, </w:t>
      </w:r>
      <w:r w:rsidRPr="00F43F79">
        <w:rPr>
          <w:rFonts w:asciiTheme="minorHAnsi" w:eastAsia="Cambria" w:hAnsiTheme="minorHAnsi" w:cstheme="minorHAnsi"/>
          <w:i/>
          <w:iCs/>
          <w:szCs w:val="24"/>
        </w:rPr>
        <w:t>COVID-19 Workforce Response</w:t>
      </w:r>
    </w:p>
    <w:p w14:paraId="66AF538B" w14:textId="6CEFE75C"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New York City Department of Health and Mental Hygiene, </w:t>
      </w:r>
      <w:proofErr w:type="gramStart"/>
      <w:r w:rsidRPr="00F43F79">
        <w:rPr>
          <w:rFonts w:asciiTheme="minorHAnsi" w:eastAsia="Cambria" w:hAnsiTheme="minorHAnsi" w:cstheme="minorHAnsi"/>
          <w:i/>
          <w:iCs/>
          <w:szCs w:val="24"/>
        </w:rPr>
        <w:t>Adapting</w:t>
      </w:r>
      <w:proofErr w:type="gramEnd"/>
      <w:r w:rsidRPr="00F43F79">
        <w:rPr>
          <w:rFonts w:asciiTheme="minorHAnsi" w:eastAsia="Cambria" w:hAnsiTheme="minorHAnsi" w:cstheme="minorHAnsi"/>
          <w:i/>
          <w:iCs/>
          <w:szCs w:val="24"/>
        </w:rPr>
        <w:t xml:space="preserve"> in a Time of Crisis: A New Style of Providing Technical Assistance</w:t>
      </w:r>
      <w:r w:rsidRPr="00F43F79">
        <w:rPr>
          <w:rFonts w:asciiTheme="minorHAnsi" w:eastAsia="Cambria" w:hAnsiTheme="minorHAnsi" w:cstheme="minorHAnsi"/>
          <w:b/>
          <w:bCs/>
          <w:i/>
          <w:iCs/>
        </w:rPr>
        <w:t xml:space="preserve"> </w:t>
      </w:r>
    </w:p>
    <w:p w14:paraId="6F24FB19" w14:textId="17EEC79F" w:rsidR="00F43F79" w:rsidRPr="00F43F79" w:rsidRDefault="00F43F79" w:rsidP="00F43F79">
      <w:pPr>
        <w:spacing w:line="360" w:lineRule="auto"/>
        <w:jc w:val="both"/>
        <w:rPr>
          <w:rFonts w:cstheme="minorHAnsi"/>
        </w:rPr>
      </w:pPr>
      <w:r>
        <w:rPr>
          <w:rFonts w:eastAsia="Cambria" w:cstheme="minorHAnsi"/>
          <w:b/>
          <w:bCs/>
        </w:rPr>
        <w:t>NORTH DAKOTA</w:t>
      </w:r>
    </w:p>
    <w:p w14:paraId="3F0B0471" w14:textId="3CC42810"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Bismarck-Burleigh Public Health</w:t>
      </w:r>
      <w:r w:rsidRPr="00F43F79">
        <w:rPr>
          <w:rFonts w:asciiTheme="minorHAnsi" w:eastAsia="Cambria" w:hAnsiTheme="minorHAnsi" w:cstheme="minorHAnsi"/>
          <w:i/>
          <w:iCs/>
          <w:szCs w:val="24"/>
        </w:rPr>
        <w:t>, Promoting Influenza Vaccine During a Pandemic: Strategies from Local Public Health</w:t>
      </w:r>
    </w:p>
    <w:p w14:paraId="24B63C4B" w14:textId="42D79483" w:rsidR="00F43F79" w:rsidRPr="00F43F79" w:rsidRDefault="00F43F79" w:rsidP="00F62BF1">
      <w:pPr>
        <w:keepNext/>
        <w:keepLines/>
        <w:spacing w:line="360" w:lineRule="auto"/>
        <w:jc w:val="both"/>
        <w:rPr>
          <w:rFonts w:cstheme="minorHAnsi"/>
        </w:rPr>
      </w:pPr>
      <w:r>
        <w:rPr>
          <w:rFonts w:eastAsia="Cambria" w:cstheme="minorHAnsi"/>
          <w:b/>
          <w:bCs/>
        </w:rPr>
        <w:lastRenderedPageBreak/>
        <w:t>TEXAS</w:t>
      </w:r>
    </w:p>
    <w:p w14:paraId="7E33C988" w14:textId="77777777" w:rsidR="00F43F79" w:rsidRPr="00F43F79" w:rsidRDefault="00F43F79" w:rsidP="00F62BF1">
      <w:pPr>
        <w:pStyle w:val="ListParagraph"/>
        <w:keepNext/>
        <w:keepLines/>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Houston Health Department, </w:t>
      </w:r>
      <w:proofErr w:type="gramStart"/>
      <w:r w:rsidRPr="00F43F79">
        <w:rPr>
          <w:rFonts w:asciiTheme="minorHAnsi" w:eastAsia="Cambria" w:hAnsiTheme="minorHAnsi" w:cstheme="minorHAnsi"/>
          <w:i/>
          <w:iCs/>
          <w:szCs w:val="24"/>
        </w:rPr>
        <w:t>Better</w:t>
      </w:r>
      <w:proofErr w:type="gramEnd"/>
      <w:r w:rsidRPr="00F43F79">
        <w:rPr>
          <w:rFonts w:asciiTheme="minorHAnsi" w:eastAsia="Cambria" w:hAnsiTheme="minorHAnsi" w:cstheme="minorHAnsi"/>
          <w:i/>
          <w:iCs/>
          <w:szCs w:val="24"/>
        </w:rPr>
        <w:t>. Together. COVID-19 Communications and Outreach Campaign</w:t>
      </w:r>
    </w:p>
    <w:p w14:paraId="23C760C4"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San Antonio Metropolitan Health District, </w:t>
      </w:r>
      <w:r w:rsidRPr="00F43F79">
        <w:rPr>
          <w:rFonts w:asciiTheme="minorHAnsi" w:eastAsia="Cambria" w:hAnsiTheme="minorHAnsi" w:cstheme="minorHAnsi"/>
          <w:i/>
          <w:iCs/>
          <w:szCs w:val="24"/>
        </w:rPr>
        <w:t>Congregate Settings COVID Response Team</w:t>
      </w:r>
    </w:p>
    <w:p w14:paraId="32D80A82"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San Antonio Metropolitan Health District, </w:t>
      </w:r>
      <w:r w:rsidRPr="00F43F79">
        <w:rPr>
          <w:rFonts w:asciiTheme="minorHAnsi" w:eastAsia="Cambria" w:hAnsiTheme="minorHAnsi" w:cstheme="minorHAnsi"/>
          <w:i/>
          <w:iCs/>
          <w:szCs w:val="24"/>
        </w:rPr>
        <w:t>Community Outreach &amp; Communications: San Antonio’s LHD Approach to COVID-19 in Communities of Color</w:t>
      </w:r>
    </w:p>
    <w:p w14:paraId="20D616B9" w14:textId="5EFDB389"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Tarrant County Public Health, </w:t>
      </w:r>
      <w:r w:rsidRPr="00F43F79">
        <w:rPr>
          <w:rFonts w:asciiTheme="minorHAnsi" w:eastAsia="Cambria" w:hAnsiTheme="minorHAnsi" w:cstheme="minorHAnsi"/>
          <w:i/>
          <w:iCs/>
          <w:szCs w:val="24"/>
        </w:rPr>
        <w:t>Adapting Delivery - Curbside WIC Services During COVID-19</w:t>
      </w:r>
    </w:p>
    <w:p w14:paraId="5032897A" w14:textId="56057840" w:rsidR="00F43F79" w:rsidRPr="00F43F79" w:rsidRDefault="00F43F79" w:rsidP="00F43F79">
      <w:pPr>
        <w:spacing w:line="360" w:lineRule="auto"/>
        <w:jc w:val="both"/>
        <w:rPr>
          <w:rFonts w:cstheme="minorHAnsi"/>
        </w:rPr>
      </w:pPr>
      <w:r>
        <w:rPr>
          <w:rFonts w:eastAsia="Cambria" w:cstheme="minorHAnsi"/>
          <w:b/>
          <w:bCs/>
        </w:rPr>
        <w:t>WASHINGTON</w:t>
      </w:r>
    </w:p>
    <w:p w14:paraId="3DD0F818"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Public Health-Seattle and King County, </w:t>
      </w:r>
      <w:r w:rsidRPr="00F43F79">
        <w:rPr>
          <w:rFonts w:asciiTheme="minorHAnsi" w:eastAsia="Cambria" w:hAnsiTheme="minorHAnsi" w:cstheme="minorHAnsi"/>
          <w:i/>
          <w:iCs/>
          <w:szCs w:val="24"/>
        </w:rPr>
        <w:t>Safe Start for Taverns &amp; Restaurants (SSTAR) Program</w:t>
      </w:r>
    </w:p>
    <w:p w14:paraId="14CA8457"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Public Health-Seattle and King County, </w:t>
      </w:r>
      <w:r w:rsidRPr="00F43F79">
        <w:rPr>
          <w:rFonts w:asciiTheme="minorHAnsi" w:eastAsia="Cambria" w:hAnsiTheme="minorHAnsi" w:cstheme="minorHAnsi"/>
          <w:i/>
          <w:iCs/>
          <w:szCs w:val="24"/>
        </w:rPr>
        <w:t>Monitoring &amp; Evaluation of COVID-19 Impacts on Social, Economic &amp; Overall Health</w:t>
      </w:r>
    </w:p>
    <w:p w14:paraId="3843CC5B" w14:textId="77777777" w:rsidR="00F43F79" w:rsidRPr="00F43F79" w:rsidRDefault="00F43F79" w:rsidP="00F43F79">
      <w:pPr>
        <w:pStyle w:val="ListParagraph"/>
        <w:numPr>
          <w:ilvl w:val="0"/>
          <w:numId w:val="1"/>
        </w:numPr>
        <w:spacing w:line="360" w:lineRule="auto"/>
        <w:jc w:val="both"/>
        <w:rPr>
          <w:rFonts w:asciiTheme="minorHAnsi" w:hAnsiTheme="minorHAnsi" w:cstheme="minorHAnsi"/>
        </w:rPr>
      </w:pPr>
      <w:r w:rsidRPr="00F43F79">
        <w:rPr>
          <w:rFonts w:asciiTheme="minorHAnsi" w:eastAsia="Cambria" w:hAnsiTheme="minorHAnsi" w:cstheme="minorHAnsi"/>
          <w:szCs w:val="24"/>
        </w:rPr>
        <w:t xml:space="preserve">Snohomish Health District, </w:t>
      </w:r>
      <w:r w:rsidRPr="00F43F79">
        <w:rPr>
          <w:rFonts w:asciiTheme="minorHAnsi" w:eastAsia="Cambria" w:hAnsiTheme="minorHAnsi" w:cstheme="minorHAnsi"/>
          <w:i/>
          <w:iCs/>
          <w:szCs w:val="24"/>
        </w:rPr>
        <w:t>Child Care Health Outreach Program, Maternal &amp; Child Health, Prevention Services</w:t>
      </w:r>
      <w:r w:rsidRPr="00F43F79">
        <w:rPr>
          <w:rFonts w:asciiTheme="minorHAnsi" w:eastAsia="Cambria" w:hAnsiTheme="minorHAnsi" w:cstheme="minorHAnsi"/>
          <w:b/>
          <w:bCs/>
          <w:szCs w:val="24"/>
        </w:rPr>
        <w:t xml:space="preserve"> </w:t>
      </w:r>
    </w:p>
    <w:p w14:paraId="1C03953B" w14:textId="77777777" w:rsidR="00F43F79" w:rsidRPr="00F43F79" w:rsidRDefault="00F43F79" w:rsidP="00F43F79">
      <w:pPr>
        <w:spacing w:line="360" w:lineRule="auto"/>
        <w:jc w:val="both"/>
        <w:rPr>
          <w:rFonts w:eastAsia="Cambria" w:cstheme="minorHAnsi"/>
          <w:b/>
          <w:bCs/>
        </w:rPr>
      </w:pPr>
    </w:p>
    <w:p w14:paraId="3EF1780E" w14:textId="7D6912F0" w:rsidR="00F43F79" w:rsidRPr="00557A72" w:rsidRDefault="00F43F79" w:rsidP="00F43F79">
      <w:pPr>
        <w:spacing w:line="360" w:lineRule="auto"/>
        <w:jc w:val="both"/>
        <w:rPr>
          <w:rFonts w:cstheme="minorHAnsi"/>
        </w:rPr>
      </w:pPr>
      <w:r w:rsidRPr="00F43F79">
        <w:rPr>
          <w:rFonts w:eastAsia="Cambria" w:cstheme="minorHAnsi"/>
          <w:b/>
          <w:bCs/>
          <w:u w:val="single"/>
        </w:rPr>
        <w:t xml:space="preserve">2021 Innovative Practice Awards Presented by </w:t>
      </w:r>
      <w:hyperlink r:id="rId15" w:history="1">
        <w:r w:rsidRPr="00F43F79">
          <w:rPr>
            <w:rStyle w:val="Hyperlink"/>
            <w:rFonts w:eastAsia="Cambria" w:cstheme="minorHAnsi"/>
            <w:b/>
            <w:bCs/>
          </w:rPr>
          <w:t>Contakt World</w:t>
        </w:r>
      </w:hyperlink>
      <w:r w:rsidRPr="00F43F79">
        <w:rPr>
          <w:rFonts w:eastAsia="Cambria" w:cstheme="minorHAnsi"/>
          <w:b/>
          <w:bCs/>
          <w:u w:val="single"/>
        </w:rPr>
        <w:t xml:space="preserve"> - Honorable Mention</w:t>
      </w:r>
      <w:r w:rsidRPr="00F43F79">
        <w:rPr>
          <w:rFonts w:eastAsia="Cambria" w:cstheme="minorHAnsi"/>
          <w:b/>
          <w:bCs/>
        </w:rPr>
        <w:t>:</w:t>
      </w:r>
    </w:p>
    <w:p w14:paraId="5DA98E28" w14:textId="1C6DE4DB" w:rsidR="00F43F79" w:rsidRPr="00F43F79" w:rsidRDefault="00F43F79" w:rsidP="00F43F79">
      <w:pPr>
        <w:spacing w:line="360" w:lineRule="auto"/>
        <w:jc w:val="both"/>
        <w:rPr>
          <w:rFonts w:cstheme="minorHAnsi"/>
        </w:rPr>
      </w:pPr>
      <w:r>
        <w:rPr>
          <w:rFonts w:eastAsia="Cambria" w:cstheme="minorHAnsi"/>
          <w:b/>
          <w:bCs/>
        </w:rPr>
        <w:t>ALABAMA</w:t>
      </w:r>
    </w:p>
    <w:p w14:paraId="67BD7B63" w14:textId="012CEC0E"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Jefferson County Department of Health, </w:t>
      </w:r>
      <w:r w:rsidRPr="00F43F79">
        <w:rPr>
          <w:rFonts w:asciiTheme="minorHAnsi" w:eastAsia="Cambria" w:hAnsiTheme="minorHAnsi" w:cstheme="minorHAnsi"/>
          <w:i/>
          <w:iCs/>
          <w:szCs w:val="24"/>
        </w:rPr>
        <w:t>Public Safety Expedited COVID-19 Testing Program</w:t>
      </w:r>
    </w:p>
    <w:p w14:paraId="6B337907" w14:textId="15B3591A" w:rsidR="00F43F79" w:rsidRPr="00F43F79" w:rsidRDefault="00F43F79" w:rsidP="00F43F79">
      <w:pPr>
        <w:spacing w:line="360" w:lineRule="auto"/>
        <w:jc w:val="both"/>
        <w:rPr>
          <w:rFonts w:cstheme="minorHAnsi"/>
        </w:rPr>
      </w:pPr>
      <w:r>
        <w:rPr>
          <w:rFonts w:eastAsia="Cambria" w:cstheme="minorHAnsi"/>
          <w:b/>
          <w:bCs/>
        </w:rPr>
        <w:t>ARIZONA</w:t>
      </w:r>
    </w:p>
    <w:p w14:paraId="741ED858" w14:textId="1D4A520C"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Maricopa County Environmental Services Department, </w:t>
      </w:r>
      <w:r w:rsidRPr="00F43F79">
        <w:rPr>
          <w:rFonts w:asciiTheme="minorHAnsi" w:eastAsia="Cambria" w:hAnsiTheme="minorHAnsi" w:cstheme="minorHAnsi"/>
          <w:i/>
          <w:iCs/>
          <w:szCs w:val="24"/>
        </w:rPr>
        <w:t>Introducing Virtual Food Safety Inspections at Long-Term Care and Other Food-Related Facilities</w:t>
      </w:r>
    </w:p>
    <w:p w14:paraId="5E5EAC97" w14:textId="18FACE01" w:rsidR="00F43F79" w:rsidRPr="00F43F79" w:rsidRDefault="00F43F79" w:rsidP="00F43F79">
      <w:pPr>
        <w:spacing w:line="360" w:lineRule="auto"/>
        <w:jc w:val="both"/>
        <w:rPr>
          <w:rFonts w:cstheme="minorHAnsi"/>
        </w:rPr>
      </w:pPr>
      <w:r>
        <w:rPr>
          <w:rFonts w:eastAsia="Cambria" w:cstheme="minorHAnsi"/>
          <w:b/>
          <w:bCs/>
        </w:rPr>
        <w:t>CALIFORNIA</w:t>
      </w:r>
    </w:p>
    <w:p w14:paraId="0F633AB7" w14:textId="2B6C7D34"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County of San Diego Health and Human Services Agency, </w:t>
      </w:r>
      <w:r w:rsidRPr="00F43F79">
        <w:rPr>
          <w:rFonts w:asciiTheme="minorHAnsi" w:eastAsia="Cambria" w:hAnsiTheme="minorHAnsi" w:cstheme="minorHAnsi"/>
          <w:i/>
          <w:iCs/>
          <w:szCs w:val="24"/>
        </w:rPr>
        <w:t xml:space="preserve">Community Health Worker Communication and Outreach Services </w:t>
      </w:r>
    </w:p>
    <w:p w14:paraId="6CD0345A" w14:textId="1C93CF0F" w:rsidR="00F43F79" w:rsidRPr="00F43F79" w:rsidRDefault="00F43F79" w:rsidP="00F62BF1">
      <w:pPr>
        <w:keepNext/>
        <w:keepLines/>
        <w:spacing w:line="360" w:lineRule="auto"/>
        <w:jc w:val="both"/>
        <w:rPr>
          <w:rFonts w:cstheme="minorHAnsi"/>
        </w:rPr>
      </w:pPr>
      <w:r>
        <w:rPr>
          <w:rFonts w:eastAsia="Cambria" w:cstheme="minorHAnsi"/>
          <w:b/>
          <w:bCs/>
        </w:rPr>
        <w:lastRenderedPageBreak/>
        <w:t>COLORADO</w:t>
      </w:r>
    </w:p>
    <w:p w14:paraId="0A75518A" w14:textId="77777777" w:rsidR="00F43F79" w:rsidRPr="00F43F79" w:rsidRDefault="00F43F79" w:rsidP="00F62BF1">
      <w:pPr>
        <w:pStyle w:val="ListParagraph"/>
        <w:keepNext/>
        <w:keepLines/>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Denver Public Health, </w:t>
      </w:r>
      <w:r w:rsidRPr="00F43F79">
        <w:rPr>
          <w:rFonts w:asciiTheme="minorHAnsi" w:eastAsia="Cambria" w:hAnsiTheme="minorHAnsi" w:cstheme="minorHAnsi"/>
          <w:i/>
          <w:iCs/>
          <w:szCs w:val="24"/>
        </w:rPr>
        <w:t>Innovative Data Integration Techniques to Streamline COVID Case Management</w:t>
      </w:r>
      <w:r w:rsidRPr="00F43F79">
        <w:rPr>
          <w:rFonts w:asciiTheme="minorHAnsi" w:eastAsia="Cambria" w:hAnsiTheme="minorHAnsi" w:cstheme="minorHAnsi"/>
          <w:szCs w:val="24"/>
        </w:rPr>
        <w:t xml:space="preserve"> </w:t>
      </w:r>
    </w:p>
    <w:p w14:paraId="2FC4639E" w14:textId="4AE4182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El Paso County Public Health, </w:t>
      </w:r>
      <w:r w:rsidRPr="00F43F79">
        <w:rPr>
          <w:rFonts w:asciiTheme="minorHAnsi" w:eastAsia="Cambria" w:hAnsiTheme="minorHAnsi" w:cstheme="minorHAnsi"/>
          <w:i/>
          <w:iCs/>
          <w:szCs w:val="24"/>
        </w:rPr>
        <w:t>COVID-19 Regional Recover Council: A Balanced Approach to Public and Economic Health</w:t>
      </w:r>
    </w:p>
    <w:p w14:paraId="1C2E6A4F" w14:textId="01339572" w:rsidR="00F43F79" w:rsidRPr="00F43F79" w:rsidRDefault="00F43F79" w:rsidP="00F43F79">
      <w:pPr>
        <w:spacing w:line="360" w:lineRule="auto"/>
        <w:jc w:val="both"/>
        <w:rPr>
          <w:rFonts w:cstheme="minorHAnsi"/>
        </w:rPr>
      </w:pPr>
      <w:r>
        <w:rPr>
          <w:rFonts w:eastAsia="Cambria" w:cstheme="minorHAnsi"/>
          <w:b/>
          <w:bCs/>
        </w:rPr>
        <w:t>FLORIDA</w:t>
      </w:r>
    </w:p>
    <w:p w14:paraId="3BB11E3C" w14:textId="77777777"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St. Lucie, </w:t>
      </w:r>
      <w:r w:rsidRPr="00F43F79">
        <w:rPr>
          <w:rFonts w:asciiTheme="minorHAnsi" w:eastAsia="Cambria" w:hAnsiTheme="minorHAnsi" w:cstheme="minorHAnsi"/>
          <w:i/>
          <w:iCs/>
          <w:szCs w:val="24"/>
        </w:rPr>
        <w:t>Drive Thru HIV/STI Testing</w:t>
      </w:r>
    </w:p>
    <w:p w14:paraId="30B104DB" w14:textId="20718BEC"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Florida Department of Health in Hillsborough County, </w:t>
      </w:r>
      <w:r w:rsidRPr="00F43F79">
        <w:rPr>
          <w:rFonts w:asciiTheme="minorHAnsi" w:eastAsia="Cambria" w:hAnsiTheme="minorHAnsi" w:cstheme="minorHAnsi"/>
          <w:i/>
          <w:iCs/>
          <w:szCs w:val="24"/>
        </w:rPr>
        <w:t>Transforming WIC Program Services to Provide Uninterrupted Access to Care</w:t>
      </w:r>
    </w:p>
    <w:p w14:paraId="12142159" w14:textId="3A6B605F" w:rsidR="00F43F79" w:rsidRPr="00F43F79" w:rsidRDefault="00F43F79" w:rsidP="00F43F79">
      <w:pPr>
        <w:spacing w:line="360" w:lineRule="auto"/>
        <w:jc w:val="both"/>
        <w:rPr>
          <w:rFonts w:cstheme="minorHAnsi"/>
        </w:rPr>
      </w:pPr>
      <w:r>
        <w:rPr>
          <w:rFonts w:eastAsia="Cambria" w:cstheme="minorHAnsi"/>
          <w:b/>
          <w:bCs/>
        </w:rPr>
        <w:t>GEORGIA</w:t>
      </w:r>
    </w:p>
    <w:p w14:paraId="0110431F" w14:textId="3D62599C"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Cobb &amp; Douglas Public Health, </w:t>
      </w:r>
      <w:r w:rsidRPr="00F43F79">
        <w:rPr>
          <w:rFonts w:asciiTheme="minorHAnsi" w:eastAsia="Cambria" w:hAnsiTheme="minorHAnsi" w:cstheme="minorHAnsi"/>
          <w:i/>
          <w:iCs/>
          <w:szCs w:val="24"/>
        </w:rPr>
        <w:t>Power in Truth: The 2020 Virtual Experience</w:t>
      </w:r>
    </w:p>
    <w:p w14:paraId="67EBADDD" w14:textId="5A5B303F" w:rsidR="00F43F79" w:rsidRPr="00F43F79" w:rsidRDefault="00F43F79" w:rsidP="00F43F79">
      <w:pPr>
        <w:spacing w:line="360" w:lineRule="auto"/>
        <w:jc w:val="both"/>
        <w:rPr>
          <w:rFonts w:cstheme="minorHAnsi"/>
        </w:rPr>
      </w:pPr>
      <w:r>
        <w:rPr>
          <w:rFonts w:eastAsia="Cambria" w:cstheme="minorHAnsi"/>
          <w:b/>
          <w:bCs/>
        </w:rPr>
        <w:t>MASSACHUSETTS</w:t>
      </w:r>
    </w:p>
    <w:p w14:paraId="78C2C576" w14:textId="19584B99"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Town of Brookline, </w:t>
      </w:r>
      <w:r w:rsidRPr="00F43F79">
        <w:rPr>
          <w:rFonts w:asciiTheme="minorHAnsi" w:eastAsia="Cambria" w:hAnsiTheme="minorHAnsi" w:cstheme="minorHAnsi"/>
          <w:i/>
          <w:iCs/>
          <w:szCs w:val="24"/>
        </w:rPr>
        <w:t>Brookline Department of Public Health</w:t>
      </w:r>
    </w:p>
    <w:p w14:paraId="631E496F" w14:textId="328DF7DE" w:rsidR="00F43F79" w:rsidRPr="00F43F79" w:rsidRDefault="00F43F79" w:rsidP="00F43F79">
      <w:pPr>
        <w:spacing w:line="360" w:lineRule="auto"/>
        <w:jc w:val="both"/>
        <w:rPr>
          <w:rFonts w:cstheme="minorHAnsi"/>
        </w:rPr>
      </w:pPr>
      <w:r>
        <w:rPr>
          <w:rFonts w:eastAsia="Cambria" w:cstheme="minorHAnsi"/>
          <w:b/>
          <w:bCs/>
        </w:rPr>
        <w:t>MICHIGAN</w:t>
      </w:r>
    </w:p>
    <w:p w14:paraId="7DB1D956" w14:textId="59BFDC7B"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Ionia County Health Department, </w:t>
      </w:r>
      <w:r w:rsidRPr="00F43F79">
        <w:rPr>
          <w:rFonts w:asciiTheme="minorHAnsi" w:eastAsia="Cambria" w:hAnsiTheme="minorHAnsi" w:cstheme="minorHAnsi"/>
          <w:i/>
          <w:iCs/>
          <w:szCs w:val="24"/>
        </w:rPr>
        <w:t>Providing Fruits and Vegetables to At-Risk Families during the COVID-19 Crisis</w:t>
      </w:r>
    </w:p>
    <w:p w14:paraId="2AEBB54D" w14:textId="28E4DDAA" w:rsidR="00F43F79" w:rsidRPr="00F43F79" w:rsidRDefault="00F43F79" w:rsidP="00F43F79">
      <w:pPr>
        <w:spacing w:line="360" w:lineRule="auto"/>
        <w:jc w:val="both"/>
        <w:rPr>
          <w:rFonts w:cstheme="minorHAnsi"/>
        </w:rPr>
      </w:pPr>
      <w:r>
        <w:rPr>
          <w:rFonts w:eastAsia="Cambria" w:cstheme="minorHAnsi"/>
          <w:b/>
          <w:bCs/>
        </w:rPr>
        <w:t>MINNESOTA</w:t>
      </w:r>
    </w:p>
    <w:p w14:paraId="4F9808D8" w14:textId="538F64F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Carlton County Public Health &amp; Human Services, </w:t>
      </w:r>
      <w:r w:rsidRPr="00F43F79">
        <w:rPr>
          <w:rFonts w:asciiTheme="minorHAnsi" w:eastAsia="Cambria" w:hAnsiTheme="minorHAnsi" w:cstheme="minorHAnsi"/>
          <w:i/>
          <w:iCs/>
          <w:szCs w:val="24"/>
        </w:rPr>
        <w:t>Drive Through Immunization Clinic</w:t>
      </w:r>
    </w:p>
    <w:p w14:paraId="16982734" w14:textId="1EE1D829" w:rsidR="00F43F79" w:rsidRPr="00F43F79" w:rsidRDefault="00F43F79" w:rsidP="00F43F79">
      <w:pPr>
        <w:spacing w:line="360" w:lineRule="auto"/>
        <w:jc w:val="both"/>
        <w:rPr>
          <w:rFonts w:cstheme="minorHAnsi"/>
        </w:rPr>
      </w:pPr>
      <w:r>
        <w:rPr>
          <w:rFonts w:eastAsia="Cambria" w:cstheme="minorHAnsi"/>
          <w:b/>
          <w:bCs/>
        </w:rPr>
        <w:t>NEW YORK</w:t>
      </w:r>
    </w:p>
    <w:p w14:paraId="2A5F4BD8" w14:textId="78E0A45A" w:rsidR="00F43F79" w:rsidRPr="00F43F79" w:rsidRDefault="00F43F79" w:rsidP="00F43F79">
      <w:pPr>
        <w:pStyle w:val="ListParagraph"/>
        <w:numPr>
          <w:ilvl w:val="0"/>
          <w:numId w:val="1"/>
        </w:numPr>
        <w:spacing w:line="36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Madison County Department of Health, </w:t>
      </w:r>
      <w:r w:rsidRPr="00F43F79">
        <w:rPr>
          <w:rFonts w:asciiTheme="minorHAnsi" w:eastAsia="Cambria" w:hAnsiTheme="minorHAnsi" w:cstheme="minorHAnsi"/>
          <w:i/>
          <w:iCs/>
          <w:szCs w:val="24"/>
        </w:rPr>
        <w:t>SARS-CoV2 Early Warning Surveillance Platform (SARS2-EWSP)</w:t>
      </w:r>
    </w:p>
    <w:p w14:paraId="24ED67CD" w14:textId="0DC6F512" w:rsidR="00F43F79" w:rsidRPr="00F43F79" w:rsidRDefault="00F43F79" w:rsidP="00F43F79">
      <w:pPr>
        <w:jc w:val="both"/>
        <w:rPr>
          <w:rFonts w:cstheme="minorHAnsi"/>
        </w:rPr>
      </w:pPr>
      <w:r>
        <w:rPr>
          <w:rFonts w:eastAsia="Cambria" w:cstheme="minorHAnsi"/>
          <w:b/>
          <w:bCs/>
        </w:rPr>
        <w:t>TEXAS</w:t>
      </w:r>
    </w:p>
    <w:p w14:paraId="42B3DE24" w14:textId="77777777" w:rsidR="00F43F79" w:rsidRPr="00F43F79" w:rsidRDefault="00F43F79" w:rsidP="00F43F79">
      <w:pPr>
        <w:pStyle w:val="ListParagraph"/>
        <w:numPr>
          <w:ilvl w:val="0"/>
          <w:numId w:val="1"/>
        </w:numPr>
        <w:spacing w:line="24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Houston Health Department, </w:t>
      </w:r>
      <w:r w:rsidRPr="00F43F79">
        <w:rPr>
          <w:rFonts w:asciiTheme="minorHAnsi" w:eastAsia="Cambria" w:hAnsiTheme="minorHAnsi" w:cstheme="minorHAnsi"/>
          <w:i/>
          <w:iCs/>
          <w:szCs w:val="24"/>
        </w:rPr>
        <w:t>Houston COVID-19 Testing Plan to Address Access and Equity</w:t>
      </w:r>
    </w:p>
    <w:p w14:paraId="095DED8A" w14:textId="77777777" w:rsidR="00F43F79" w:rsidRPr="00F43F79" w:rsidRDefault="00F43F79" w:rsidP="00F43F79">
      <w:pPr>
        <w:pStyle w:val="ListParagraph"/>
        <w:numPr>
          <w:ilvl w:val="0"/>
          <w:numId w:val="1"/>
        </w:numPr>
        <w:spacing w:line="24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Harris County Public Health, </w:t>
      </w:r>
      <w:r w:rsidRPr="00F43F79">
        <w:rPr>
          <w:rFonts w:asciiTheme="minorHAnsi" w:eastAsia="Cambria" w:hAnsiTheme="minorHAnsi" w:cstheme="minorHAnsi"/>
          <w:i/>
          <w:iCs/>
          <w:szCs w:val="24"/>
        </w:rPr>
        <w:t>Evaluating the COVID-19 Response through an In-Action Review (IAR)</w:t>
      </w:r>
    </w:p>
    <w:p w14:paraId="736E6E2B" w14:textId="77777777" w:rsidR="00F43F79" w:rsidRPr="00F43F79" w:rsidRDefault="00F43F79" w:rsidP="00F62BF1">
      <w:pPr>
        <w:keepNext/>
        <w:keepLines/>
        <w:jc w:val="both"/>
        <w:rPr>
          <w:rFonts w:cstheme="minorHAnsi"/>
        </w:rPr>
      </w:pPr>
      <w:r w:rsidRPr="00F43F79">
        <w:rPr>
          <w:rFonts w:eastAsia="Cambria" w:cstheme="minorHAnsi"/>
          <w:b/>
          <w:bCs/>
          <w:i/>
          <w:iCs/>
        </w:rPr>
        <w:lastRenderedPageBreak/>
        <w:t xml:space="preserve"> </w:t>
      </w:r>
    </w:p>
    <w:p w14:paraId="4CBBE8F1" w14:textId="5DC93E56" w:rsidR="00F43F79" w:rsidRPr="00F43F79" w:rsidRDefault="00F43F79" w:rsidP="00F62BF1">
      <w:pPr>
        <w:keepNext/>
        <w:keepLines/>
        <w:jc w:val="both"/>
        <w:rPr>
          <w:rFonts w:eastAsia="Cambria" w:cstheme="minorHAnsi"/>
          <w:b/>
          <w:bCs/>
        </w:rPr>
      </w:pPr>
      <w:r>
        <w:rPr>
          <w:rFonts w:eastAsia="Cambria" w:cstheme="minorHAnsi"/>
          <w:b/>
          <w:bCs/>
        </w:rPr>
        <w:t>VIRGINIA</w:t>
      </w:r>
    </w:p>
    <w:p w14:paraId="0CD35383" w14:textId="77777777" w:rsidR="00F43F79" w:rsidRPr="00F43F79" w:rsidRDefault="00F43F79" w:rsidP="00F62BF1">
      <w:pPr>
        <w:pStyle w:val="ListParagraph"/>
        <w:keepNext/>
        <w:keepLines/>
        <w:numPr>
          <w:ilvl w:val="0"/>
          <w:numId w:val="1"/>
        </w:numPr>
        <w:spacing w:line="240" w:lineRule="auto"/>
        <w:jc w:val="both"/>
        <w:rPr>
          <w:rFonts w:asciiTheme="minorHAnsi" w:eastAsia="Cambria" w:hAnsiTheme="minorHAnsi" w:cstheme="minorHAnsi"/>
          <w:szCs w:val="24"/>
        </w:rPr>
      </w:pPr>
      <w:r w:rsidRPr="00F43F79">
        <w:rPr>
          <w:rFonts w:asciiTheme="minorHAnsi" w:eastAsia="Cambria" w:hAnsiTheme="minorHAnsi" w:cstheme="minorHAnsi"/>
          <w:szCs w:val="24"/>
        </w:rPr>
        <w:t xml:space="preserve">Alexandria Health Department, </w:t>
      </w:r>
      <w:r w:rsidRPr="00F43F79">
        <w:rPr>
          <w:rFonts w:asciiTheme="minorHAnsi" w:eastAsia="Cambria" w:hAnsiTheme="minorHAnsi" w:cstheme="minorHAnsi"/>
          <w:i/>
          <w:iCs/>
          <w:szCs w:val="24"/>
        </w:rPr>
        <w:t>ALX Promise: Bridging Public Health and Economic Recovery</w:t>
      </w:r>
    </w:p>
    <w:p w14:paraId="4AAD0ED9" w14:textId="7D8611ED" w:rsidR="00F43F79" w:rsidRDefault="00F43F79" w:rsidP="00F43F79">
      <w:pPr>
        <w:spacing w:line="360" w:lineRule="auto"/>
      </w:pPr>
      <w:r w:rsidRPr="6131D2F7">
        <w:rPr>
          <w:rFonts w:eastAsia="Cambria" w:cs="Cambria"/>
          <w:b/>
          <w:bCs/>
        </w:rPr>
        <w:t xml:space="preserve"> </w:t>
      </w:r>
    </w:p>
    <w:p w14:paraId="1F7969A8" w14:textId="77777777" w:rsidR="00F43F79" w:rsidRDefault="00F43F79" w:rsidP="00F43F79">
      <w:pPr>
        <w:spacing w:line="360" w:lineRule="auto"/>
        <w:jc w:val="both"/>
        <w:rPr>
          <w:rFonts w:eastAsia="Cambria" w:cs="Cambria"/>
          <w:b/>
          <w:bCs/>
        </w:rPr>
      </w:pPr>
      <w:r w:rsidRPr="6131D2F7">
        <w:rPr>
          <w:rFonts w:eastAsia="Cambria" w:cs="Cambria"/>
          <w:b/>
          <w:bCs/>
        </w:rPr>
        <w:t>About NACCHO</w:t>
      </w:r>
    </w:p>
    <w:p w14:paraId="6C1F780A" w14:textId="47CCF475" w:rsidR="00F43F79" w:rsidRPr="00F43F79" w:rsidRDefault="00F43F79" w:rsidP="00F43F79">
      <w:pPr>
        <w:spacing w:line="360" w:lineRule="auto"/>
        <w:jc w:val="both"/>
        <w:rPr>
          <w:rFonts w:eastAsia="Cambria" w:cs="Cambria"/>
          <w:b/>
          <w:bCs/>
        </w:rPr>
      </w:pPr>
      <w:r w:rsidRPr="6131D2F7">
        <w:rPr>
          <w:rFonts w:eastAsia="Cambria" w:cs="Cambria"/>
        </w:rPr>
        <w:t xml:space="preserve">The National Association of County and City Health Officials (NACCHO) represents the nation’s nearly 3,000 local governmental health departments. These city, county, metropolitan, district, and tribal departments work every day to protect and promote health and well-being for all people in their communities. For more information about NACCHO, please visit </w:t>
      </w:r>
      <w:hyperlink r:id="rId16">
        <w:r w:rsidRPr="6131D2F7">
          <w:rPr>
            <w:rStyle w:val="Hyperlink"/>
            <w:rFonts w:eastAsia="Cambria" w:cs="Cambria"/>
          </w:rPr>
          <w:t>www.naccho.org</w:t>
        </w:r>
      </w:hyperlink>
      <w:r w:rsidRPr="6131D2F7">
        <w:rPr>
          <w:rFonts w:eastAsia="Cambria" w:cs="Cambria"/>
        </w:rPr>
        <w:t>.</w:t>
      </w:r>
    </w:p>
    <w:p w14:paraId="0E4D1657" w14:textId="77777777" w:rsidR="00F43F79" w:rsidRDefault="00F43F79" w:rsidP="00F43F79">
      <w:pPr>
        <w:spacing w:line="360" w:lineRule="auto"/>
        <w:jc w:val="both"/>
      </w:pPr>
      <w:r w:rsidRPr="6131D2F7">
        <w:rPr>
          <w:rFonts w:eastAsia="Cambria" w:cs="Cambria"/>
        </w:rPr>
        <w:t xml:space="preserve"> </w:t>
      </w:r>
    </w:p>
    <w:p w14:paraId="0F240A06" w14:textId="77777777" w:rsidR="00123567" w:rsidRPr="00F62BF1" w:rsidRDefault="00123567" w:rsidP="00F43F79">
      <w:pPr>
        <w:spacing w:line="360" w:lineRule="auto"/>
        <w:jc w:val="both"/>
        <w:rPr>
          <w:b/>
          <w:bCs/>
        </w:rPr>
      </w:pPr>
      <w:proofErr w:type="spellStart"/>
      <w:r w:rsidRPr="00F62BF1">
        <w:rPr>
          <w:b/>
          <w:bCs/>
        </w:rPr>
        <w:t>Contakt</w:t>
      </w:r>
      <w:proofErr w:type="spellEnd"/>
      <w:r w:rsidRPr="00F62BF1">
        <w:rPr>
          <w:b/>
          <w:bCs/>
        </w:rPr>
        <w:t xml:space="preserve"> World – Tracker Transaction</w:t>
      </w:r>
    </w:p>
    <w:p w14:paraId="628F119C" w14:textId="74A1312A" w:rsidR="00123567" w:rsidRDefault="00123567" w:rsidP="00F43F79">
      <w:pPr>
        <w:spacing w:line="360" w:lineRule="auto"/>
        <w:jc w:val="both"/>
      </w:pPr>
      <w:r>
        <w:t xml:space="preserve">Tracker and </w:t>
      </w:r>
      <w:proofErr w:type="spellStart"/>
      <w:r>
        <w:t>Contakt</w:t>
      </w:r>
      <w:proofErr w:type="spellEnd"/>
      <w:r>
        <w:t xml:space="preserve"> World are parties to a definitive amalgamation agreement pursuant to which Tracker will indirectly acquire (the “Acquisition”) a 100% interest in </w:t>
      </w:r>
      <w:proofErr w:type="spellStart"/>
      <w:r>
        <w:t>Contakt</w:t>
      </w:r>
      <w:proofErr w:type="spellEnd"/>
      <w:r>
        <w:t xml:space="preserve"> World. For further information respecting the Acquisition, please refer to the Company’s news release dated December 8, 2020. Trading of Tracker’s shares on the Canadian Securities Exchange (the “CSE”) has been halted in connection with the announcement of the Acquisition and is not expected to resume until the CSE has approved a Form 2A Listing Statement for the resulting issuer from the Acquisition. There can be no assurance that the Acquisition will be completed on the terms proposed in the amalgamation agreement or at all.</w:t>
      </w:r>
    </w:p>
    <w:p w14:paraId="66E7FFCF" w14:textId="77777777" w:rsidR="00123567" w:rsidRDefault="00123567" w:rsidP="00F43F79">
      <w:pPr>
        <w:spacing w:line="360" w:lineRule="auto"/>
        <w:jc w:val="both"/>
        <w:rPr>
          <w:rFonts w:eastAsia="Cambria" w:cs="Cambria"/>
          <w:b/>
          <w:bCs/>
        </w:rPr>
      </w:pPr>
    </w:p>
    <w:p w14:paraId="3E5EC113" w14:textId="58918B05" w:rsidR="00F43F79" w:rsidRDefault="00F43F79" w:rsidP="00F43F79">
      <w:pPr>
        <w:spacing w:line="360" w:lineRule="auto"/>
        <w:jc w:val="both"/>
      </w:pPr>
      <w:r w:rsidRPr="6131D2F7">
        <w:rPr>
          <w:rFonts w:eastAsia="Cambria" w:cs="Cambria"/>
          <w:b/>
          <w:bCs/>
        </w:rPr>
        <w:t xml:space="preserve">About </w:t>
      </w:r>
      <w:proofErr w:type="spellStart"/>
      <w:r w:rsidRPr="6131D2F7">
        <w:rPr>
          <w:rFonts w:eastAsia="Cambria" w:cs="Cambria"/>
          <w:b/>
          <w:bCs/>
        </w:rPr>
        <w:t>Contakt</w:t>
      </w:r>
      <w:proofErr w:type="spellEnd"/>
      <w:r w:rsidRPr="6131D2F7">
        <w:rPr>
          <w:rFonts w:eastAsia="Cambria" w:cs="Cambria"/>
          <w:b/>
          <w:bCs/>
        </w:rPr>
        <w:t xml:space="preserve"> World </w:t>
      </w:r>
    </w:p>
    <w:p w14:paraId="5421DBF4" w14:textId="0936E266" w:rsidR="00F43F79" w:rsidRDefault="00E212A0" w:rsidP="003C2C07">
      <w:pPr>
        <w:spacing w:line="360" w:lineRule="auto"/>
        <w:jc w:val="both"/>
        <w:rPr>
          <w:rFonts w:eastAsia="Cambria" w:cs="Cambria"/>
        </w:rPr>
      </w:pPr>
      <w:hyperlink r:id="rId17" w:history="1">
        <w:r w:rsidR="00F43F79" w:rsidRPr="00557A72">
          <w:rPr>
            <w:rStyle w:val="Hyperlink"/>
            <w:rFonts w:eastAsia="Cambria" w:cs="Cambria"/>
          </w:rPr>
          <w:t>Contakt World</w:t>
        </w:r>
      </w:hyperlink>
      <w:r w:rsidR="00F43F79" w:rsidRPr="6131D2F7">
        <w:rPr>
          <w:rFonts w:eastAsia="Cambria" w:cs="Cambria"/>
        </w:rPr>
        <w:t xml:space="preserve"> is </w:t>
      </w:r>
      <w:r w:rsidR="00F43F79">
        <w:rPr>
          <w:rFonts w:eastAsia="Cambria" w:cs="Cambria"/>
        </w:rPr>
        <w:t xml:space="preserve">the first and only SaaS platform for public health that seamlessly links community engagement </w:t>
      </w:r>
      <w:r w:rsidR="00557A72">
        <w:rPr>
          <w:rFonts w:eastAsia="Cambria" w:cs="Cambria"/>
        </w:rPr>
        <w:t xml:space="preserve">and </w:t>
      </w:r>
      <w:r w:rsidR="003C2C07">
        <w:rPr>
          <w:rFonts w:eastAsia="Cambria" w:cs="Cambria"/>
        </w:rPr>
        <w:t>ad</w:t>
      </w:r>
      <w:r w:rsidR="00557A72">
        <w:rPr>
          <w:rFonts w:eastAsia="Cambria" w:cs="Cambria"/>
        </w:rPr>
        <w:t>vertising</w:t>
      </w:r>
      <w:r w:rsidR="003C2C07">
        <w:rPr>
          <w:rFonts w:eastAsia="Cambria" w:cs="Cambria"/>
        </w:rPr>
        <w:t xml:space="preserve"> </w:t>
      </w:r>
      <w:r w:rsidR="00F43F79">
        <w:rPr>
          <w:rFonts w:eastAsia="Cambria" w:cs="Cambria"/>
        </w:rPr>
        <w:t>with case management</w:t>
      </w:r>
      <w:r w:rsidR="003C2C07">
        <w:rPr>
          <w:rFonts w:eastAsia="Cambria" w:cs="Cambria"/>
        </w:rPr>
        <w:t xml:space="preserve"> </w:t>
      </w:r>
      <w:r w:rsidR="00557A72">
        <w:rPr>
          <w:rFonts w:eastAsia="Cambria" w:cs="Cambria"/>
        </w:rPr>
        <w:t xml:space="preserve">software and communications </w:t>
      </w:r>
      <w:r w:rsidR="003C2C07">
        <w:rPr>
          <w:rFonts w:eastAsia="Cambria" w:cs="Cambria"/>
        </w:rPr>
        <w:t xml:space="preserve">to improve </w:t>
      </w:r>
      <w:r w:rsidR="00557A72">
        <w:rPr>
          <w:rFonts w:eastAsia="Cambria" w:cs="Cambria"/>
        </w:rPr>
        <w:t xml:space="preserve">all </w:t>
      </w:r>
      <w:r w:rsidR="003C2C07">
        <w:rPr>
          <w:rFonts w:eastAsia="Cambria" w:cs="Cambria"/>
        </w:rPr>
        <w:t>health outcomes</w:t>
      </w:r>
      <w:r w:rsidR="00F43F79" w:rsidRPr="6131D2F7">
        <w:rPr>
          <w:rFonts w:eastAsia="Cambria" w:cs="Cambria"/>
        </w:rPr>
        <w:t xml:space="preserve">.  </w:t>
      </w:r>
      <w:r w:rsidR="00557A72">
        <w:rPr>
          <w:rFonts w:eastAsia="Cambria" w:cs="Cambria"/>
        </w:rPr>
        <w:t>Its</w:t>
      </w:r>
      <w:r w:rsidR="00F43F79">
        <w:rPr>
          <w:rFonts w:eastAsia="Cambria" w:cs="Cambria"/>
        </w:rPr>
        <w:t xml:space="preserve"> award-winning </w:t>
      </w:r>
      <w:r w:rsidR="003C2C07">
        <w:rPr>
          <w:rFonts w:eastAsia="Cambria" w:cs="Cambria"/>
        </w:rPr>
        <w:t xml:space="preserve">risk management </w:t>
      </w:r>
      <w:r w:rsidR="00F43F79">
        <w:rPr>
          <w:rFonts w:eastAsia="Cambria" w:cs="Cambria"/>
        </w:rPr>
        <w:t>software (</w:t>
      </w:r>
      <w:hyperlink r:id="rId18" w:history="1">
        <w:r w:rsidR="00F43F79" w:rsidRPr="003C2C07">
          <w:rPr>
            <w:rStyle w:val="Hyperlink"/>
            <w:rFonts w:eastAsia="Cambria" w:cs="Cambria"/>
          </w:rPr>
          <w:t>smart health RM</w:t>
        </w:r>
      </w:hyperlink>
      <w:r w:rsidR="00F43F79">
        <w:rPr>
          <w:rFonts w:eastAsia="Cambria" w:cs="Cambria"/>
        </w:rPr>
        <w:t>)</w:t>
      </w:r>
      <w:r w:rsidR="003C2C07">
        <w:rPr>
          <w:rFonts w:eastAsia="Cambria" w:cs="Cambria"/>
        </w:rPr>
        <w:t xml:space="preserve"> </w:t>
      </w:r>
      <w:r w:rsidR="00557A72">
        <w:rPr>
          <w:rFonts w:eastAsia="Cambria" w:cs="Cambria"/>
        </w:rPr>
        <w:t>combines with</w:t>
      </w:r>
      <w:r w:rsidR="003C2C07">
        <w:rPr>
          <w:rFonts w:eastAsia="Cambria" w:cs="Cambria"/>
        </w:rPr>
        <w:t xml:space="preserve"> time-tested strategies and vibrant creative to influence up to </w:t>
      </w:r>
      <w:r w:rsidR="00F43F79">
        <w:rPr>
          <w:rFonts w:eastAsia="Cambria" w:cs="Cambria"/>
        </w:rPr>
        <w:t>250,000,000 American’s monthly across all</w:t>
      </w:r>
      <w:r w:rsidR="003C2C07">
        <w:rPr>
          <w:rFonts w:eastAsia="Cambria" w:cs="Cambria"/>
        </w:rPr>
        <w:t xml:space="preserve"> advertising</w:t>
      </w:r>
      <w:r w:rsidR="00F43F79">
        <w:rPr>
          <w:rFonts w:eastAsia="Cambria" w:cs="Cambria"/>
        </w:rPr>
        <w:t xml:space="preserve"> mediums</w:t>
      </w:r>
      <w:r w:rsidR="00557A72">
        <w:rPr>
          <w:rFonts w:eastAsia="Cambria" w:cs="Cambria"/>
        </w:rPr>
        <w:t>, tracked</w:t>
      </w:r>
      <w:r w:rsidR="003C2C07">
        <w:rPr>
          <w:rFonts w:eastAsia="Cambria" w:cs="Cambria"/>
        </w:rPr>
        <w:t xml:space="preserve"> with 30+ analytics tools </w:t>
      </w:r>
      <w:r w:rsidR="00F43F79">
        <w:rPr>
          <w:rFonts w:eastAsia="Cambria" w:cs="Cambria"/>
        </w:rPr>
        <w:t>(</w:t>
      </w:r>
      <w:hyperlink r:id="rId19" w:history="1">
        <w:r w:rsidR="00F43F79" w:rsidRPr="003C2C07">
          <w:rPr>
            <w:rStyle w:val="Hyperlink"/>
            <w:rFonts w:eastAsia="Cambria" w:cs="Cambria"/>
          </w:rPr>
          <w:t>engagency</w:t>
        </w:r>
      </w:hyperlink>
      <w:r w:rsidR="00F43F79">
        <w:rPr>
          <w:rFonts w:eastAsia="Cambria" w:cs="Cambria"/>
        </w:rPr>
        <w:t xml:space="preserve">). </w:t>
      </w:r>
      <w:r w:rsidR="003C2C07">
        <w:rPr>
          <w:rFonts w:eastAsia="Cambria" w:cs="Cambria"/>
        </w:rPr>
        <w:t xml:space="preserve">Contakt World’s goals include scaling the </w:t>
      </w:r>
      <w:hyperlink r:id="rId20" w:history="1">
        <w:r w:rsidR="003C2C07" w:rsidRPr="003C2C07">
          <w:rPr>
            <w:rStyle w:val="Hyperlink"/>
            <w:rFonts w:eastAsia="Cambria" w:cs="Cambria"/>
          </w:rPr>
          <w:t>Health Equity Tracker Project</w:t>
        </w:r>
      </w:hyperlink>
      <w:r w:rsidR="00557A72">
        <w:rPr>
          <w:rFonts w:eastAsia="Cambria" w:cs="Cambria"/>
        </w:rPr>
        <w:t xml:space="preserve"> via </w:t>
      </w:r>
      <w:hyperlink r:id="rId21" w:history="1">
        <w:r w:rsidR="00557A72" w:rsidRPr="00557A72">
          <w:rPr>
            <w:rStyle w:val="Hyperlink"/>
            <w:rFonts w:eastAsia="Cambria" w:cs="Cambria"/>
          </w:rPr>
          <w:t>smart health RM</w:t>
        </w:r>
      </w:hyperlink>
      <w:r w:rsidR="00557A72">
        <w:rPr>
          <w:rFonts w:eastAsia="Cambria" w:cs="Cambria"/>
        </w:rPr>
        <w:t xml:space="preserve"> to all local health agencies</w:t>
      </w:r>
      <w:r w:rsidR="003C2C07">
        <w:rPr>
          <w:rFonts w:eastAsia="Cambria" w:cs="Cambria"/>
        </w:rPr>
        <w:t xml:space="preserve">, </w:t>
      </w:r>
      <w:r w:rsidR="00557A72">
        <w:rPr>
          <w:rFonts w:eastAsia="Cambria" w:cs="Cambria"/>
        </w:rPr>
        <w:t>improving vaccination rates through sole-source “Vaccinate with Confidence”</w:t>
      </w:r>
      <w:r w:rsidR="003C2C07">
        <w:rPr>
          <w:rFonts w:eastAsia="Cambria" w:cs="Cambria"/>
        </w:rPr>
        <w:t xml:space="preserve"> advertising campaigns, and securely linking local health agencies, healthcare </w:t>
      </w:r>
      <w:r w:rsidR="003C2C07">
        <w:rPr>
          <w:rFonts w:eastAsia="Cambria" w:cs="Cambria"/>
        </w:rPr>
        <w:lastRenderedPageBreak/>
        <w:t>providers, and long-term care facilities through its platform to improve disease response</w:t>
      </w:r>
      <w:r w:rsidR="00557A72">
        <w:rPr>
          <w:rFonts w:eastAsia="Cambria" w:cs="Cambria"/>
        </w:rPr>
        <w:t xml:space="preserve"> in partnership with leading universities</w:t>
      </w:r>
      <w:r w:rsidR="003C2C07">
        <w:rPr>
          <w:rFonts w:eastAsia="Cambria" w:cs="Cambria"/>
        </w:rPr>
        <w:t xml:space="preserve">. </w:t>
      </w:r>
      <w:r w:rsidR="00F43F79" w:rsidRPr="6131D2F7">
        <w:rPr>
          <w:rFonts w:eastAsia="Cambria" w:cs="Cambria"/>
        </w:rPr>
        <w:t xml:space="preserve">For more information about Contakt World, please visit </w:t>
      </w:r>
      <w:hyperlink r:id="rId22">
        <w:r w:rsidR="00F43F79" w:rsidRPr="6131D2F7">
          <w:rPr>
            <w:rStyle w:val="Hyperlink"/>
            <w:rFonts w:eastAsia="Cambria" w:cs="Cambria"/>
          </w:rPr>
          <w:t>www.contakt.world</w:t>
        </w:r>
      </w:hyperlink>
      <w:r w:rsidR="00F43F79" w:rsidRPr="6131D2F7">
        <w:rPr>
          <w:rFonts w:eastAsia="Cambria" w:cs="Cambria"/>
        </w:rPr>
        <w:t>.</w:t>
      </w:r>
    </w:p>
    <w:p w14:paraId="19981CAE" w14:textId="58F2282D" w:rsidR="00147C4D" w:rsidRDefault="00147C4D" w:rsidP="003C2C07">
      <w:pPr>
        <w:spacing w:line="360" w:lineRule="auto"/>
        <w:jc w:val="both"/>
      </w:pPr>
    </w:p>
    <w:p w14:paraId="75C494DF" w14:textId="77777777" w:rsidR="00123567" w:rsidRPr="00F62BF1" w:rsidRDefault="00123567" w:rsidP="00F62BF1">
      <w:pPr>
        <w:spacing w:line="360" w:lineRule="auto"/>
        <w:jc w:val="both"/>
        <w:rPr>
          <w:rFonts w:eastAsia="Cambria" w:cs="Cambria"/>
          <w:b/>
          <w:bCs/>
        </w:rPr>
      </w:pPr>
      <w:r w:rsidRPr="00F62BF1">
        <w:rPr>
          <w:rFonts w:eastAsia="Cambria" w:cs="Cambria"/>
          <w:b/>
          <w:bCs/>
        </w:rPr>
        <w:t>About Tracker Ventures Corp.</w:t>
      </w:r>
    </w:p>
    <w:p w14:paraId="11901BF6" w14:textId="77777777" w:rsidR="00123567" w:rsidRPr="00F62BF1" w:rsidRDefault="00123567" w:rsidP="00F62BF1">
      <w:pPr>
        <w:pStyle w:val="NormalWeb"/>
        <w:shd w:val="clear" w:color="auto" w:fill="FFFFFF"/>
        <w:spacing w:before="0" w:beforeAutospacing="0" w:after="150" w:afterAutospacing="0" w:line="360" w:lineRule="auto"/>
        <w:jc w:val="both"/>
        <w:rPr>
          <w:rFonts w:asciiTheme="minorHAnsi" w:hAnsiTheme="minorHAnsi" w:cstheme="minorHAnsi"/>
        </w:rPr>
      </w:pPr>
      <w:r w:rsidRPr="00F62BF1">
        <w:rPr>
          <w:rFonts w:asciiTheme="minorHAnsi" w:hAnsiTheme="minorHAnsi" w:cstheme="minorHAnsi"/>
        </w:rPr>
        <w:t>Tracker Ventures (</w:t>
      </w:r>
      <w:proofErr w:type="gramStart"/>
      <w:r w:rsidRPr="00F62BF1">
        <w:rPr>
          <w:rFonts w:asciiTheme="minorHAnsi" w:hAnsiTheme="minorHAnsi" w:cstheme="minorHAnsi"/>
        </w:rPr>
        <w:t>CSE:TKR</w:t>
      </w:r>
      <w:proofErr w:type="gramEnd"/>
      <w:r w:rsidRPr="00F62BF1">
        <w:rPr>
          <w:rFonts w:asciiTheme="minorHAnsi" w:hAnsiTheme="minorHAnsi" w:cstheme="minorHAnsi"/>
        </w:rPr>
        <w:t>; OTC:TLOOF; FWB: B2I) is an analytics software company that leverages blockchain and digital asset technology to transform and modernize multiple industries. Tracker is taking a diversified approach to the analytics and technology space, delivering practical solutions in the health, finance, logistics and pharmaceutical industries. The Company's turnkey real-time tracking solutions offer the very latest in IoT and AI, providing valuable data and business intelligence to some of the world's leading brands. For more information, please visit </w:t>
      </w:r>
      <w:hyperlink r:id="rId23" w:history="1">
        <w:r w:rsidRPr="00F62BF1">
          <w:rPr>
            <w:rStyle w:val="Hyperlink"/>
            <w:rFonts w:asciiTheme="minorHAnsi" w:hAnsiTheme="minorHAnsi" w:cstheme="minorHAnsi"/>
            <w:color w:val="auto"/>
          </w:rPr>
          <w:t>www.tkrventures.com</w:t>
        </w:r>
      </w:hyperlink>
      <w:r w:rsidRPr="00F62BF1">
        <w:rPr>
          <w:rFonts w:asciiTheme="minorHAnsi" w:hAnsiTheme="minorHAnsi" w:cstheme="minorHAnsi"/>
        </w:rPr>
        <w:t>.</w:t>
      </w:r>
    </w:p>
    <w:p w14:paraId="50C5EC3E" w14:textId="77777777" w:rsidR="00123567" w:rsidRPr="00F62BF1" w:rsidRDefault="00123567" w:rsidP="00274003">
      <w:pPr>
        <w:jc w:val="both"/>
        <w:rPr>
          <w:b/>
          <w:bCs/>
          <w:i/>
          <w:iCs/>
        </w:rPr>
      </w:pPr>
      <w:r w:rsidRPr="00F62BF1">
        <w:rPr>
          <w:b/>
          <w:bCs/>
          <w:i/>
          <w:iCs/>
        </w:rPr>
        <w:t>Tracker Ventures Contact</w:t>
      </w:r>
    </w:p>
    <w:p w14:paraId="3987FADB" w14:textId="17FFC8AE" w:rsidR="00123567" w:rsidRDefault="00F62BF1" w:rsidP="00274003">
      <w:pPr>
        <w:jc w:val="both"/>
      </w:pPr>
      <w:r>
        <w:t>Zayn Kalyan</w:t>
      </w:r>
    </w:p>
    <w:p w14:paraId="0C87CEC4" w14:textId="4AC26D91" w:rsidR="00123567" w:rsidRDefault="00123567" w:rsidP="00274003">
      <w:pPr>
        <w:jc w:val="both"/>
      </w:pPr>
      <w:r>
        <w:t>C</w:t>
      </w:r>
      <w:r w:rsidR="00F62BF1">
        <w:t>F</w:t>
      </w:r>
      <w:r>
        <w:t>O and Director</w:t>
      </w:r>
    </w:p>
    <w:p w14:paraId="41FAD5ED" w14:textId="1FF2208E" w:rsidR="00D761C0" w:rsidRDefault="00123567" w:rsidP="00274003">
      <w:pPr>
        <w:jc w:val="both"/>
      </w:pPr>
      <w:r>
        <w:t xml:space="preserve">Direct: </w:t>
      </w:r>
      <w:r w:rsidR="00F62BF1">
        <w:t>778-938-3367</w:t>
      </w:r>
    </w:p>
    <w:p w14:paraId="0638687A" w14:textId="77777777" w:rsidR="00123567" w:rsidRDefault="00123567" w:rsidP="00274003">
      <w:pPr>
        <w:jc w:val="both"/>
      </w:pPr>
    </w:p>
    <w:p w14:paraId="103060F8" w14:textId="2C0F4F97" w:rsidR="00D761C0" w:rsidRPr="00557A72" w:rsidRDefault="00557A72" w:rsidP="00274003">
      <w:pPr>
        <w:jc w:val="both"/>
        <w:rPr>
          <w:b/>
          <w:bCs/>
          <w:i/>
          <w:iCs/>
        </w:rPr>
      </w:pPr>
      <w:r>
        <w:rPr>
          <w:b/>
          <w:bCs/>
          <w:i/>
          <w:iCs/>
        </w:rPr>
        <w:t xml:space="preserve">Contakt World </w:t>
      </w:r>
      <w:r w:rsidRPr="00557A72">
        <w:rPr>
          <w:b/>
          <w:bCs/>
          <w:i/>
          <w:iCs/>
        </w:rPr>
        <w:t xml:space="preserve">Press </w:t>
      </w:r>
      <w:r w:rsidR="00147C4D">
        <w:rPr>
          <w:b/>
          <w:bCs/>
          <w:i/>
          <w:iCs/>
        </w:rPr>
        <w:t xml:space="preserve">&amp; Investor </w:t>
      </w:r>
      <w:r w:rsidRPr="00557A72">
        <w:rPr>
          <w:b/>
          <w:bCs/>
          <w:i/>
          <w:iCs/>
        </w:rPr>
        <w:t>Inquiries</w:t>
      </w:r>
    </w:p>
    <w:p w14:paraId="221B44D4" w14:textId="0B2C31BD" w:rsidR="00557A72" w:rsidRDefault="00557A72" w:rsidP="00274003">
      <w:pPr>
        <w:jc w:val="both"/>
      </w:pPr>
    </w:p>
    <w:p w14:paraId="397CE665" w14:textId="26D7A900" w:rsidR="00557A72" w:rsidRDefault="00147C4D" w:rsidP="00274003">
      <w:pPr>
        <w:jc w:val="both"/>
      </w:pPr>
      <w:r>
        <w:t>MZ Group</w:t>
      </w:r>
    </w:p>
    <w:p w14:paraId="1F648B30" w14:textId="3A7B2E6E" w:rsidR="00147C4D" w:rsidRDefault="00147C4D" w:rsidP="00274003">
      <w:pPr>
        <w:jc w:val="both"/>
      </w:pPr>
      <w:hyperlink r:id="rId24" w:history="1">
        <w:r w:rsidRPr="00CD6560">
          <w:rPr>
            <w:rStyle w:val="Hyperlink"/>
          </w:rPr>
          <w:t>contakt@mzgroup.us</w:t>
        </w:r>
      </w:hyperlink>
    </w:p>
    <w:p w14:paraId="08D746F4" w14:textId="77777777" w:rsidR="00147C4D" w:rsidRDefault="00147C4D" w:rsidP="00274003">
      <w:pPr>
        <w:jc w:val="both"/>
      </w:pPr>
    </w:p>
    <w:p w14:paraId="34B30C08" w14:textId="3915F1A4" w:rsidR="00557A72" w:rsidRPr="00557A72" w:rsidRDefault="00557A72" w:rsidP="00274003">
      <w:pPr>
        <w:jc w:val="both"/>
        <w:rPr>
          <w:b/>
          <w:bCs/>
          <w:i/>
          <w:iCs/>
        </w:rPr>
      </w:pPr>
      <w:proofErr w:type="spellStart"/>
      <w:r>
        <w:rPr>
          <w:b/>
          <w:bCs/>
          <w:i/>
          <w:iCs/>
        </w:rPr>
        <w:t>Contakt</w:t>
      </w:r>
      <w:proofErr w:type="spellEnd"/>
      <w:r>
        <w:rPr>
          <w:b/>
          <w:bCs/>
          <w:i/>
          <w:iCs/>
        </w:rPr>
        <w:t xml:space="preserve"> World </w:t>
      </w:r>
      <w:r w:rsidRPr="00557A72">
        <w:rPr>
          <w:b/>
          <w:bCs/>
          <w:i/>
          <w:iCs/>
        </w:rPr>
        <w:t>Local Health Agency Inquiries</w:t>
      </w:r>
    </w:p>
    <w:p w14:paraId="5B09C9CD" w14:textId="218FA181" w:rsidR="00557A72" w:rsidRDefault="00557A72" w:rsidP="00274003">
      <w:pPr>
        <w:jc w:val="both"/>
      </w:pPr>
    </w:p>
    <w:p w14:paraId="1E339826" w14:textId="4DD4DDAD" w:rsidR="00557A72" w:rsidRDefault="00557A72" w:rsidP="00274003">
      <w:pPr>
        <w:jc w:val="both"/>
      </w:pPr>
      <w:r>
        <w:t>Betsy Doling</w:t>
      </w:r>
    </w:p>
    <w:p w14:paraId="7A4906FE" w14:textId="3CAEFB0F" w:rsidR="00557A72" w:rsidRDefault="00E212A0" w:rsidP="00274003">
      <w:pPr>
        <w:jc w:val="both"/>
        <w:rPr>
          <w:rStyle w:val="Hyperlink"/>
        </w:rPr>
      </w:pPr>
      <w:hyperlink r:id="rId25" w:history="1">
        <w:r w:rsidR="00557A72" w:rsidRPr="00CD6560">
          <w:rPr>
            <w:rStyle w:val="Hyperlink"/>
          </w:rPr>
          <w:t>betsy@contakt.world</w:t>
        </w:r>
      </w:hyperlink>
    </w:p>
    <w:p w14:paraId="1FE243CB" w14:textId="77777777" w:rsidR="00F36B35" w:rsidRDefault="00F36B35" w:rsidP="00274003">
      <w:pPr>
        <w:jc w:val="both"/>
      </w:pPr>
    </w:p>
    <w:p w14:paraId="0AFC3C42" w14:textId="77777777" w:rsidR="00F36B35" w:rsidRPr="00F62BF1" w:rsidRDefault="00F36B35" w:rsidP="00F62BF1">
      <w:pPr>
        <w:jc w:val="both"/>
        <w:rPr>
          <w:b/>
          <w:bCs/>
          <w:i/>
          <w:iCs/>
        </w:rPr>
      </w:pPr>
      <w:proofErr w:type="spellStart"/>
      <w:r w:rsidRPr="00F62BF1">
        <w:rPr>
          <w:b/>
          <w:bCs/>
          <w:i/>
          <w:iCs/>
        </w:rPr>
        <w:t>Contakt</w:t>
      </w:r>
      <w:proofErr w:type="spellEnd"/>
      <w:r w:rsidRPr="00F62BF1">
        <w:rPr>
          <w:b/>
          <w:bCs/>
          <w:i/>
          <w:iCs/>
        </w:rPr>
        <w:t xml:space="preserve"> World Retail + Institutional Investor Inquiries</w:t>
      </w:r>
    </w:p>
    <w:p w14:paraId="69A10479" w14:textId="0E1FDB20" w:rsidR="00F36B35" w:rsidRDefault="00F36B35" w:rsidP="00F62BF1">
      <w:pPr>
        <w:jc w:val="both"/>
      </w:pPr>
      <w:r>
        <w:br/>
        <w:t xml:space="preserve">Greg </w:t>
      </w:r>
      <w:proofErr w:type="spellStart"/>
      <w:r>
        <w:t>Buteau</w:t>
      </w:r>
      <w:proofErr w:type="spellEnd"/>
    </w:p>
    <w:p w14:paraId="61358B98" w14:textId="77777777" w:rsidR="00F36B35" w:rsidRPr="00F62BF1" w:rsidRDefault="00F36B35" w:rsidP="00F62BF1">
      <w:pPr>
        <w:jc w:val="both"/>
        <w:rPr>
          <w:rStyle w:val="Hyperlink"/>
        </w:rPr>
      </w:pPr>
      <w:hyperlink r:id="rId26" w:history="1">
        <w:r w:rsidRPr="00CD6560">
          <w:rPr>
            <w:rStyle w:val="Hyperlink"/>
          </w:rPr>
          <w:t>greg@contakt.world</w:t>
        </w:r>
      </w:hyperlink>
    </w:p>
    <w:p w14:paraId="03482E55" w14:textId="14732452" w:rsidR="00557A72" w:rsidRDefault="00557A72" w:rsidP="00274003">
      <w:pPr>
        <w:jc w:val="both"/>
      </w:pPr>
    </w:p>
    <w:p w14:paraId="4D676350" w14:textId="77777777" w:rsidR="00123567" w:rsidRPr="00F62BF1" w:rsidRDefault="00123567" w:rsidP="00F62BF1">
      <w:pPr>
        <w:jc w:val="both"/>
        <w:rPr>
          <w:b/>
          <w:bCs/>
        </w:rPr>
      </w:pPr>
      <w:r w:rsidRPr="00F62BF1">
        <w:rPr>
          <w:b/>
          <w:bCs/>
        </w:rPr>
        <w:t>Forward Looking-Statements</w:t>
      </w:r>
    </w:p>
    <w:p w14:paraId="6ADFA49B" w14:textId="73FE1460" w:rsidR="00274003" w:rsidRDefault="00123567" w:rsidP="00F62BF1">
      <w:pPr>
        <w:pStyle w:val="NormalWeb"/>
        <w:shd w:val="clear" w:color="auto" w:fill="FFFFFF"/>
        <w:spacing w:before="0" w:beforeAutospacing="0" w:after="150" w:afterAutospacing="0"/>
        <w:jc w:val="both"/>
      </w:pPr>
      <w:bookmarkStart w:id="0" w:name="_Hlk72940732"/>
      <w:r>
        <w:rPr>
          <w:rFonts w:asciiTheme="minorHAnsi" w:hAnsiTheme="minorHAnsi" w:cstheme="minorHAnsi"/>
          <w:sz w:val="21"/>
          <w:szCs w:val="21"/>
        </w:rPr>
        <w:t>Certain information set forth in this press release contains statements that reflect "forward-looking information", as such term is defined under Canadian securities laws ("</w:t>
      </w:r>
      <w:r>
        <w:rPr>
          <w:rFonts w:asciiTheme="minorHAnsi" w:hAnsiTheme="minorHAnsi" w:cstheme="minorHAnsi"/>
          <w:b/>
          <w:bCs/>
          <w:sz w:val="21"/>
          <w:szCs w:val="21"/>
        </w:rPr>
        <w:t>forward-looking statements</w:t>
      </w:r>
      <w:r>
        <w:rPr>
          <w:rFonts w:asciiTheme="minorHAnsi" w:hAnsiTheme="minorHAnsi" w:cstheme="minorHAnsi"/>
          <w:sz w:val="21"/>
          <w:szCs w:val="21"/>
        </w:rPr>
        <w:t xml:space="preserve">"). These forward-looking statements are often identified by words such as "intends", "anticipates", "expects", "believes", "plans", "likely" or similar words. Specifically, this news release includes forward looking statements regarding completion of the Acquisition and the timing thereof, the conditions precedent to completion of the </w:t>
      </w:r>
      <w:r>
        <w:rPr>
          <w:rFonts w:asciiTheme="minorHAnsi" w:hAnsiTheme="minorHAnsi" w:cstheme="minorHAnsi"/>
          <w:sz w:val="21"/>
          <w:szCs w:val="21"/>
        </w:rPr>
        <w:lastRenderedPageBreak/>
        <w:t xml:space="preserve">Acquisition, the Company's future business plans once the Acquisition has been completed and the CSE's approval of the Listing Statement. The forward-looking statements reflect the Company's and </w:t>
      </w:r>
      <w:proofErr w:type="spellStart"/>
      <w:r>
        <w:rPr>
          <w:rFonts w:asciiTheme="minorHAnsi" w:hAnsiTheme="minorHAnsi" w:cstheme="minorHAnsi"/>
          <w:sz w:val="21"/>
          <w:szCs w:val="21"/>
        </w:rPr>
        <w:t>Contakt</w:t>
      </w:r>
      <w:proofErr w:type="spellEnd"/>
      <w:r>
        <w:rPr>
          <w:rFonts w:asciiTheme="minorHAnsi" w:hAnsiTheme="minorHAnsi" w:cstheme="minorHAnsi"/>
          <w:sz w:val="21"/>
          <w:szCs w:val="21"/>
        </w:rPr>
        <w:t xml:space="preserve"> World's respective management's expectations, estimates, or projections concerning future results or events, based on the opinions, assumptions and estimates considered reasonable by management at the date the statements are made. Although the Company and </w:t>
      </w:r>
      <w:proofErr w:type="spellStart"/>
      <w:r>
        <w:rPr>
          <w:rFonts w:asciiTheme="minorHAnsi" w:hAnsiTheme="minorHAnsi" w:cstheme="minorHAnsi"/>
          <w:sz w:val="21"/>
          <w:szCs w:val="21"/>
        </w:rPr>
        <w:t>Contakt</w:t>
      </w:r>
      <w:proofErr w:type="spellEnd"/>
      <w:r>
        <w:rPr>
          <w:rFonts w:asciiTheme="minorHAnsi" w:hAnsiTheme="minorHAnsi" w:cstheme="minorHAnsi"/>
          <w:sz w:val="21"/>
          <w:szCs w:val="21"/>
        </w:rPr>
        <w:t xml:space="preserve"> World believe that the expectations reflected in the forward-looking statements are reasonable, forward-looking statements involve risks and uncertainties, and undue reliance should not be placed on forward-looking statements, as unknown or unpredictable factors could cause actual results to be materially different from those reflected in the forward-looking statements. Among the key factors that could cause actual results to differ materially </w:t>
      </w:r>
      <w:proofErr w:type="gramStart"/>
      <w:r>
        <w:rPr>
          <w:rFonts w:asciiTheme="minorHAnsi" w:hAnsiTheme="minorHAnsi" w:cstheme="minorHAnsi"/>
          <w:sz w:val="21"/>
          <w:szCs w:val="21"/>
        </w:rPr>
        <w:t>are:</w:t>
      </w:r>
      <w:proofErr w:type="gramEnd"/>
      <w:r>
        <w:rPr>
          <w:rFonts w:asciiTheme="minorHAnsi" w:hAnsiTheme="minorHAnsi" w:cstheme="minorHAnsi"/>
          <w:sz w:val="21"/>
          <w:szCs w:val="21"/>
        </w:rPr>
        <w:t xml:space="preserve"> whether the parties are able to satisfy the relevant conditions precedent under the amalgamation agreement respecting the Acquisition; and whether the parties are able to obtain all necessary regulatory approvals for the Acquisition. The forward-looking statements may also be affected by risks and uncertainties in the business of Tracker, including those described in the Company's public filings available on www.SEDAR.com. The Company undertakes no obligation to update forward-looking statements if circumstances or management's estimates or opinions should change, except as required by applicable securities laws. The reader is cautioned not to place undue reliance on forward-looking statements.</w:t>
      </w:r>
      <w:bookmarkEnd w:id="0"/>
    </w:p>
    <w:sectPr w:rsidR="002740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F867CA"/>
    <w:multiLevelType w:val="hybridMultilevel"/>
    <w:tmpl w:val="ED64B084"/>
    <w:lvl w:ilvl="0" w:tplc="5C94FDCA">
      <w:start w:val="1"/>
      <w:numFmt w:val="bullet"/>
      <w:lvlText w:val="·"/>
      <w:lvlJc w:val="left"/>
      <w:pPr>
        <w:ind w:left="720" w:hanging="360"/>
      </w:pPr>
      <w:rPr>
        <w:rFonts w:ascii="Symbol" w:hAnsi="Symbol" w:hint="default"/>
      </w:rPr>
    </w:lvl>
    <w:lvl w:ilvl="1" w:tplc="F814C1C0">
      <w:start w:val="1"/>
      <w:numFmt w:val="bullet"/>
      <w:lvlText w:val="o"/>
      <w:lvlJc w:val="left"/>
      <w:pPr>
        <w:ind w:left="1440" w:hanging="360"/>
      </w:pPr>
      <w:rPr>
        <w:rFonts w:ascii="Courier New" w:hAnsi="Courier New" w:hint="default"/>
      </w:rPr>
    </w:lvl>
    <w:lvl w:ilvl="2" w:tplc="7818926C">
      <w:start w:val="1"/>
      <w:numFmt w:val="bullet"/>
      <w:lvlText w:val=""/>
      <w:lvlJc w:val="left"/>
      <w:pPr>
        <w:ind w:left="2160" w:hanging="360"/>
      </w:pPr>
      <w:rPr>
        <w:rFonts w:ascii="Wingdings" w:hAnsi="Wingdings" w:hint="default"/>
      </w:rPr>
    </w:lvl>
    <w:lvl w:ilvl="3" w:tplc="AAA4CEB6">
      <w:start w:val="1"/>
      <w:numFmt w:val="bullet"/>
      <w:lvlText w:val=""/>
      <w:lvlJc w:val="left"/>
      <w:pPr>
        <w:ind w:left="2880" w:hanging="360"/>
      </w:pPr>
      <w:rPr>
        <w:rFonts w:ascii="Symbol" w:hAnsi="Symbol" w:hint="default"/>
      </w:rPr>
    </w:lvl>
    <w:lvl w:ilvl="4" w:tplc="CB00405C">
      <w:start w:val="1"/>
      <w:numFmt w:val="bullet"/>
      <w:lvlText w:val="o"/>
      <w:lvlJc w:val="left"/>
      <w:pPr>
        <w:ind w:left="3600" w:hanging="360"/>
      </w:pPr>
      <w:rPr>
        <w:rFonts w:ascii="Courier New" w:hAnsi="Courier New" w:hint="default"/>
      </w:rPr>
    </w:lvl>
    <w:lvl w:ilvl="5" w:tplc="552E213C">
      <w:start w:val="1"/>
      <w:numFmt w:val="bullet"/>
      <w:lvlText w:val=""/>
      <w:lvlJc w:val="left"/>
      <w:pPr>
        <w:ind w:left="4320" w:hanging="360"/>
      </w:pPr>
      <w:rPr>
        <w:rFonts w:ascii="Wingdings" w:hAnsi="Wingdings" w:hint="default"/>
      </w:rPr>
    </w:lvl>
    <w:lvl w:ilvl="6" w:tplc="48D47DCA">
      <w:start w:val="1"/>
      <w:numFmt w:val="bullet"/>
      <w:lvlText w:val=""/>
      <w:lvlJc w:val="left"/>
      <w:pPr>
        <w:ind w:left="5040" w:hanging="360"/>
      </w:pPr>
      <w:rPr>
        <w:rFonts w:ascii="Symbol" w:hAnsi="Symbol" w:hint="default"/>
      </w:rPr>
    </w:lvl>
    <w:lvl w:ilvl="7" w:tplc="12780C62">
      <w:start w:val="1"/>
      <w:numFmt w:val="bullet"/>
      <w:lvlText w:val="o"/>
      <w:lvlJc w:val="left"/>
      <w:pPr>
        <w:ind w:left="5760" w:hanging="360"/>
      </w:pPr>
      <w:rPr>
        <w:rFonts w:ascii="Courier New" w:hAnsi="Courier New" w:hint="default"/>
      </w:rPr>
    </w:lvl>
    <w:lvl w:ilvl="8" w:tplc="488ECC5A">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03"/>
    <w:rsid w:val="000A6A8C"/>
    <w:rsid w:val="00123567"/>
    <w:rsid w:val="00147C4D"/>
    <w:rsid w:val="00171453"/>
    <w:rsid w:val="001B2DC1"/>
    <w:rsid w:val="00274003"/>
    <w:rsid w:val="00277CF6"/>
    <w:rsid w:val="003C2C07"/>
    <w:rsid w:val="005538A1"/>
    <w:rsid w:val="00557A72"/>
    <w:rsid w:val="0061162D"/>
    <w:rsid w:val="007F1DAA"/>
    <w:rsid w:val="007F2B49"/>
    <w:rsid w:val="008334B0"/>
    <w:rsid w:val="00961397"/>
    <w:rsid w:val="00C14B17"/>
    <w:rsid w:val="00CF3E3D"/>
    <w:rsid w:val="00D41113"/>
    <w:rsid w:val="00D761C0"/>
    <w:rsid w:val="00DB0EFB"/>
    <w:rsid w:val="00E212A0"/>
    <w:rsid w:val="00E33586"/>
    <w:rsid w:val="00E35A92"/>
    <w:rsid w:val="00F36B35"/>
    <w:rsid w:val="00F427CF"/>
    <w:rsid w:val="00F43F79"/>
    <w:rsid w:val="00F62BF1"/>
    <w:rsid w:val="00FF5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8146"/>
  <w15:chartTrackingRefBased/>
  <w15:docId w15:val="{2A38A30B-1695-B24E-8948-F642CD40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8A1"/>
    <w:rPr>
      <w:color w:val="0563C1" w:themeColor="hyperlink"/>
      <w:u w:val="single"/>
    </w:rPr>
  </w:style>
  <w:style w:type="character" w:styleId="UnresolvedMention">
    <w:name w:val="Unresolved Mention"/>
    <w:basedOn w:val="DefaultParagraphFont"/>
    <w:uiPriority w:val="99"/>
    <w:semiHidden/>
    <w:unhideWhenUsed/>
    <w:rsid w:val="005538A1"/>
    <w:rPr>
      <w:color w:val="605E5C"/>
      <w:shd w:val="clear" w:color="auto" w:fill="E1DFDD"/>
    </w:rPr>
  </w:style>
  <w:style w:type="paragraph" w:styleId="ListParagraph">
    <w:name w:val="List Paragraph"/>
    <w:basedOn w:val="Normal"/>
    <w:uiPriority w:val="34"/>
    <w:qFormat/>
    <w:rsid w:val="00F43F79"/>
    <w:pPr>
      <w:spacing w:after="160" w:line="259" w:lineRule="auto"/>
      <w:ind w:left="720"/>
      <w:contextualSpacing/>
    </w:pPr>
    <w:rPr>
      <w:rFonts w:ascii="Cambria" w:hAnsi="Cambria"/>
      <w:szCs w:val="22"/>
    </w:rPr>
  </w:style>
  <w:style w:type="paragraph" w:styleId="NormalWeb">
    <w:name w:val="Normal (Web)"/>
    <w:basedOn w:val="Normal"/>
    <w:uiPriority w:val="99"/>
    <w:unhideWhenUsed/>
    <w:rsid w:val="00123567"/>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258293">
      <w:bodyDiv w:val="1"/>
      <w:marLeft w:val="0"/>
      <w:marRight w:val="0"/>
      <w:marTop w:val="0"/>
      <w:marBottom w:val="0"/>
      <w:divBdr>
        <w:top w:val="none" w:sz="0" w:space="0" w:color="auto"/>
        <w:left w:val="none" w:sz="0" w:space="0" w:color="auto"/>
        <w:bottom w:val="none" w:sz="0" w:space="0" w:color="auto"/>
        <w:right w:val="none" w:sz="0" w:space="0" w:color="auto"/>
      </w:divBdr>
    </w:div>
    <w:div w:id="145275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akt.world/what-we-do/" TargetMode="External"/><Relationship Id="rId13" Type="http://schemas.openxmlformats.org/officeDocument/2006/relationships/hyperlink" Target="https://contakt.world/" TargetMode="External"/><Relationship Id="rId18" Type="http://schemas.openxmlformats.org/officeDocument/2006/relationships/hyperlink" Target="https://contakt.world/what-we-do/" TargetMode="External"/><Relationship Id="rId26" Type="http://schemas.openxmlformats.org/officeDocument/2006/relationships/hyperlink" Target="mailto:greg@contakt.world" TargetMode="External"/><Relationship Id="rId3" Type="http://schemas.openxmlformats.org/officeDocument/2006/relationships/settings" Target="settings.xml"/><Relationship Id="rId21" Type="http://schemas.openxmlformats.org/officeDocument/2006/relationships/hyperlink" Target="https://contakt.world/what-we-do/" TargetMode="External"/><Relationship Id="rId7" Type="http://schemas.openxmlformats.org/officeDocument/2006/relationships/hyperlink" Target="https://contakt.world/who-we-are/engagency/" TargetMode="External"/><Relationship Id="rId12" Type="http://schemas.openxmlformats.org/officeDocument/2006/relationships/hyperlink" Target="https://contakt.world/" TargetMode="External"/><Relationship Id="rId17" Type="http://schemas.openxmlformats.org/officeDocument/2006/relationships/hyperlink" Target="https://contakt.world/" TargetMode="External"/><Relationship Id="rId25" Type="http://schemas.openxmlformats.org/officeDocument/2006/relationships/hyperlink" Target="mailto:betsy@contakt.world" TargetMode="External"/><Relationship Id="rId2" Type="http://schemas.openxmlformats.org/officeDocument/2006/relationships/styles" Target="styles.xml"/><Relationship Id="rId16" Type="http://schemas.openxmlformats.org/officeDocument/2006/relationships/hyperlink" Target="http://www.naccho.org/" TargetMode="External"/><Relationship Id="rId20" Type="http://schemas.openxmlformats.org/officeDocument/2006/relationships/hyperlink" Target="https://satcherinstitute.org/research-scholarships/health-equity-tracker-project/" TargetMode="External"/><Relationship Id="rId1" Type="http://schemas.openxmlformats.org/officeDocument/2006/relationships/numbering" Target="numbering.xml"/><Relationship Id="rId6" Type="http://schemas.openxmlformats.org/officeDocument/2006/relationships/hyperlink" Target="https://contakt.world" TargetMode="External"/><Relationship Id="rId11" Type="http://schemas.openxmlformats.org/officeDocument/2006/relationships/hyperlink" Target="https://nacchoapplication.secure-platform.com/a/gallery?roundId=2" TargetMode="External"/><Relationship Id="rId24" Type="http://schemas.openxmlformats.org/officeDocument/2006/relationships/hyperlink" Target="mailto:contakt@mzgroup.us" TargetMode="External"/><Relationship Id="rId5" Type="http://schemas.openxmlformats.org/officeDocument/2006/relationships/image" Target="media/image1.png"/><Relationship Id="rId15" Type="http://schemas.openxmlformats.org/officeDocument/2006/relationships/hyperlink" Target="https://contakt.world/" TargetMode="External"/><Relationship Id="rId23" Type="http://schemas.openxmlformats.org/officeDocument/2006/relationships/hyperlink" Target="https://pr.report/tpC71qn8" TargetMode="External"/><Relationship Id="rId28" Type="http://schemas.openxmlformats.org/officeDocument/2006/relationships/theme" Target="theme/theme1.xml"/><Relationship Id="rId10" Type="http://schemas.openxmlformats.org/officeDocument/2006/relationships/hyperlink" Target="https://www.iheart.com/podcast/1119-contakt-world-74594010/" TargetMode="External"/><Relationship Id="rId19" Type="http://schemas.openxmlformats.org/officeDocument/2006/relationships/hyperlink" Target="https://contakt.world/what-we-do/" TargetMode="External"/><Relationship Id="rId4" Type="http://schemas.openxmlformats.org/officeDocument/2006/relationships/webSettings" Target="webSettings.xml"/><Relationship Id="rId9" Type="http://schemas.openxmlformats.org/officeDocument/2006/relationships/hyperlink" Target="https://satcherinstitute.org/research-scholarships/health-equity-tracker-project/" TargetMode="External"/><Relationship Id="rId14" Type="http://schemas.openxmlformats.org/officeDocument/2006/relationships/hyperlink" Target="https://contakt.world/" TargetMode="External"/><Relationship Id="rId22" Type="http://schemas.openxmlformats.org/officeDocument/2006/relationships/hyperlink" Target="http://www.contakt.worl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2293</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Beck</dc:creator>
  <cp:keywords/>
  <dc:description/>
  <cp:lastModifiedBy>Zayn Kalyan</cp:lastModifiedBy>
  <cp:revision>2</cp:revision>
  <dcterms:created xsi:type="dcterms:W3CDTF">2021-05-27T01:42:00Z</dcterms:created>
  <dcterms:modified xsi:type="dcterms:W3CDTF">2021-05-27T01:42:00Z</dcterms:modified>
</cp:coreProperties>
</file>