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B58B1" w14:textId="77777777" w:rsidR="00A523C4" w:rsidRDefault="00A523C4">
      <w:pPr>
        <w:autoSpaceDE w:val="0"/>
        <w:autoSpaceDN w:val="0"/>
        <w:adjustRightInd w:val="0"/>
        <w:rPr>
          <w:sz w:val="16"/>
          <w:szCs w:val="16"/>
        </w:rPr>
      </w:pPr>
    </w:p>
    <w:p w14:paraId="5EC66FF7" w14:textId="77777777" w:rsidR="00A523C4" w:rsidRDefault="00A523C4">
      <w:pPr>
        <w:autoSpaceDE w:val="0"/>
        <w:autoSpaceDN w:val="0"/>
        <w:adjustRightInd w:val="0"/>
        <w:rPr>
          <w:sz w:val="16"/>
          <w:szCs w:val="16"/>
        </w:rPr>
      </w:pPr>
    </w:p>
    <w:p w14:paraId="7DC245B2" w14:textId="77777777" w:rsidR="00A523C4" w:rsidRDefault="00A523C4">
      <w:pPr>
        <w:autoSpaceDE w:val="0"/>
        <w:autoSpaceDN w:val="0"/>
        <w:adjustRightInd w:val="0"/>
        <w:rPr>
          <w:sz w:val="16"/>
          <w:szCs w:val="16"/>
        </w:rPr>
      </w:pPr>
    </w:p>
    <w:p w14:paraId="20F8BE3E" w14:textId="3989DCC2" w:rsidR="00A523C4" w:rsidRDefault="00A523C4">
      <w:pPr>
        <w:jc w:val="center"/>
        <w:rPr>
          <w:b/>
          <w:sz w:val="28"/>
        </w:rPr>
      </w:pPr>
      <w:r>
        <w:rPr>
          <w:b/>
          <w:bCs/>
        </w:rPr>
        <w:t xml:space="preserve">Gladstone Investment </w:t>
      </w:r>
      <w:r w:rsidR="0062236D">
        <w:rPr>
          <w:b/>
          <w:bCs/>
        </w:rPr>
        <w:t>Corporation</w:t>
      </w:r>
      <w:r w:rsidR="00EA5BE5">
        <w:rPr>
          <w:b/>
          <w:bCs/>
        </w:rPr>
        <w:t xml:space="preserve"> </w:t>
      </w:r>
      <w:r w:rsidR="00663DB8">
        <w:rPr>
          <w:b/>
          <w:bCs/>
        </w:rPr>
        <w:t>Acquire</w:t>
      </w:r>
      <w:r w:rsidR="001D2235">
        <w:rPr>
          <w:b/>
          <w:bCs/>
        </w:rPr>
        <w:t>s</w:t>
      </w:r>
      <w:r w:rsidR="00663DB8">
        <w:rPr>
          <w:b/>
          <w:bCs/>
        </w:rPr>
        <w:t xml:space="preserve"> </w:t>
      </w:r>
      <w:r w:rsidR="001D2235">
        <w:rPr>
          <w:b/>
          <w:bCs/>
        </w:rPr>
        <w:t>Utah Pacific</w:t>
      </w:r>
      <w:r w:rsidR="007106F1">
        <w:rPr>
          <w:b/>
          <w:bCs/>
        </w:rPr>
        <w:t xml:space="preserve"> </w:t>
      </w:r>
    </w:p>
    <w:bookmarkStart w:id="0" w:name="OLE_LINK1"/>
    <w:p w14:paraId="01A71EAE" w14:textId="321E47F6" w:rsidR="00C6480B" w:rsidRDefault="00F957F6" w:rsidP="00663DB8">
      <w:pPr>
        <w:pStyle w:val="NormalWeb"/>
        <w:jc w:val="both"/>
        <w:rPr>
          <w:rFonts w:ascii="Times New Roman" w:hAnsi="Times New Roman" w:cs="Times New Roman"/>
        </w:rPr>
      </w:pPr>
      <w:r>
        <w:rPr>
          <w:noProof/>
        </w:rPr>
        <mc:AlternateContent>
          <mc:Choice Requires="wps">
            <w:drawing>
              <wp:anchor distT="4294967293" distB="4294967293" distL="114300" distR="114300" simplePos="0" relativeHeight="251657728" behindDoc="0" locked="0" layoutInCell="1" allowOverlap="1" wp14:anchorId="4E303DE5" wp14:editId="2BC364BE">
                <wp:simplePos x="0" y="0"/>
                <wp:positionH relativeFrom="column">
                  <wp:posOffset>0</wp:posOffset>
                </wp:positionH>
                <wp:positionV relativeFrom="paragraph">
                  <wp:posOffset>47624</wp:posOffset>
                </wp:positionV>
                <wp:extent cx="5562600" cy="0"/>
                <wp:effectExtent l="0" t="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4576A" id="Line 2"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3.75pt" to="43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"/>
            </w:pict>
          </mc:Fallback>
        </mc:AlternateContent>
      </w:r>
      <w:r w:rsidR="00364AA1">
        <w:rPr>
          <w:rFonts w:ascii="Times New Roman" w:hAnsi="Times New Roman" w:cs="Times New Roman"/>
        </w:rPr>
        <w:t>MCLEAN</w:t>
      </w:r>
      <w:r w:rsidR="00A523C4">
        <w:rPr>
          <w:rFonts w:ascii="Times New Roman" w:hAnsi="Times New Roman" w:cs="Times New Roman"/>
        </w:rPr>
        <w:t xml:space="preserve">, VA, </w:t>
      </w:r>
      <w:r w:rsidR="001D2235">
        <w:rPr>
          <w:rFonts w:ascii="Times New Roman" w:hAnsi="Times New Roman" w:cs="Times New Roman"/>
        </w:rPr>
        <w:t>August</w:t>
      </w:r>
      <w:r w:rsidR="00663DB8">
        <w:rPr>
          <w:rFonts w:ascii="Times New Roman" w:hAnsi="Times New Roman" w:cs="Times New Roman"/>
        </w:rPr>
        <w:t xml:space="preserve"> </w:t>
      </w:r>
      <w:r w:rsidR="00623AEB">
        <w:rPr>
          <w:rFonts w:ascii="Times New Roman" w:hAnsi="Times New Roman" w:cs="Times New Roman"/>
        </w:rPr>
        <w:t>12</w:t>
      </w:r>
      <w:r w:rsidR="00364401">
        <w:rPr>
          <w:rFonts w:ascii="Times New Roman" w:hAnsi="Times New Roman" w:cs="Times New Roman"/>
        </w:rPr>
        <w:t xml:space="preserve">, </w:t>
      </w:r>
      <w:r w:rsidR="004617F0">
        <w:rPr>
          <w:rFonts w:ascii="Times New Roman" w:hAnsi="Times New Roman" w:cs="Times New Roman"/>
        </w:rPr>
        <w:t>20</w:t>
      </w:r>
      <w:r w:rsidR="000C6DF8">
        <w:rPr>
          <w:rFonts w:ascii="Times New Roman" w:hAnsi="Times New Roman" w:cs="Times New Roman"/>
        </w:rPr>
        <w:t>2</w:t>
      </w:r>
      <w:r w:rsidR="001D2235">
        <w:rPr>
          <w:rFonts w:ascii="Times New Roman" w:hAnsi="Times New Roman" w:cs="Times New Roman"/>
        </w:rPr>
        <w:t>1</w:t>
      </w:r>
      <w:r w:rsidR="00A523C4">
        <w:rPr>
          <w:rFonts w:ascii="Times New Roman" w:hAnsi="Times New Roman" w:cs="Times New Roman"/>
        </w:rPr>
        <w:t>: Gladstone Investment Corporation (</w:t>
      </w:r>
      <w:r w:rsidR="00F941EF">
        <w:rPr>
          <w:rFonts w:ascii="Times New Roman" w:hAnsi="Times New Roman" w:cs="Times New Roman"/>
        </w:rPr>
        <w:t>N</w:t>
      </w:r>
      <w:r w:rsidR="00A81E04">
        <w:rPr>
          <w:rFonts w:ascii="Times New Roman" w:hAnsi="Times New Roman" w:cs="Times New Roman"/>
        </w:rPr>
        <w:t>asdaq</w:t>
      </w:r>
      <w:r w:rsidR="00A523C4">
        <w:rPr>
          <w:rFonts w:ascii="Times New Roman" w:hAnsi="Times New Roman" w:cs="Times New Roman"/>
        </w:rPr>
        <w:t>: GAIN) (“</w:t>
      </w:r>
      <w:r w:rsidR="0016779B">
        <w:rPr>
          <w:rFonts w:ascii="Times New Roman" w:hAnsi="Times New Roman" w:cs="Times New Roman"/>
        </w:rPr>
        <w:t>Gladstone Investment”</w:t>
      </w:r>
      <w:r w:rsidR="00A523C4">
        <w:rPr>
          <w:rFonts w:ascii="Times New Roman" w:hAnsi="Times New Roman" w:cs="Times New Roman"/>
        </w:rPr>
        <w:t>) announced today that</w:t>
      </w:r>
      <w:r w:rsidR="00F941EF">
        <w:rPr>
          <w:rFonts w:ascii="Times New Roman" w:hAnsi="Times New Roman" w:cs="Times New Roman"/>
        </w:rPr>
        <w:t xml:space="preserve"> on </w:t>
      </w:r>
      <w:r w:rsidR="000C6DF8">
        <w:rPr>
          <w:rFonts w:ascii="Times New Roman" w:hAnsi="Times New Roman" w:cs="Times New Roman"/>
        </w:rPr>
        <w:t xml:space="preserve">July </w:t>
      </w:r>
      <w:r w:rsidR="001D2235">
        <w:rPr>
          <w:rFonts w:ascii="Times New Roman" w:hAnsi="Times New Roman" w:cs="Times New Roman"/>
        </w:rPr>
        <w:t>30</w:t>
      </w:r>
      <w:r w:rsidR="00F941EF" w:rsidRPr="00E169BE">
        <w:rPr>
          <w:rFonts w:ascii="Times New Roman" w:hAnsi="Times New Roman" w:cs="Times New Roman"/>
        </w:rPr>
        <w:t>, 20</w:t>
      </w:r>
      <w:r w:rsidR="000C6DF8">
        <w:rPr>
          <w:rFonts w:ascii="Times New Roman" w:hAnsi="Times New Roman" w:cs="Times New Roman"/>
        </w:rPr>
        <w:t>2</w:t>
      </w:r>
      <w:r w:rsidR="001D2235">
        <w:rPr>
          <w:rFonts w:ascii="Times New Roman" w:hAnsi="Times New Roman" w:cs="Times New Roman"/>
        </w:rPr>
        <w:t>1</w:t>
      </w:r>
      <w:r w:rsidR="00F941EF" w:rsidRPr="00E169BE">
        <w:rPr>
          <w:rFonts w:ascii="Times New Roman" w:hAnsi="Times New Roman" w:cs="Times New Roman"/>
        </w:rPr>
        <w:t>,</w:t>
      </w:r>
      <w:r w:rsidR="00A523C4" w:rsidRPr="00E169BE">
        <w:rPr>
          <w:rFonts w:ascii="Times New Roman" w:hAnsi="Times New Roman" w:cs="Times New Roman"/>
        </w:rPr>
        <w:t xml:space="preserve"> </w:t>
      </w:r>
      <w:r w:rsidR="00667979">
        <w:rPr>
          <w:rFonts w:ascii="Times New Roman" w:hAnsi="Times New Roman" w:cs="Times New Roman"/>
        </w:rPr>
        <w:t>it</w:t>
      </w:r>
      <w:r w:rsidR="002F779E">
        <w:rPr>
          <w:rFonts w:ascii="Times New Roman" w:hAnsi="Times New Roman" w:cs="Times New Roman"/>
        </w:rPr>
        <w:t xml:space="preserve"> </w:t>
      </w:r>
      <w:r w:rsidR="00B57F0E">
        <w:rPr>
          <w:rFonts w:ascii="Times New Roman" w:hAnsi="Times New Roman" w:cs="Times New Roman"/>
        </w:rPr>
        <w:t>acquired</w:t>
      </w:r>
      <w:r w:rsidR="004931EC">
        <w:rPr>
          <w:rFonts w:ascii="Times New Roman" w:hAnsi="Times New Roman" w:cs="Times New Roman"/>
        </w:rPr>
        <w:t xml:space="preserve"> </w:t>
      </w:r>
      <w:r w:rsidR="001D2235">
        <w:rPr>
          <w:rFonts w:ascii="Times New Roman" w:hAnsi="Times New Roman" w:cs="Times New Roman"/>
        </w:rPr>
        <w:t>Utah Pacific Bridge &amp; Steel</w:t>
      </w:r>
      <w:r w:rsidR="002F779E">
        <w:rPr>
          <w:rFonts w:ascii="Times New Roman" w:hAnsi="Times New Roman" w:cs="Times New Roman"/>
        </w:rPr>
        <w:t>, LLC</w:t>
      </w:r>
      <w:r w:rsidR="000C6DF8">
        <w:rPr>
          <w:rFonts w:ascii="Times New Roman" w:hAnsi="Times New Roman" w:cs="Times New Roman"/>
        </w:rPr>
        <w:t xml:space="preserve"> and </w:t>
      </w:r>
      <w:r w:rsidR="001D2235">
        <w:rPr>
          <w:rFonts w:ascii="Times New Roman" w:hAnsi="Times New Roman" w:cs="Times New Roman"/>
        </w:rPr>
        <w:t>Mountain Pacific Transport</w:t>
      </w:r>
      <w:r w:rsidR="000C6DF8">
        <w:rPr>
          <w:rFonts w:ascii="Times New Roman" w:hAnsi="Times New Roman" w:cs="Times New Roman"/>
        </w:rPr>
        <w:t>, LLC</w:t>
      </w:r>
      <w:r w:rsidR="00663DB8">
        <w:rPr>
          <w:rFonts w:ascii="Times New Roman" w:hAnsi="Times New Roman" w:cs="Times New Roman"/>
        </w:rPr>
        <w:t xml:space="preserve"> (</w:t>
      </w:r>
      <w:r w:rsidR="00A81E04">
        <w:rPr>
          <w:rFonts w:ascii="Times New Roman" w:hAnsi="Times New Roman" w:cs="Times New Roman"/>
        </w:rPr>
        <w:t xml:space="preserve">collectively, </w:t>
      </w:r>
      <w:r w:rsidR="00663DB8">
        <w:rPr>
          <w:rFonts w:ascii="Times New Roman" w:hAnsi="Times New Roman" w:cs="Times New Roman"/>
        </w:rPr>
        <w:t>“</w:t>
      </w:r>
      <w:r w:rsidR="001D2235">
        <w:rPr>
          <w:rFonts w:ascii="Times New Roman" w:hAnsi="Times New Roman" w:cs="Times New Roman"/>
        </w:rPr>
        <w:t>Utah Pacific</w:t>
      </w:r>
      <w:r w:rsidR="00663DB8">
        <w:rPr>
          <w:rFonts w:ascii="Times New Roman" w:hAnsi="Times New Roman" w:cs="Times New Roman"/>
        </w:rPr>
        <w:t>”)</w:t>
      </w:r>
      <w:r w:rsidR="00B57F0E">
        <w:rPr>
          <w:rFonts w:ascii="Times New Roman" w:hAnsi="Times New Roman" w:cs="Times New Roman"/>
        </w:rPr>
        <w:t xml:space="preserve"> in partnership with certain members of Utah Pacific’s executive management</w:t>
      </w:r>
      <w:r w:rsidR="00663DB8">
        <w:rPr>
          <w:rFonts w:ascii="Times New Roman" w:hAnsi="Times New Roman" w:cs="Times New Roman"/>
        </w:rPr>
        <w:t xml:space="preserve">. Gladstone Investment provided </w:t>
      </w:r>
      <w:r w:rsidR="00B57F0E">
        <w:rPr>
          <w:rFonts w:ascii="Times New Roman" w:hAnsi="Times New Roman" w:cs="Times New Roman"/>
        </w:rPr>
        <w:t xml:space="preserve">both </w:t>
      </w:r>
      <w:r w:rsidR="00663DB8">
        <w:rPr>
          <w:rFonts w:ascii="Times New Roman" w:hAnsi="Times New Roman" w:cs="Times New Roman"/>
        </w:rPr>
        <w:t xml:space="preserve">equity and senior secured debt to complete the transaction.  </w:t>
      </w:r>
    </w:p>
    <w:p w14:paraId="12178526" w14:textId="79F7A348" w:rsidR="002F779E" w:rsidRPr="0057150C" w:rsidRDefault="004931EC" w:rsidP="00663DB8">
      <w:pPr>
        <w:pStyle w:val="NormalWeb"/>
        <w:jc w:val="both"/>
        <w:rPr>
          <w:rFonts w:ascii="Times New Roman" w:hAnsi="Times New Roman" w:cs="Times New Roman"/>
        </w:rPr>
      </w:pPr>
      <w:r w:rsidRPr="0057150C">
        <w:rPr>
          <w:rFonts w:ascii="Times New Roman" w:hAnsi="Times New Roman" w:cs="Times New Roman"/>
        </w:rPr>
        <w:t xml:space="preserve">Headquartered in </w:t>
      </w:r>
      <w:r w:rsidR="008917B9">
        <w:rPr>
          <w:rFonts w:ascii="Times New Roman" w:hAnsi="Times New Roman" w:cs="Times New Roman"/>
        </w:rPr>
        <w:t>Lindon</w:t>
      </w:r>
      <w:r w:rsidR="000C6DF8">
        <w:rPr>
          <w:rFonts w:ascii="Times New Roman" w:hAnsi="Times New Roman" w:cs="Times New Roman"/>
        </w:rPr>
        <w:t xml:space="preserve">, </w:t>
      </w:r>
      <w:r w:rsidR="008917B9">
        <w:rPr>
          <w:rFonts w:ascii="Times New Roman" w:hAnsi="Times New Roman" w:cs="Times New Roman"/>
        </w:rPr>
        <w:t>U</w:t>
      </w:r>
      <w:r w:rsidR="00F416D6">
        <w:rPr>
          <w:rFonts w:ascii="Times New Roman" w:hAnsi="Times New Roman" w:cs="Times New Roman"/>
        </w:rPr>
        <w:t>tah</w:t>
      </w:r>
      <w:r w:rsidRPr="0057150C">
        <w:rPr>
          <w:rFonts w:ascii="Times New Roman" w:hAnsi="Times New Roman" w:cs="Times New Roman"/>
        </w:rPr>
        <w:t xml:space="preserve">, </w:t>
      </w:r>
      <w:r w:rsidR="008917B9">
        <w:rPr>
          <w:rFonts w:ascii="Times New Roman" w:hAnsi="Times New Roman" w:cs="Times New Roman"/>
        </w:rPr>
        <w:t>Utah Pacific</w:t>
      </w:r>
      <w:r w:rsidR="000C6DF8">
        <w:rPr>
          <w:rFonts w:ascii="Times New Roman" w:hAnsi="Times New Roman" w:cs="Times New Roman"/>
        </w:rPr>
        <w:t xml:space="preserve"> </w:t>
      </w:r>
      <w:r w:rsidR="00C6480B" w:rsidRPr="0057150C">
        <w:rPr>
          <w:rFonts w:ascii="Times New Roman" w:hAnsi="Times New Roman" w:cs="Times New Roman"/>
        </w:rPr>
        <w:t xml:space="preserve">is </w:t>
      </w:r>
      <w:r w:rsidR="000C6DF8">
        <w:rPr>
          <w:rFonts w:ascii="Times New Roman" w:hAnsi="Times New Roman" w:cs="Times New Roman"/>
        </w:rPr>
        <w:t xml:space="preserve">the </w:t>
      </w:r>
      <w:r w:rsidR="002F779E" w:rsidRPr="0057150C">
        <w:rPr>
          <w:rFonts w:ascii="Times New Roman" w:hAnsi="Times New Roman" w:cs="Times New Roman"/>
        </w:rPr>
        <w:t>leading</w:t>
      </w:r>
      <w:r w:rsidR="00C6480B" w:rsidRPr="0057150C">
        <w:rPr>
          <w:rFonts w:ascii="Times New Roman" w:hAnsi="Times New Roman" w:cs="Times New Roman"/>
        </w:rPr>
        <w:t xml:space="preserve"> </w:t>
      </w:r>
      <w:r w:rsidR="002F779E" w:rsidRPr="0057150C">
        <w:rPr>
          <w:rFonts w:ascii="Times New Roman" w:hAnsi="Times New Roman" w:cs="Times New Roman"/>
        </w:rPr>
        <w:t xml:space="preserve">provider of </w:t>
      </w:r>
      <w:r w:rsidR="008917B9">
        <w:rPr>
          <w:rFonts w:ascii="Times New Roman" w:hAnsi="Times New Roman" w:cs="Times New Roman"/>
        </w:rPr>
        <w:t>large steel components used in bridge replacement, rehabilitation, and construction in the Western U.S</w:t>
      </w:r>
      <w:r w:rsidR="000C6DF8">
        <w:rPr>
          <w:rFonts w:ascii="Times New Roman" w:hAnsi="Times New Roman" w:cs="Times New Roman"/>
        </w:rPr>
        <w:t xml:space="preserve">. </w:t>
      </w:r>
      <w:r w:rsidR="00E97490">
        <w:rPr>
          <w:rFonts w:ascii="Times New Roman" w:hAnsi="Times New Roman" w:cs="Times New Roman"/>
        </w:rPr>
        <w:t xml:space="preserve">By combining best-in-class </w:t>
      </w:r>
      <w:r w:rsidR="008917B9">
        <w:rPr>
          <w:rFonts w:ascii="Times New Roman" w:hAnsi="Times New Roman" w:cs="Times New Roman"/>
        </w:rPr>
        <w:t>manufacturing capacity</w:t>
      </w:r>
      <w:r w:rsidR="00E97490">
        <w:rPr>
          <w:rFonts w:ascii="Times New Roman" w:hAnsi="Times New Roman" w:cs="Times New Roman"/>
        </w:rPr>
        <w:t xml:space="preserve">, engineering expertise, and steel fabrication, </w:t>
      </w:r>
      <w:r w:rsidR="008917B9">
        <w:rPr>
          <w:rFonts w:ascii="Times New Roman" w:hAnsi="Times New Roman" w:cs="Times New Roman"/>
        </w:rPr>
        <w:t>Utah Pacific</w:t>
      </w:r>
      <w:r w:rsidR="00E97490">
        <w:rPr>
          <w:rFonts w:ascii="Times New Roman" w:hAnsi="Times New Roman" w:cs="Times New Roman"/>
        </w:rPr>
        <w:t xml:space="preserve">’s </w:t>
      </w:r>
      <w:r w:rsidR="008917B9">
        <w:rPr>
          <w:rFonts w:ascii="Times New Roman" w:hAnsi="Times New Roman" w:cs="Times New Roman"/>
        </w:rPr>
        <w:t>specialized</w:t>
      </w:r>
      <w:r w:rsidR="00E97490">
        <w:rPr>
          <w:rFonts w:ascii="Times New Roman" w:hAnsi="Times New Roman" w:cs="Times New Roman"/>
        </w:rPr>
        <w:t xml:space="preserve"> approach brings substantial value to its customers. </w:t>
      </w:r>
    </w:p>
    <w:bookmarkEnd w:id="0"/>
    <w:p w14:paraId="45D5F1F3" w14:textId="2C5682AB" w:rsidR="00C80C83" w:rsidRPr="00C80C83" w:rsidRDefault="00C80C83" w:rsidP="00C80C83">
      <w:pPr>
        <w:pStyle w:val="NormalWeb"/>
        <w:jc w:val="both"/>
        <w:rPr>
          <w:rFonts w:ascii="Times New Roman" w:hAnsi="Times New Roman" w:cs="Times New Roman"/>
        </w:rPr>
      </w:pPr>
      <w:r w:rsidRPr="0057150C">
        <w:rPr>
          <w:rFonts w:ascii="Times New Roman" w:hAnsi="Times New Roman" w:cs="Times New Roman"/>
        </w:rPr>
        <w:t>“</w:t>
      </w:r>
      <w:r w:rsidR="00E97490">
        <w:rPr>
          <w:rFonts w:ascii="Times New Roman" w:hAnsi="Times New Roman" w:cs="Times New Roman"/>
        </w:rPr>
        <w:t>Operating w</w:t>
      </w:r>
      <w:r w:rsidR="000C6DF8">
        <w:rPr>
          <w:rFonts w:ascii="Times New Roman" w:hAnsi="Times New Roman" w:cs="Times New Roman"/>
        </w:rPr>
        <w:t xml:space="preserve">ithin a </w:t>
      </w:r>
      <w:r w:rsidR="006469EE">
        <w:rPr>
          <w:rFonts w:ascii="Times New Roman" w:hAnsi="Times New Roman" w:cs="Times New Roman"/>
        </w:rPr>
        <w:t xml:space="preserve">complex </w:t>
      </w:r>
      <w:r w:rsidR="00FD54E5">
        <w:rPr>
          <w:rFonts w:ascii="Times New Roman" w:hAnsi="Times New Roman" w:cs="Times New Roman"/>
        </w:rPr>
        <w:t xml:space="preserve">and </w:t>
      </w:r>
      <w:r w:rsidR="006469EE">
        <w:rPr>
          <w:rFonts w:ascii="Times New Roman" w:hAnsi="Times New Roman" w:cs="Times New Roman"/>
        </w:rPr>
        <w:t>mission-critical industry</w:t>
      </w:r>
      <w:r w:rsidR="000C6DF8">
        <w:rPr>
          <w:rFonts w:ascii="Times New Roman" w:hAnsi="Times New Roman" w:cs="Times New Roman"/>
        </w:rPr>
        <w:t xml:space="preserve">, </w:t>
      </w:r>
      <w:r w:rsidR="008917B9">
        <w:rPr>
          <w:rFonts w:ascii="Times New Roman" w:hAnsi="Times New Roman" w:cs="Times New Roman"/>
        </w:rPr>
        <w:t>Utah Pacific</w:t>
      </w:r>
      <w:r w:rsidR="000C6DF8">
        <w:rPr>
          <w:rFonts w:ascii="Times New Roman" w:hAnsi="Times New Roman" w:cs="Times New Roman"/>
        </w:rPr>
        <w:t xml:space="preserve">’s commitment to </w:t>
      </w:r>
      <w:r w:rsidR="00E14FCD">
        <w:rPr>
          <w:rFonts w:ascii="Times New Roman" w:hAnsi="Times New Roman" w:cs="Times New Roman"/>
        </w:rPr>
        <w:t xml:space="preserve">manufacturing </w:t>
      </w:r>
      <w:r w:rsidR="000C6DF8">
        <w:rPr>
          <w:rFonts w:ascii="Times New Roman" w:hAnsi="Times New Roman" w:cs="Times New Roman"/>
        </w:rPr>
        <w:t xml:space="preserve">quality </w:t>
      </w:r>
      <w:r w:rsidR="00E14FCD">
        <w:rPr>
          <w:rFonts w:ascii="Times New Roman" w:hAnsi="Times New Roman" w:cs="Times New Roman"/>
        </w:rPr>
        <w:t xml:space="preserve">product </w:t>
      </w:r>
      <w:r w:rsidR="000C6DF8">
        <w:rPr>
          <w:rFonts w:ascii="Times New Roman" w:hAnsi="Times New Roman" w:cs="Times New Roman"/>
        </w:rPr>
        <w:t xml:space="preserve">and </w:t>
      </w:r>
      <w:r w:rsidR="00E14FCD">
        <w:rPr>
          <w:rFonts w:ascii="Times New Roman" w:hAnsi="Times New Roman" w:cs="Times New Roman"/>
        </w:rPr>
        <w:t xml:space="preserve">providing excellent </w:t>
      </w:r>
      <w:r w:rsidR="000C6DF8">
        <w:rPr>
          <w:rFonts w:ascii="Times New Roman" w:hAnsi="Times New Roman" w:cs="Times New Roman"/>
        </w:rPr>
        <w:t>customer service sets it apart from its peers</w:t>
      </w:r>
      <w:r w:rsidR="0057150C" w:rsidRPr="0057150C">
        <w:rPr>
          <w:rFonts w:ascii="Times New Roman" w:hAnsi="Times New Roman" w:cs="Times New Roman"/>
        </w:rPr>
        <w:t xml:space="preserve">. </w:t>
      </w:r>
      <w:r w:rsidR="00E169BE" w:rsidRPr="0057150C">
        <w:rPr>
          <w:rFonts w:ascii="Times New Roman" w:hAnsi="Times New Roman" w:cs="Times New Roman"/>
        </w:rPr>
        <w:t>We</w:t>
      </w:r>
      <w:r w:rsidRPr="0057150C">
        <w:rPr>
          <w:rFonts w:ascii="Times New Roman" w:hAnsi="Times New Roman" w:cs="Times New Roman"/>
        </w:rPr>
        <w:t xml:space="preserve"> are </w:t>
      </w:r>
      <w:r w:rsidR="0057150C" w:rsidRPr="0057150C">
        <w:rPr>
          <w:rFonts w:ascii="Times New Roman" w:hAnsi="Times New Roman" w:cs="Times New Roman"/>
        </w:rPr>
        <w:t xml:space="preserve">very </w:t>
      </w:r>
      <w:r w:rsidRPr="0057150C">
        <w:rPr>
          <w:rFonts w:ascii="Times New Roman" w:hAnsi="Times New Roman" w:cs="Times New Roman"/>
        </w:rPr>
        <w:t xml:space="preserve">excited to partner with </w:t>
      </w:r>
      <w:r w:rsidR="00E169BE" w:rsidRPr="0057150C">
        <w:rPr>
          <w:rFonts w:ascii="Times New Roman" w:hAnsi="Times New Roman" w:cs="Times New Roman"/>
        </w:rPr>
        <w:t xml:space="preserve">the talented team at </w:t>
      </w:r>
      <w:r w:rsidR="008917B9">
        <w:rPr>
          <w:rFonts w:ascii="Times New Roman" w:hAnsi="Times New Roman" w:cs="Times New Roman"/>
        </w:rPr>
        <w:t>Utah Pacific</w:t>
      </w:r>
      <w:r w:rsidR="000C6DF8">
        <w:rPr>
          <w:rFonts w:ascii="Times New Roman" w:hAnsi="Times New Roman" w:cs="Times New Roman"/>
        </w:rPr>
        <w:t xml:space="preserve"> </w:t>
      </w:r>
      <w:r w:rsidR="00E169BE" w:rsidRPr="0057150C">
        <w:rPr>
          <w:rFonts w:ascii="Times New Roman" w:hAnsi="Times New Roman" w:cs="Times New Roman"/>
        </w:rPr>
        <w:t xml:space="preserve">and look forward to helping </w:t>
      </w:r>
      <w:r w:rsidRPr="0057150C">
        <w:rPr>
          <w:rFonts w:ascii="Times New Roman" w:hAnsi="Times New Roman" w:cs="Times New Roman"/>
        </w:rPr>
        <w:t xml:space="preserve">the </w:t>
      </w:r>
      <w:r w:rsidR="002B7917">
        <w:rPr>
          <w:rFonts w:ascii="Times New Roman" w:hAnsi="Times New Roman" w:cs="Times New Roman"/>
        </w:rPr>
        <w:t>c</w:t>
      </w:r>
      <w:r w:rsidRPr="0057150C">
        <w:rPr>
          <w:rFonts w:ascii="Times New Roman" w:hAnsi="Times New Roman" w:cs="Times New Roman"/>
        </w:rPr>
        <w:t xml:space="preserve">ompany </w:t>
      </w:r>
      <w:r w:rsidR="00E169BE" w:rsidRPr="0057150C">
        <w:rPr>
          <w:rFonts w:ascii="Times New Roman" w:hAnsi="Times New Roman" w:cs="Times New Roman"/>
        </w:rPr>
        <w:t xml:space="preserve">as it enters </w:t>
      </w:r>
      <w:r w:rsidRPr="0057150C">
        <w:rPr>
          <w:rFonts w:ascii="Times New Roman" w:hAnsi="Times New Roman" w:cs="Times New Roman"/>
        </w:rPr>
        <w:t xml:space="preserve">its next phase of growth,” said </w:t>
      </w:r>
      <w:r w:rsidR="008917B9">
        <w:rPr>
          <w:rFonts w:ascii="Times New Roman" w:hAnsi="Times New Roman" w:cs="Times New Roman"/>
        </w:rPr>
        <w:t>Kyle Largent</w:t>
      </w:r>
      <w:r w:rsidRPr="0057150C">
        <w:rPr>
          <w:rFonts w:ascii="Times New Roman" w:hAnsi="Times New Roman" w:cs="Times New Roman"/>
        </w:rPr>
        <w:t xml:space="preserve">, </w:t>
      </w:r>
      <w:r w:rsidR="00F416D6">
        <w:rPr>
          <w:rFonts w:ascii="Times New Roman" w:hAnsi="Times New Roman" w:cs="Times New Roman"/>
        </w:rPr>
        <w:t xml:space="preserve">Executive Vice President and </w:t>
      </w:r>
      <w:r w:rsidR="008917B9">
        <w:rPr>
          <w:rFonts w:ascii="Times New Roman" w:hAnsi="Times New Roman" w:cs="Times New Roman"/>
        </w:rPr>
        <w:t xml:space="preserve">Senior </w:t>
      </w:r>
      <w:r w:rsidRPr="0057150C">
        <w:rPr>
          <w:rFonts w:ascii="Times New Roman" w:hAnsi="Times New Roman" w:cs="Times New Roman"/>
        </w:rPr>
        <w:t>Managing Director of Gladstone Investment.</w:t>
      </w:r>
    </w:p>
    <w:p w14:paraId="3BAFE349" w14:textId="7FFE1010" w:rsidR="001B4AB3" w:rsidRPr="000A2165" w:rsidRDefault="006948D1" w:rsidP="000A2165">
      <w:pPr>
        <w:jc w:val="both"/>
      </w:pPr>
      <w:r>
        <w:t xml:space="preserve">Gladstone Investment is a publicly traded business development company that seeks to </w:t>
      </w:r>
      <w:r w:rsidR="00B57F0E">
        <w:t xml:space="preserve">acquire </w:t>
      </w:r>
      <w:r>
        <w:t>lower middle market businesses in the United States</w:t>
      </w:r>
      <w:r w:rsidR="00B57F0E">
        <w:t>, providing both equity and secured debt investments in its transaction</w:t>
      </w:r>
      <w:r w:rsidR="00704E4F">
        <w:t>s</w:t>
      </w:r>
      <w:r w:rsidR="00B57F0E">
        <w:t xml:space="preserve">. </w:t>
      </w:r>
      <w:r>
        <w:t>Additional information on the transaction can be found at</w:t>
      </w:r>
      <w:r>
        <w:rPr>
          <w:color w:val="1F497D"/>
        </w:rPr>
        <w:t xml:space="preserve"> </w:t>
      </w:r>
      <w:hyperlink r:id="rId6" w:history="1">
        <w:r>
          <w:rPr>
            <w:rStyle w:val="Hyperlink"/>
          </w:rPr>
          <w:t>www.gladstoneinvestment.com</w:t>
        </w:r>
      </w:hyperlink>
      <w:r w:rsidRPr="000A2165">
        <w:t>.</w:t>
      </w:r>
    </w:p>
    <w:p w14:paraId="65AF373E" w14:textId="77777777" w:rsidR="006948D1" w:rsidRDefault="006948D1" w:rsidP="00E35797">
      <w:pPr>
        <w:jc w:val="both"/>
      </w:pPr>
    </w:p>
    <w:p w14:paraId="0DE7298E" w14:textId="0C5B30EF" w:rsidR="00CD3795" w:rsidRDefault="00B613C4" w:rsidP="00E35797">
      <w:pPr>
        <w:jc w:val="both"/>
      </w:pPr>
      <w:r>
        <w:t xml:space="preserve">For Investor Relations inquiries related to any of the monthly dividend paying Gladstone funds, please visit </w:t>
      </w:r>
      <w:hyperlink r:id="rId7" w:history="1">
        <w:r w:rsidR="005B4CC6">
          <w:rPr>
            <w:rStyle w:val="Hyperlink"/>
          </w:rPr>
          <w:t>www.gladstonecompanies.com</w:t>
        </w:r>
      </w:hyperlink>
      <w:r>
        <w:t xml:space="preserve">. </w:t>
      </w:r>
    </w:p>
    <w:p w14:paraId="7831F2DE" w14:textId="77777777" w:rsidR="001B4AB3" w:rsidRDefault="001B4AB3" w:rsidP="00E35797">
      <w:pPr>
        <w:jc w:val="both"/>
      </w:pPr>
    </w:p>
    <w:p w14:paraId="2F3F1706" w14:textId="77777777" w:rsidR="00A523C4" w:rsidRPr="00364AA1" w:rsidRDefault="00A523C4" w:rsidP="00E35797">
      <w:pPr>
        <w:jc w:val="both"/>
        <w:rPr>
          <w:i/>
          <w:sz w:val="20"/>
          <w:szCs w:val="20"/>
          <w:u w:val="single"/>
        </w:rPr>
      </w:pPr>
      <w:r w:rsidRPr="00364AA1">
        <w:rPr>
          <w:i/>
          <w:sz w:val="20"/>
          <w:szCs w:val="20"/>
          <w:u w:val="single"/>
        </w:rPr>
        <w:t>Forward-looking Statements:</w:t>
      </w:r>
    </w:p>
    <w:p w14:paraId="22631C12" w14:textId="21AA408B" w:rsidR="00F1403C" w:rsidRPr="00F1403C" w:rsidRDefault="00F941EF" w:rsidP="00E35797">
      <w:pPr>
        <w:jc w:val="both"/>
        <w:rPr>
          <w:i/>
          <w:sz w:val="20"/>
          <w:szCs w:val="20"/>
        </w:rPr>
      </w:pPr>
      <w:r w:rsidRPr="00364AA1">
        <w:rPr>
          <w:i/>
          <w:sz w:val="20"/>
          <w:szCs w:val="20"/>
        </w:rPr>
        <w:t xml:space="preserve">The statements in this press release regarding the longer-term prospects of </w:t>
      </w:r>
      <w:r w:rsidR="00FA7A75">
        <w:rPr>
          <w:i/>
          <w:sz w:val="20"/>
          <w:szCs w:val="20"/>
        </w:rPr>
        <w:t xml:space="preserve">Gladstone Investment and </w:t>
      </w:r>
      <w:r w:rsidR="008917B9">
        <w:rPr>
          <w:i/>
          <w:sz w:val="20"/>
          <w:szCs w:val="20"/>
        </w:rPr>
        <w:t>Utah Pacific</w:t>
      </w:r>
      <w:r w:rsidR="00672A63">
        <w:rPr>
          <w:i/>
          <w:sz w:val="20"/>
          <w:szCs w:val="20"/>
        </w:rPr>
        <w:t xml:space="preserve"> </w:t>
      </w:r>
      <w:r w:rsidRPr="00364AA1">
        <w:rPr>
          <w:i/>
          <w:sz w:val="20"/>
          <w:szCs w:val="20"/>
        </w:rPr>
        <w:t>and its management team, and the ability of</w:t>
      </w:r>
      <w:r w:rsidR="00FA7A75">
        <w:rPr>
          <w:i/>
          <w:sz w:val="20"/>
          <w:szCs w:val="20"/>
        </w:rPr>
        <w:t xml:space="preserve"> Gladstone Investment and</w:t>
      </w:r>
      <w:r w:rsidRPr="00364AA1">
        <w:rPr>
          <w:i/>
          <w:sz w:val="20"/>
          <w:szCs w:val="20"/>
        </w:rPr>
        <w:t xml:space="preserve"> </w:t>
      </w:r>
      <w:r w:rsidR="008917B9">
        <w:rPr>
          <w:i/>
          <w:sz w:val="20"/>
          <w:szCs w:val="20"/>
        </w:rPr>
        <w:t>Utah Pacific</w:t>
      </w:r>
      <w:r w:rsidR="00E97490">
        <w:rPr>
          <w:i/>
          <w:sz w:val="20"/>
          <w:szCs w:val="20"/>
        </w:rPr>
        <w:t xml:space="preserve"> </w:t>
      </w:r>
      <w:r w:rsidRPr="00364AA1">
        <w:rPr>
          <w:i/>
          <w:sz w:val="20"/>
          <w:szCs w:val="20"/>
        </w:rPr>
        <w:t xml:space="preserve">to grow and expand are "forward-looking statements." </w:t>
      </w:r>
      <w:r w:rsidRPr="000C186D">
        <w:rPr>
          <w:i/>
          <w:sz w:val="20"/>
          <w:szCs w:val="20"/>
        </w:rPr>
        <w:t xml:space="preserve">These forward-looking statements inherently involve certain risks and uncertainties in predicting future results and conditions. Although these statements are based on Gladstone Investment's current plans that are believed to be reasonable as of the date of this press release, a number of factors could cause actual results and conditions to differ materially from these forward-looking statements, including those factors described from time to time in Gladstone Investment's filings with the Securities and Exchange Commission. Gladstone Investment undertakes no obligation to </w:t>
      </w:r>
      <w:r w:rsidR="00BC6A2E" w:rsidRPr="00BC6A2E">
        <w:rPr>
          <w:i/>
          <w:sz w:val="20"/>
          <w:szCs w:val="20"/>
        </w:rPr>
        <w:t>update or revise these forward</w:t>
      </w:r>
      <w:r w:rsidR="00672A63">
        <w:rPr>
          <w:i/>
          <w:sz w:val="20"/>
          <w:szCs w:val="20"/>
        </w:rPr>
        <w:t>-</w:t>
      </w:r>
      <w:r w:rsidR="00BC6A2E" w:rsidRPr="00BC6A2E">
        <w:rPr>
          <w:i/>
          <w:sz w:val="20"/>
          <w:szCs w:val="20"/>
        </w:rPr>
        <w:t>looking statements whether as a result of new information, future events or otherwise, except as required by law</w:t>
      </w:r>
      <w:r w:rsidR="00BC6A2E">
        <w:rPr>
          <w:i/>
          <w:sz w:val="20"/>
          <w:szCs w:val="20"/>
        </w:rPr>
        <w:t>.</w:t>
      </w:r>
    </w:p>
    <w:p w14:paraId="4F389EAD" w14:textId="77777777" w:rsidR="00F1403C" w:rsidRDefault="00F1403C" w:rsidP="00E35797">
      <w:pPr>
        <w:jc w:val="both"/>
        <w:rPr>
          <w:sz w:val="20"/>
          <w:szCs w:val="20"/>
        </w:rPr>
      </w:pPr>
    </w:p>
    <w:p w14:paraId="4A2C3F45" w14:textId="77777777" w:rsidR="00364AA1" w:rsidRDefault="00364AA1" w:rsidP="00E35797">
      <w:pPr>
        <w:jc w:val="both"/>
        <w:rPr>
          <w:sz w:val="20"/>
          <w:szCs w:val="20"/>
        </w:rPr>
      </w:pPr>
    </w:p>
    <w:p w14:paraId="1E840D8A" w14:textId="77777777" w:rsidR="00F941EF" w:rsidRDefault="00F941EF" w:rsidP="00F941EF">
      <w:r>
        <w:t>SOURCE</w:t>
      </w:r>
      <w:r w:rsidRPr="00AB48D6">
        <w:t>:</w:t>
      </w:r>
      <w:r>
        <w:t xml:space="preserve">  Gladstone Investment Corporation</w:t>
      </w:r>
    </w:p>
    <w:p w14:paraId="4B0827F2" w14:textId="77777777" w:rsidR="00F941EF" w:rsidRDefault="00F941EF" w:rsidP="00F941EF"/>
    <w:p w14:paraId="12F14D54" w14:textId="77777777" w:rsidR="00364AA1" w:rsidRDefault="00F941EF" w:rsidP="001E08CB">
      <w:pPr>
        <w:rPr>
          <w:sz w:val="20"/>
          <w:szCs w:val="20"/>
        </w:rPr>
      </w:pPr>
      <w:r>
        <w:t>For further information: Gladstone Investment Corporation, 703-287-5893</w:t>
      </w:r>
    </w:p>
    <w:sectPr w:rsidR="00364AA1" w:rsidSect="000F4AFD">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620" w:left="180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E90AF" w14:textId="77777777" w:rsidR="00491EA9" w:rsidRDefault="00491EA9">
      <w:r>
        <w:separator/>
      </w:r>
    </w:p>
  </w:endnote>
  <w:endnote w:type="continuationSeparator" w:id="0">
    <w:p w14:paraId="58C0786D" w14:textId="77777777" w:rsidR="00491EA9" w:rsidRDefault="00491EA9">
      <w:r>
        <w:continuationSeparator/>
      </w:r>
    </w:p>
  </w:endnote>
  <w:endnote w:type="continuationNotice" w:id="1">
    <w:p w14:paraId="1BC66A13" w14:textId="77777777" w:rsidR="00491EA9" w:rsidRDefault="00491E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02909" w14:textId="77777777" w:rsidR="004931EC" w:rsidRDefault="004931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3510" w14:textId="77777777" w:rsidR="004931EC" w:rsidRDefault="004931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3060" w14:textId="77777777" w:rsidR="004931EC" w:rsidRDefault="00493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A5A90" w14:textId="77777777" w:rsidR="00491EA9" w:rsidRDefault="00491EA9">
      <w:r>
        <w:separator/>
      </w:r>
    </w:p>
  </w:footnote>
  <w:footnote w:type="continuationSeparator" w:id="0">
    <w:p w14:paraId="33745FAE" w14:textId="77777777" w:rsidR="00491EA9" w:rsidRDefault="00491EA9">
      <w:r>
        <w:continuationSeparator/>
      </w:r>
    </w:p>
  </w:footnote>
  <w:footnote w:type="continuationNotice" w:id="1">
    <w:p w14:paraId="70B47676" w14:textId="77777777" w:rsidR="00491EA9" w:rsidRDefault="00491E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48FF8" w14:textId="77777777" w:rsidR="004931EC" w:rsidRDefault="00493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6317" w14:textId="77777777" w:rsidR="00FA199F" w:rsidRDefault="00AC2017">
    <w:pPr>
      <w:pStyle w:val="Header"/>
      <w:jc w:val="center"/>
    </w:pPr>
    <w:r>
      <w:rPr>
        <w:noProof/>
      </w:rPr>
      <w:drawing>
        <wp:inline distT="0" distB="0" distL="0" distR="0" wp14:anchorId="2CB03371" wp14:editId="7EB24326">
          <wp:extent cx="4572000" cy="276225"/>
          <wp:effectExtent l="0" t="0" r="0" b="9525"/>
          <wp:docPr id="1" name="Picture 1" descr="gain - nasd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in - nasdaq"/>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0" cy="2762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85C7B" w14:textId="77777777" w:rsidR="004931EC" w:rsidRDefault="004931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9F"/>
    <w:rsid w:val="00016A4E"/>
    <w:rsid w:val="000307AB"/>
    <w:rsid w:val="000367FC"/>
    <w:rsid w:val="000411AC"/>
    <w:rsid w:val="00067EA0"/>
    <w:rsid w:val="00087463"/>
    <w:rsid w:val="0009209B"/>
    <w:rsid w:val="000965DD"/>
    <w:rsid w:val="000A2165"/>
    <w:rsid w:val="000A5129"/>
    <w:rsid w:val="000A7B1C"/>
    <w:rsid w:val="000B3226"/>
    <w:rsid w:val="000C6DF8"/>
    <w:rsid w:val="000D5F7F"/>
    <w:rsid w:val="000D691F"/>
    <w:rsid w:val="000E1643"/>
    <w:rsid w:val="000E551A"/>
    <w:rsid w:val="000F12BC"/>
    <w:rsid w:val="000F4AFD"/>
    <w:rsid w:val="00103A47"/>
    <w:rsid w:val="00106C9D"/>
    <w:rsid w:val="00131DAE"/>
    <w:rsid w:val="00132BD1"/>
    <w:rsid w:val="00132F24"/>
    <w:rsid w:val="00142A3E"/>
    <w:rsid w:val="00143047"/>
    <w:rsid w:val="00157B08"/>
    <w:rsid w:val="00161A70"/>
    <w:rsid w:val="00165662"/>
    <w:rsid w:val="0016779B"/>
    <w:rsid w:val="00172C50"/>
    <w:rsid w:val="00174E6D"/>
    <w:rsid w:val="001803D7"/>
    <w:rsid w:val="00193412"/>
    <w:rsid w:val="001A0001"/>
    <w:rsid w:val="001B2837"/>
    <w:rsid w:val="001B4AB3"/>
    <w:rsid w:val="001D1F0D"/>
    <w:rsid w:val="001D2235"/>
    <w:rsid w:val="001E08CB"/>
    <w:rsid w:val="00203B16"/>
    <w:rsid w:val="00207650"/>
    <w:rsid w:val="002238D5"/>
    <w:rsid w:val="00224B7A"/>
    <w:rsid w:val="00242AD4"/>
    <w:rsid w:val="00257FC1"/>
    <w:rsid w:val="00267CBA"/>
    <w:rsid w:val="0028021C"/>
    <w:rsid w:val="00284E5E"/>
    <w:rsid w:val="002A411C"/>
    <w:rsid w:val="002B58AF"/>
    <w:rsid w:val="002B7853"/>
    <w:rsid w:val="002B7917"/>
    <w:rsid w:val="002D60CF"/>
    <w:rsid w:val="002E06D0"/>
    <w:rsid w:val="002E7FE8"/>
    <w:rsid w:val="002F325E"/>
    <w:rsid w:val="002F4C1B"/>
    <w:rsid w:val="002F779E"/>
    <w:rsid w:val="00303FBF"/>
    <w:rsid w:val="00304A0C"/>
    <w:rsid w:val="0030779A"/>
    <w:rsid w:val="0031098E"/>
    <w:rsid w:val="003119C0"/>
    <w:rsid w:val="00335887"/>
    <w:rsid w:val="00346A54"/>
    <w:rsid w:val="00357CC3"/>
    <w:rsid w:val="00363CF0"/>
    <w:rsid w:val="00364401"/>
    <w:rsid w:val="00364AA1"/>
    <w:rsid w:val="00364B8B"/>
    <w:rsid w:val="00370DD7"/>
    <w:rsid w:val="003740ED"/>
    <w:rsid w:val="00392EA9"/>
    <w:rsid w:val="003A67F2"/>
    <w:rsid w:val="003D1804"/>
    <w:rsid w:val="003D6A60"/>
    <w:rsid w:val="003E00DA"/>
    <w:rsid w:val="003E71B0"/>
    <w:rsid w:val="003F2A48"/>
    <w:rsid w:val="003F7B65"/>
    <w:rsid w:val="003F7E37"/>
    <w:rsid w:val="00400403"/>
    <w:rsid w:val="00405173"/>
    <w:rsid w:val="00407F4C"/>
    <w:rsid w:val="00421EA7"/>
    <w:rsid w:val="00437FF4"/>
    <w:rsid w:val="00441320"/>
    <w:rsid w:val="004617F0"/>
    <w:rsid w:val="0047092E"/>
    <w:rsid w:val="0048304C"/>
    <w:rsid w:val="00491EA9"/>
    <w:rsid w:val="00492436"/>
    <w:rsid w:val="00492CFC"/>
    <w:rsid w:val="004931EC"/>
    <w:rsid w:val="00495CC6"/>
    <w:rsid w:val="004A0558"/>
    <w:rsid w:val="004D5DC1"/>
    <w:rsid w:val="004D62D9"/>
    <w:rsid w:val="004E6EF1"/>
    <w:rsid w:val="004F1E22"/>
    <w:rsid w:val="004F6E9C"/>
    <w:rsid w:val="005066F0"/>
    <w:rsid w:val="00506E2B"/>
    <w:rsid w:val="005139C1"/>
    <w:rsid w:val="0052789D"/>
    <w:rsid w:val="00543131"/>
    <w:rsid w:val="0057004F"/>
    <w:rsid w:val="0057150C"/>
    <w:rsid w:val="00572DBC"/>
    <w:rsid w:val="00576B8E"/>
    <w:rsid w:val="0059787B"/>
    <w:rsid w:val="005B4CC6"/>
    <w:rsid w:val="005C2A04"/>
    <w:rsid w:val="005C2F54"/>
    <w:rsid w:val="005C58C6"/>
    <w:rsid w:val="005C6515"/>
    <w:rsid w:val="005D4E9C"/>
    <w:rsid w:val="005D6F2D"/>
    <w:rsid w:val="005E2289"/>
    <w:rsid w:val="005E4EEF"/>
    <w:rsid w:val="00611EEF"/>
    <w:rsid w:val="0062236D"/>
    <w:rsid w:val="00623AEB"/>
    <w:rsid w:val="00627704"/>
    <w:rsid w:val="006312B5"/>
    <w:rsid w:val="00636A50"/>
    <w:rsid w:val="006469EE"/>
    <w:rsid w:val="00663DB8"/>
    <w:rsid w:val="00664624"/>
    <w:rsid w:val="006646EF"/>
    <w:rsid w:val="00667979"/>
    <w:rsid w:val="00672A63"/>
    <w:rsid w:val="00677B45"/>
    <w:rsid w:val="006910AC"/>
    <w:rsid w:val="006948D1"/>
    <w:rsid w:val="006970AB"/>
    <w:rsid w:val="006A15B1"/>
    <w:rsid w:val="006A558C"/>
    <w:rsid w:val="006B096A"/>
    <w:rsid w:val="006C490F"/>
    <w:rsid w:val="006C756C"/>
    <w:rsid w:val="006E5026"/>
    <w:rsid w:val="006F3C7C"/>
    <w:rsid w:val="00704E4F"/>
    <w:rsid w:val="007106F1"/>
    <w:rsid w:val="0072387F"/>
    <w:rsid w:val="00731975"/>
    <w:rsid w:val="00753383"/>
    <w:rsid w:val="00761D3B"/>
    <w:rsid w:val="007766A4"/>
    <w:rsid w:val="00780D1A"/>
    <w:rsid w:val="00794157"/>
    <w:rsid w:val="00794C60"/>
    <w:rsid w:val="00796C67"/>
    <w:rsid w:val="007B017F"/>
    <w:rsid w:val="007B6928"/>
    <w:rsid w:val="007D0B9B"/>
    <w:rsid w:val="007D1F8E"/>
    <w:rsid w:val="007D2811"/>
    <w:rsid w:val="007F4F00"/>
    <w:rsid w:val="0080094C"/>
    <w:rsid w:val="0081152B"/>
    <w:rsid w:val="0081159E"/>
    <w:rsid w:val="0083323A"/>
    <w:rsid w:val="008824B9"/>
    <w:rsid w:val="00890BCD"/>
    <w:rsid w:val="008917B9"/>
    <w:rsid w:val="008B39DA"/>
    <w:rsid w:val="008C1230"/>
    <w:rsid w:val="008C2D0E"/>
    <w:rsid w:val="008D4BC0"/>
    <w:rsid w:val="008D54B4"/>
    <w:rsid w:val="008D63B1"/>
    <w:rsid w:val="008E44CB"/>
    <w:rsid w:val="008F4174"/>
    <w:rsid w:val="009033A2"/>
    <w:rsid w:val="0092506D"/>
    <w:rsid w:val="009340D4"/>
    <w:rsid w:val="0094446A"/>
    <w:rsid w:val="00947658"/>
    <w:rsid w:val="00974BC2"/>
    <w:rsid w:val="00996DEA"/>
    <w:rsid w:val="009B3831"/>
    <w:rsid w:val="009D057D"/>
    <w:rsid w:val="009D3BE9"/>
    <w:rsid w:val="009D61A3"/>
    <w:rsid w:val="009D6BA6"/>
    <w:rsid w:val="009D7250"/>
    <w:rsid w:val="009F2EEE"/>
    <w:rsid w:val="00A01A6B"/>
    <w:rsid w:val="00A21B9D"/>
    <w:rsid w:val="00A42E55"/>
    <w:rsid w:val="00A523C4"/>
    <w:rsid w:val="00A53290"/>
    <w:rsid w:val="00A67D48"/>
    <w:rsid w:val="00A7320F"/>
    <w:rsid w:val="00A81E04"/>
    <w:rsid w:val="00A849ED"/>
    <w:rsid w:val="00A97AA0"/>
    <w:rsid w:val="00AB1838"/>
    <w:rsid w:val="00AC0445"/>
    <w:rsid w:val="00AC2017"/>
    <w:rsid w:val="00AC493C"/>
    <w:rsid w:val="00AD3537"/>
    <w:rsid w:val="00AE0606"/>
    <w:rsid w:val="00AE4C36"/>
    <w:rsid w:val="00AE643D"/>
    <w:rsid w:val="00AF217E"/>
    <w:rsid w:val="00AF24ED"/>
    <w:rsid w:val="00B308E0"/>
    <w:rsid w:val="00B373F1"/>
    <w:rsid w:val="00B407B4"/>
    <w:rsid w:val="00B4193F"/>
    <w:rsid w:val="00B47DA5"/>
    <w:rsid w:val="00B52396"/>
    <w:rsid w:val="00B57708"/>
    <w:rsid w:val="00B57F0E"/>
    <w:rsid w:val="00B613C4"/>
    <w:rsid w:val="00B92521"/>
    <w:rsid w:val="00BA371A"/>
    <w:rsid w:val="00BA7B9F"/>
    <w:rsid w:val="00BB26A9"/>
    <w:rsid w:val="00BB505D"/>
    <w:rsid w:val="00BC591B"/>
    <w:rsid w:val="00BC6A2E"/>
    <w:rsid w:val="00BF4CB3"/>
    <w:rsid w:val="00C07EF2"/>
    <w:rsid w:val="00C255F3"/>
    <w:rsid w:val="00C4093E"/>
    <w:rsid w:val="00C436DF"/>
    <w:rsid w:val="00C46CA9"/>
    <w:rsid w:val="00C51527"/>
    <w:rsid w:val="00C5491D"/>
    <w:rsid w:val="00C6480B"/>
    <w:rsid w:val="00C66109"/>
    <w:rsid w:val="00C7173F"/>
    <w:rsid w:val="00C80C83"/>
    <w:rsid w:val="00C827E1"/>
    <w:rsid w:val="00C869C3"/>
    <w:rsid w:val="00C94119"/>
    <w:rsid w:val="00CA1D81"/>
    <w:rsid w:val="00CC6227"/>
    <w:rsid w:val="00CC654E"/>
    <w:rsid w:val="00CD3795"/>
    <w:rsid w:val="00CF2401"/>
    <w:rsid w:val="00CF366F"/>
    <w:rsid w:val="00CF61CF"/>
    <w:rsid w:val="00CF772A"/>
    <w:rsid w:val="00D112AD"/>
    <w:rsid w:val="00D332BE"/>
    <w:rsid w:val="00D35C45"/>
    <w:rsid w:val="00D35FE1"/>
    <w:rsid w:val="00D3635A"/>
    <w:rsid w:val="00D618FE"/>
    <w:rsid w:val="00D636B4"/>
    <w:rsid w:val="00D76B4A"/>
    <w:rsid w:val="00D80CD1"/>
    <w:rsid w:val="00DA3C66"/>
    <w:rsid w:val="00DA6E35"/>
    <w:rsid w:val="00DB1618"/>
    <w:rsid w:val="00DF10A8"/>
    <w:rsid w:val="00E00120"/>
    <w:rsid w:val="00E00755"/>
    <w:rsid w:val="00E111AC"/>
    <w:rsid w:val="00E119B5"/>
    <w:rsid w:val="00E14FCD"/>
    <w:rsid w:val="00E169BE"/>
    <w:rsid w:val="00E238C5"/>
    <w:rsid w:val="00E353AC"/>
    <w:rsid w:val="00E35797"/>
    <w:rsid w:val="00E35C98"/>
    <w:rsid w:val="00E516E3"/>
    <w:rsid w:val="00E73E38"/>
    <w:rsid w:val="00E97490"/>
    <w:rsid w:val="00EA5BE5"/>
    <w:rsid w:val="00EB459D"/>
    <w:rsid w:val="00ED208D"/>
    <w:rsid w:val="00ED4575"/>
    <w:rsid w:val="00ED6428"/>
    <w:rsid w:val="00ED72B2"/>
    <w:rsid w:val="00EE5379"/>
    <w:rsid w:val="00EF6684"/>
    <w:rsid w:val="00F1403C"/>
    <w:rsid w:val="00F1560F"/>
    <w:rsid w:val="00F33E89"/>
    <w:rsid w:val="00F37D53"/>
    <w:rsid w:val="00F416D6"/>
    <w:rsid w:val="00F42B33"/>
    <w:rsid w:val="00F45064"/>
    <w:rsid w:val="00F8339D"/>
    <w:rsid w:val="00F864E4"/>
    <w:rsid w:val="00F941EF"/>
    <w:rsid w:val="00F957F6"/>
    <w:rsid w:val="00FA199F"/>
    <w:rsid w:val="00FA5743"/>
    <w:rsid w:val="00FA7A75"/>
    <w:rsid w:val="00FC1C75"/>
    <w:rsid w:val="00FD0F87"/>
    <w:rsid w:val="00FD2BA2"/>
    <w:rsid w:val="00FD54E5"/>
    <w:rsid w:val="00FE12FC"/>
    <w:rsid w:val="00FE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2A4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AFD"/>
    <w:rPr>
      <w:sz w:val="24"/>
      <w:szCs w:val="24"/>
    </w:rPr>
  </w:style>
  <w:style w:type="paragraph" w:styleId="Heading2">
    <w:name w:val="heading 2"/>
    <w:basedOn w:val="Normal"/>
    <w:next w:val="Normal"/>
    <w:qFormat/>
    <w:rsid w:val="000F4AFD"/>
    <w:pPr>
      <w:keepNext/>
      <w:outlineLvl w:val="1"/>
    </w:pPr>
    <w:rPr>
      <w:noProo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0F4AFD"/>
    <w:pPr>
      <w:framePr w:w="3845" w:h="1584" w:hSpace="187" w:vSpace="187" w:wrap="notBeside" w:vAnchor="page" w:hAnchor="margin" w:y="894" w:anchorLock="1"/>
      <w:spacing w:line="280" w:lineRule="atLeast"/>
      <w:jc w:val="both"/>
    </w:pPr>
    <w:rPr>
      <w:rFonts w:ascii="Arial Black" w:hAnsi="Arial Black"/>
      <w:spacing w:val="-25"/>
      <w:sz w:val="32"/>
      <w:szCs w:val="20"/>
    </w:rPr>
  </w:style>
  <w:style w:type="paragraph" w:styleId="NormalWeb">
    <w:name w:val="Normal (Web)"/>
    <w:basedOn w:val="Normal"/>
    <w:uiPriority w:val="99"/>
    <w:rsid w:val="000F4AFD"/>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rsid w:val="000F4AFD"/>
    <w:rPr>
      <w:rFonts w:cs="Times New Roman"/>
      <w:color w:val="0000FF"/>
      <w:u w:val="single"/>
    </w:rPr>
  </w:style>
  <w:style w:type="table" w:styleId="TableGrid">
    <w:name w:val="Table Grid"/>
    <w:basedOn w:val="TableNormal"/>
    <w:rsid w:val="000F4AF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0F4AFD"/>
    <w:rPr>
      <w:rFonts w:ascii="Tahoma" w:hAnsi="Tahoma" w:cs="Tahoma"/>
      <w:sz w:val="16"/>
      <w:szCs w:val="16"/>
    </w:rPr>
  </w:style>
  <w:style w:type="paragraph" w:styleId="Header">
    <w:name w:val="header"/>
    <w:basedOn w:val="Normal"/>
    <w:rsid w:val="000F4AFD"/>
    <w:pPr>
      <w:tabs>
        <w:tab w:val="center" w:pos="4320"/>
        <w:tab w:val="right" w:pos="8640"/>
      </w:tabs>
    </w:pPr>
  </w:style>
  <w:style w:type="paragraph" w:styleId="Footer">
    <w:name w:val="footer"/>
    <w:basedOn w:val="Normal"/>
    <w:rsid w:val="000F4AFD"/>
    <w:pPr>
      <w:tabs>
        <w:tab w:val="center" w:pos="4320"/>
        <w:tab w:val="right" w:pos="8640"/>
      </w:tabs>
    </w:pPr>
  </w:style>
  <w:style w:type="character" w:customStyle="1" w:styleId="ArialB-NUMBEREDSECTIONS">
    <w:name w:val="Arial B- NUMBERED SECTIONS"/>
    <w:basedOn w:val="DefaultParagraphFont"/>
    <w:rsid w:val="0062236D"/>
    <w:rPr>
      <w:rFonts w:ascii="Arial" w:hAnsi="Arial"/>
      <w:b/>
      <w:bCs/>
      <w:color w:val="000080"/>
      <w:sz w:val="24"/>
      <w:szCs w:val="24"/>
    </w:rPr>
  </w:style>
  <w:style w:type="character" w:styleId="FollowedHyperlink">
    <w:name w:val="FollowedHyperlink"/>
    <w:basedOn w:val="DefaultParagraphFont"/>
    <w:rsid w:val="00AB1838"/>
    <w:rPr>
      <w:color w:val="800080"/>
      <w:u w:val="single"/>
    </w:rPr>
  </w:style>
  <w:style w:type="character" w:styleId="CommentReference">
    <w:name w:val="annotation reference"/>
    <w:basedOn w:val="DefaultParagraphFont"/>
    <w:rsid w:val="00F1403C"/>
    <w:rPr>
      <w:sz w:val="16"/>
      <w:szCs w:val="16"/>
    </w:rPr>
  </w:style>
  <w:style w:type="paragraph" w:styleId="CommentText">
    <w:name w:val="annotation text"/>
    <w:basedOn w:val="Normal"/>
    <w:link w:val="CommentTextChar"/>
    <w:rsid w:val="00F1403C"/>
    <w:rPr>
      <w:sz w:val="20"/>
      <w:szCs w:val="20"/>
    </w:rPr>
  </w:style>
  <w:style w:type="character" w:customStyle="1" w:styleId="CommentTextChar">
    <w:name w:val="Comment Text Char"/>
    <w:basedOn w:val="DefaultParagraphFont"/>
    <w:link w:val="CommentText"/>
    <w:rsid w:val="00F1403C"/>
  </w:style>
  <w:style w:type="paragraph" w:styleId="CommentSubject">
    <w:name w:val="annotation subject"/>
    <w:basedOn w:val="CommentText"/>
    <w:next w:val="CommentText"/>
    <w:link w:val="CommentSubjectChar"/>
    <w:rsid w:val="00F1403C"/>
    <w:rPr>
      <w:b/>
      <w:bCs/>
    </w:rPr>
  </w:style>
  <w:style w:type="character" w:customStyle="1" w:styleId="CommentSubjectChar">
    <w:name w:val="Comment Subject Char"/>
    <w:basedOn w:val="CommentTextChar"/>
    <w:link w:val="CommentSubject"/>
    <w:rsid w:val="00F140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
      <w:marLeft w:val="0"/>
      <w:marRight w:val="0"/>
      <w:marTop w:val="0"/>
      <w:marBottom w:val="0"/>
      <w:divBdr>
        <w:top w:val="none" w:sz="0" w:space="0" w:color="auto"/>
        <w:left w:val="none" w:sz="0" w:space="0" w:color="auto"/>
        <w:bottom w:val="none" w:sz="0" w:space="0" w:color="auto"/>
        <w:right w:val="none" w:sz="0" w:space="0" w:color="auto"/>
      </w:divBdr>
    </w:div>
    <w:div w:id="945384237">
      <w:bodyDiv w:val="1"/>
      <w:marLeft w:val="0"/>
      <w:marRight w:val="0"/>
      <w:marTop w:val="0"/>
      <w:marBottom w:val="0"/>
      <w:divBdr>
        <w:top w:val="none" w:sz="0" w:space="0" w:color="auto"/>
        <w:left w:val="none" w:sz="0" w:space="0" w:color="auto"/>
        <w:bottom w:val="none" w:sz="0" w:space="0" w:color="auto"/>
        <w:right w:val="none" w:sz="0" w:space="0" w:color="auto"/>
      </w:divBdr>
    </w:div>
    <w:div w:id="1726560046">
      <w:bodyDiv w:val="1"/>
      <w:marLeft w:val="0"/>
      <w:marRight w:val="0"/>
      <w:marTop w:val="0"/>
      <w:marBottom w:val="0"/>
      <w:divBdr>
        <w:top w:val="none" w:sz="0" w:space="0" w:color="auto"/>
        <w:left w:val="none" w:sz="0" w:space="0" w:color="auto"/>
        <w:bottom w:val="none" w:sz="0" w:space="0" w:color="auto"/>
        <w:right w:val="none" w:sz="0" w:space="0" w:color="auto"/>
      </w:divBdr>
      <w:divsChild>
        <w:div w:id="1854831477">
          <w:marLeft w:val="200"/>
          <w:marRight w:val="0"/>
          <w:marTop w:val="0"/>
          <w:marBottom w:val="0"/>
          <w:divBdr>
            <w:top w:val="none" w:sz="0" w:space="0" w:color="auto"/>
            <w:left w:val="none" w:sz="0" w:space="0" w:color="auto"/>
            <w:bottom w:val="none" w:sz="0" w:space="0" w:color="auto"/>
            <w:right w:val="none" w:sz="0" w:space="0" w:color="auto"/>
          </w:divBdr>
          <w:divsChild>
            <w:div w:id="202055979">
              <w:marLeft w:val="0"/>
              <w:marRight w:val="0"/>
              <w:marTop w:val="32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www.gladstonecompanies.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ladstoneinvestment.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2934</CharactersWithSpaces>
  <SharedDoc>false</SharedDoc>
  <HLinks>
    <vt:vector size="12" baseType="variant">
      <vt:variant>
        <vt:i4>5898243</vt:i4>
      </vt:variant>
      <vt:variant>
        <vt:i4>3</vt:i4>
      </vt:variant>
      <vt:variant>
        <vt:i4>0</vt:i4>
      </vt:variant>
      <vt:variant>
        <vt:i4>5</vt:i4>
      </vt:variant>
      <vt:variant>
        <vt:lpwstr>http://www.gladstone.com/</vt:lpwstr>
      </vt:variant>
      <vt:variant>
        <vt:lpwstr/>
      </vt:variant>
      <vt:variant>
        <vt:i4>3014713</vt:i4>
      </vt:variant>
      <vt:variant>
        <vt:i4>0</vt:i4>
      </vt:variant>
      <vt:variant>
        <vt:i4>0</vt:i4>
      </vt:variant>
      <vt:variant>
        <vt:i4>5</vt:i4>
      </vt:variant>
      <vt:variant>
        <vt:lpwstr>http://www.gladstonecompanies.com/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lastPrinted>1980-01-01T06:01:00Z</cp:lastPrinted>
  <dcterms:created xsi:type="dcterms:W3CDTF">2021-08-12T13:51:00Z</dcterms:created>
  <dcterms:modified xsi:type="dcterms:W3CDTF">2021-08-12T13:51:00Z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gFAA5ajW4yTOEjuEg3yQcOZHj+jyFbpF+e2CizPkezjYlcGu9dlePnH0DrYC1nmBXdBeqZlK4ATkU63K_x000d_
ZkHArmz48+obWNz6VETaLw8YZuj0rAnGj7+3QvzyVn42Pm/nYXbmEG/FaQWa8OaPQxpMR7XKjuqZ_x000d_
fegeReK3Lwm5bqnmiTMfvMprtl+HnJa02gtwRjXF+eshQt9t13J+UiWR6uKzlsOlQYct6/70XAWc_x000d_
28aSSIwZVXMd2wpqT</vt:lpwstr>
  </property>
  <property fmtid="{D5CDD505-2E9C-101B-9397-08002B2CF9AE}" pid="3" name="MAIL_MSG_ID2">
    <vt:lpwstr>tXOEoegq4om+Pbf1uuhwq+lFv5CjLdEPThZ4jh8uQwZHNxt7ZQQ0v0uqP2G_x000d_
TpidEq4u2D/ziJMVVtsZRnwo6MBWrt/9bxnh0w==</vt:lpwstr>
  </property>
  <property fmtid="{D5CDD505-2E9C-101B-9397-08002B2CF9AE}" pid="4" name="RESPONSE_SENDER_NAME">
    <vt:lpwstr>sAAAE9kkUq3pEoKxHZC1S88fBylR47mDtYn3JWO+aCTALzg=</vt:lpwstr>
  </property>
  <property fmtid="{D5CDD505-2E9C-101B-9397-08002B2CF9AE}" pid="5" name="EMAIL_OWNER_ADDRESS">
    <vt:lpwstr>MBAAug5tyHKiyJ+13nrofdlerB0Xf7bRHVjwW6/x+Y73a/fC4nmOLPVokJdtzHzFB65O2Afx6BxdMtU=</vt:lpwstr>
  </property>
</Properties>
</file>