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389A" w:rsidRDefault="006A750F">
      <w:pPr>
        <w:ind w:left="144" w:right="144"/>
        <w:jc w:val="right"/>
        <w:rPr>
          <w:sz w:val="20"/>
          <w:szCs w:val="20"/>
        </w:rPr>
      </w:pPr>
      <w:r>
        <w:rPr>
          <w:sz w:val="20"/>
          <w:szCs w:val="20"/>
        </w:rPr>
        <w:t> </w:t>
      </w:r>
    </w:p>
    <w:p w:rsidR="0048389A" w:rsidRDefault="00C44726">
      <w:pPr>
        <w:ind w:left="144" w:right="144"/>
        <w:rPr>
          <w:sz w:val="20"/>
          <w:szCs w:val="20"/>
        </w:rPr>
      </w:pPr>
      <w:r>
        <w:rPr>
          <w:noProof/>
          <w:sz w:val="20"/>
          <w:szCs w:val="20"/>
        </w:rPr>
        <w:drawing>
          <wp:inline distT="0" distB="0" distL="0" distR="0" wp14:anchorId="78902225" wp14:editId="4C7AED23">
            <wp:extent cx="1917700" cy="1438275"/>
            <wp:effectExtent l="0" t="0" r="635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vestarHolding_color (00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55839" cy="1466879"/>
                    </a:xfrm>
                    <a:prstGeom prst="rect">
                      <a:avLst/>
                    </a:prstGeom>
                  </pic:spPr>
                </pic:pic>
              </a:graphicData>
            </a:graphic>
          </wp:inline>
        </w:drawing>
      </w:r>
    </w:p>
    <w:p w:rsidR="0048389A" w:rsidRDefault="006A750F" w:rsidP="00C44726">
      <w:pPr>
        <w:ind w:left="144" w:right="144"/>
        <w:jc w:val="center"/>
        <w:rPr>
          <w:sz w:val="20"/>
          <w:szCs w:val="20"/>
        </w:rPr>
      </w:pPr>
      <w:r>
        <w:rPr>
          <w:b/>
          <w:bCs/>
          <w:sz w:val="20"/>
          <w:szCs w:val="20"/>
        </w:rPr>
        <w:t>Investar Holding Corporation Announces </w:t>
      </w:r>
      <w:bookmarkStart w:id="0" w:name="led123928F2021361617740527680"/>
      <w:r>
        <w:rPr>
          <w:b/>
          <w:bCs/>
          <w:sz w:val="20"/>
          <w:szCs w:val="20"/>
        </w:rPr>
        <w:t>2021</w:t>
      </w:r>
      <w:bookmarkEnd w:id="0"/>
      <w:r>
        <w:rPr>
          <w:b/>
          <w:bCs/>
          <w:sz w:val="20"/>
          <w:szCs w:val="20"/>
        </w:rPr>
        <w:t xml:space="preserve"> </w:t>
      </w:r>
      <w:bookmarkStart w:id="1" w:name="led123927F2021361617740560483"/>
      <w:r>
        <w:rPr>
          <w:b/>
          <w:bCs/>
          <w:sz w:val="20"/>
          <w:szCs w:val="20"/>
        </w:rPr>
        <w:t>Third Quarter Results</w:t>
      </w:r>
    </w:p>
    <w:p w:rsidR="0048389A" w:rsidRDefault="006A750F">
      <w:pPr>
        <w:ind w:left="144" w:right="144"/>
        <w:rPr>
          <w:sz w:val="20"/>
          <w:szCs w:val="20"/>
        </w:rPr>
      </w:pPr>
      <w:r>
        <w:rPr>
          <w:sz w:val="20"/>
          <w:szCs w:val="20"/>
        </w:rPr>
        <w:t> </w:t>
      </w:r>
    </w:p>
    <w:p w:rsidR="0048389A" w:rsidRDefault="006A750F">
      <w:pPr>
        <w:ind w:left="144" w:right="144"/>
        <w:rPr>
          <w:sz w:val="20"/>
          <w:szCs w:val="20"/>
        </w:rPr>
      </w:pPr>
      <w:r>
        <w:rPr>
          <w:sz w:val="20"/>
          <w:szCs w:val="20"/>
        </w:rPr>
        <w:t> </w:t>
      </w:r>
    </w:p>
    <w:p w:rsidR="0048389A" w:rsidRDefault="006A750F">
      <w:pPr>
        <w:ind w:left="144" w:right="144"/>
        <w:jc w:val="both"/>
        <w:rPr>
          <w:sz w:val="20"/>
          <w:szCs w:val="20"/>
        </w:rPr>
      </w:pPr>
      <w:r>
        <w:rPr>
          <w:sz w:val="20"/>
          <w:szCs w:val="20"/>
        </w:rPr>
        <w:t>BATON ROUGE, LA (October 21, 2021) – Investar Holding Corporation (“Investar”) (</w:t>
      </w:r>
      <w:proofErr w:type="gramStart"/>
      <w:r>
        <w:rPr>
          <w:sz w:val="20"/>
          <w:szCs w:val="20"/>
        </w:rPr>
        <w:t>NASDAQ:ISTR</w:t>
      </w:r>
      <w:proofErr w:type="gramEnd"/>
      <w:r>
        <w:rPr>
          <w:sz w:val="20"/>
          <w:szCs w:val="20"/>
        </w:rPr>
        <w:t xml:space="preserve">), the holding company for Investar Bank, National Association (the “Bank”), today announced financial results for the quarter ended </w:t>
      </w:r>
      <w:bookmarkStart w:id="2" w:name="led125891F2021371617813616983"/>
      <w:r>
        <w:rPr>
          <w:sz w:val="20"/>
          <w:szCs w:val="20"/>
        </w:rPr>
        <w:t>September 30, 2021. Investar reported a net loss of </w:t>
      </w:r>
      <w:bookmarkStart w:id="3" w:name="led126282F20215181624045034524"/>
      <w:r>
        <w:rPr>
          <w:sz w:val="20"/>
          <w:szCs w:val="20"/>
        </w:rPr>
        <w:t>$10.0</w:t>
      </w:r>
      <w:bookmarkEnd w:id="3"/>
      <w:r>
        <w:rPr>
          <w:sz w:val="20"/>
          <w:szCs w:val="20"/>
        </w:rPr>
        <w:t xml:space="preserve"> million, or </w:t>
      </w:r>
      <w:bookmarkStart w:id="4" w:name="led126282F20215181624048464890"/>
      <w:r>
        <w:rPr>
          <w:sz w:val="20"/>
          <w:szCs w:val="20"/>
        </w:rPr>
        <w:t>$0.95</w:t>
      </w:r>
      <w:bookmarkEnd w:id="4"/>
      <w:r>
        <w:rPr>
          <w:sz w:val="20"/>
          <w:szCs w:val="20"/>
        </w:rPr>
        <w:t xml:space="preserve"> per diluted common share, for the </w:t>
      </w:r>
      <w:bookmarkStart w:id="5" w:name="led125891F2021371617813413167"/>
      <w:r>
        <w:rPr>
          <w:sz w:val="20"/>
          <w:szCs w:val="20"/>
        </w:rPr>
        <w:t xml:space="preserve">third quarter of </w:t>
      </w:r>
      <w:bookmarkStart w:id="6" w:name="led125908F2021371617816259914"/>
      <w:r>
        <w:rPr>
          <w:sz w:val="20"/>
          <w:szCs w:val="20"/>
        </w:rPr>
        <w:t>2021, compared to net income of </w:t>
      </w:r>
      <w:bookmarkStart w:id="7" w:name="led126282F20215181624045071840"/>
      <w:r>
        <w:rPr>
          <w:sz w:val="20"/>
          <w:szCs w:val="20"/>
        </w:rPr>
        <w:t>$5.7</w:t>
      </w:r>
      <w:bookmarkEnd w:id="7"/>
      <w:r>
        <w:rPr>
          <w:sz w:val="20"/>
          <w:szCs w:val="20"/>
        </w:rPr>
        <w:t xml:space="preserve"> million, or </w:t>
      </w:r>
      <w:bookmarkStart w:id="8" w:name="led126282F20215181624048483431"/>
      <w:r>
        <w:rPr>
          <w:sz w:val="20"/>
          <w:szCs w:val="20"/>
        </w:rPr>
        <w:t>$0.53</w:t>
      </w:r>
      <w:bookmarkEnd w:id="8"/>
      <w:r>
        <w:rPr>
          <w:sz w:val="20"/>
          <w:szCs w:val="20"/>
        </w:rPr>
        <w:t xml:space="preserve"> per diluted common share, for the quarter ended </w:t>
      </w:r>
      <w:bookmarkStart w:id="9" w:name="led125891F2021361617743666269"/>
      <w:r>
        <w:rPr>
          <w:sz w:val="20"/>
          <w:szCs w:val="20"/>
        </w:rPr>
        <w:t>June 30, 2021, and net income of </w:t>
      </w:r>
      <w:bookmarkStart w:id="10" w:name="led126282F20215181624045090850"/>
      <w:r>
        <w:rPr>
          <w:sz w:val="20"/>
          <w:szCs w:val="20"/>
        </w:rPr>
        <w:t>$4.5</w:t>
      </w:r>
      <w:bookmarkEnd w:id="10"/>
      <w:r>
        <w:rPr>
          <w:sz w:val="20"/>
          <w:szCs w:val="20"/>
        </w:rPr>
        <w:t xml:space="preserve"> million, or </w:t>
      </w:r>
      <w:bookmarkStart w:id="11" w:name="led126282F20215181624048718813"/>
      <w:r>
        <w:rPr>
          <w:sz w:val="20"/>
          <w:szCs w:val="20"/>
        </w:rPr>
        <w:t>$0.41</w:t>
      </w:r>
      <w:bookmarkEnd w:id="11"/>
      <w:r>
        <w:rPr>
          <w:sz w:val="20"/>
          <w:szCs w:val="20"/>
        </w:rPr>
        <w:t xml:space="preserve"> per diluted common share, for the quarter ended </w:t>
      </w:r>
      <w:bookmarkStart w:id="12" w:name="led125891F2021371617813159831"/>
      <w:r>
        <w:rPr>
          <w:sz w:val="20"/>
          <w:szCs w:val="20"/>
        </w:rPr>
        <w:t xml:space="preserve">September 30, 2020. As previously reported, Investar’s third quarter results reflect a large impairment charge recorded as a result of Hurricane Ida, discussed in more detail below under </w:t>
      </w:r>
      <w:r>
        <w:rPr>
          <w:sz w:val="20"/>
          <w:szCs w:val="20"/>
          <w:u w:val="single"/>
        </w:rPr>
        <w:t>Credit Quality</w:t>
      </w:r>
      <w:r>
        <w:rPr>
          <w:sz w:val="20"/>
          <w:szCs w:val="20"/>
        </w:rPr>
        <w:t>.</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On a non-GAAP basis, core (loss) earnings per diluted common share for the third quarter of 2021 were (</w:t>
      </w:r>
      <w:bookmarkStart w:id="13" w:name="led126284F20215181624048792098"/>
      <w:r>
        <w:rPr>
          <w:sz w:val="20"/>
          <w:szCs w:val="20"/>
        </w:rPr>
        <w:t>$1.06</w:t>
      </w:r>
      <w:bookmarkEnd w:id="13"/>
      <w:r>
        <w:rPr>
          <w:sz w:val="20"/>
          <w:szCs w:val="20"/>
        </w:rPr>
        <w:t>) compared to </w:t>
      </w:r>
      <w:bookmarkStart w:id="14" w:name="led126284F20215181624048802229"/>
      <w:r>
        <w:rPr>
          <w:sz w:val="20"/>
          <w:szCs w:val="20"/>
        </w:rPr>
        <w:t>$0.53</w:t>
      </w:r>
      <w:bookmarkEnd w:id="14"/>
      <w:r>
        <w:rPr>
          <w:sz w:val="20"/>
          <w:szCs w:val="20"/>
        </w:rPr>
        <w:t xml:space="preserve"> for the first quarter of 2021 and </w:t>
      </w:r>
      <w:bookmarkStart w:id="15" w:name="led126284F20215181624048814190"/>
      <w:r>
        <w:rPr>
          <w:sz w:val="20"/>
          <w:szCs w:val="20"/>
        </w:rPr>
        <w:t>$0.35</w:t>
      </w:r>
      <w:bookmarkEnd w:id="15"/>
      <w:r>
        <w:rPr>
          <w:sz w:val="20"/>
          <w:szCs w:val="20"/>
        </w:rPr>
        <w:t xml:space="preserve"> for the third quarter of </w:t>
      </w:r>
      <w:bookmarkStart w:id="16" w:name="led125908F2021371617817041619"/>
      <w:r>
        <w:rPr>
          <w:sz w:val="20"/>
          <w:szCs w:val="20"/>
        </w:rPr>
        <w:t xml:space="preserve">2020. Core (loss) earnings exclude certain non-operating items including, but not limited to, gain on sale of investment securities, change in the fair value of equity securities, and acquisition expense (refer to the </w:t>
      </w:r>
      <w:r>
        <w:rPr>
          <w:i/>
          <w:iCs/>
          <w:sz w:val="20"/>
          <w:szCs w:val="20"/>
        </w:rPr>
        <w:t>Reconciliation of Non-GAAP Financial Measures</w:t>
      </w:r>
      <w:r>
        <w:rPr>
          <w:sz w:val="20"/>
          <w:szCs w:val="20"/>
        </w:rPr>
        <w:t xml:space="preserve"> tables for a reconciliation of GAAP to non-GAAP metrics).</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Investar Holding Corporation President and Chief Executive Officer John D’Angelo said: </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“Our prayers go out to those families and businesses affected by Hurricane Ida, which hit south Louisiana as a category 4 hurricane on August 29. While none of our branches were significantly affected by the storm, some of our customers, employees, and their extended families were greatly impacted. As a member of the affected communities, we have set up programs to help employees and customers experiencing financial difficulty as a result of the hurricane. We will continue to assist our communities as they rebuild.</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Unfortunately, our results for the quarter were adversely impacted by the storm that devastated some of our market areas. We recorded an impairment charge of $21.6 million which negatively affected our earnings and performance ratios. However, the Holding Corporation and Bank remain well-capitalized</w:t>
      </w:r>
      <w:bookmarkStart w:id="17" w:name="_GoBack"/>
      <w:bookmarkEnd w:id="17"/>
      <w:r>
        <w:rPr>
          <w:sz w:val="20"/>
          <w:szCs w:val="20"/>
        </w:rPr>
        <w:t>”</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b/>
          <w:bCs/>
          <w:sz w:val="20"/>
          <w:szCs w:val="20"/>
        </w:rPr>
        <w:t>Third</w:t>
      </w:r>
      <w:bookmarkEnd w:id="1"/>
      <w:r>
        <w:rPr>
          <w:b/>
          <w:bCs/>
          <w:sz w:val="20"/>
          <w:szCs w:val="20"/>
        </w:rPr>
        <w:t xml:space="preserve"> Quarter Highlights</w:t>
      </w:r>
    </w:p>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 xml:space="preserve">Cost of deposits </w:t>
            </w:r>
            <w:bookmarkStart w:id="18" w:name="led126285F20215181624053580152"/>
            <w:r>
              <w:rPr>
                <w:color w:val="000000"/>
                <w:sz w:val="20"/>
                <w:szCs w:val="20"/>
              </w:rPr>
              <w:t xml:space="preserve">decreased </w:t>
            </w:r>
            <w:bookmarkStart w:id="19" w:name="led126285F20215181624053544836"/>
            <w:r>
              <w:rPr>
                <w:color w:val="000000"/>
                <w:sz w:val="20"/>
                <w:szCs w:val="20"/>
              </w:rPr>
              <w:t>eight basis points to </w:t>
            </w:r>
            <w:bookmarkStart w:id="20" w:name="led126285F20215181624053446262"/>
            <w:r>
              <w:rPr>
                <w:color w:val="000000"/>
                <w:sz w:val="20"/>
                <w:szCs w:val="20"/>
              </w:rPr>
              <w:t>0.43% for the quarter ended September 30, 2021 compared to </w:t>
            </w:r>
            <w:bookmarkStart w:id="21" w:name="led126285F20215181624053481693"/>
            <w:r>
              <w:rPr>
                <w:color w:val="000000"/>
                <w:sz w:val="20"/>
                <w:szCs w:val="20"/>
              </w:rPr>
              <w:t>0.51% for the quarter ended June 30, 2021 and </w:t>
            </w:r>
            <w:bookmarkStart w:id="22" w:name="led126285F20215181624053613399"/>
            <w:r>
              <w:rPr>
                <w:color w:val="000000"/>
                <w:sz w:val="20"/>
                <w:szCs w:val="20"/>
              </w:rPr>
              <w:t>decreased </w:t>
            </w:r>
            <w:bookmarkStart w:id="23" w:name="led126285F20215181624053630183"/>
            <w:r>
              <w:rPr>
                <w:color w:val="000000"/>
                <w:sz w:val="20"/>
                <w:szCs w:val="20"/>
              </w:rPr>
              <w:t>54 basis points compared to </w:t>
            </w:r>
            <w:bookmarkStart w:id="24" w:name="led126285F20215181624053510156"/>
            <w:r>
              <w:rPr>
                <w:color w:val="000000"/>
                <w:sz w:val="20"/>
                <w:szCs w:val="20"/>
              </w:rPr>
              <w:t>0.97% for the quarter ended September 30, 2020. Our overall cost of funds </w:t>
            </w:r>
            <w:bookmarkStart w:id="25" w:name="led126285F20215221624395711901"/>
            <w:r>
              <w:rPr>
                <w:color w:val="000000"/>
                <w:sz w:val="20"/>
                <w:szCs w:val="20"/>
              </w:rPr>
              <w:t>decreased</w:t>
            </w:r>
            <w:bookmarkEnd w:id="25"/>
            <w:r>
              <w:rPr>
                <w:color w:val="000000"/>
                <w:sz w:val="20"/>
                <w:szCs w:val="20"/>
              </w:rPr>
              <w:t> </w:t>
            </w:r>
            <w:bookmarkStart w:id="26" w:name="led126285F20215221624395748599"/>
            <w:r>
              <w:rPr>
                <w:color w:val="000000"/>
                <w:sz w:val="20"/>
                <w:szCs w:val="20"/>
              </w:rPr>
              <w:t>seven</w:t>
            </w:r>
            <w:bookmarkEnd w:id="26"/>
            <w:r>
              <w:rPr>
                <w:color w:val="000000"/>
                <w:sz w:val="20"/>
                <w:szCs w:val="20"/>
              </w:rPr>
              <w:t> and </w:t>
            </w:r>
            <w:bookmarkStart w:id="27" w:name="led126285F20215221624395760823"/>
            <w:r>
              <w:rPr>
                <w:color w:val="000000"/>
                <w:sz w:val="20"/>
                <w:szCs w:val="20"/>
              </w:rPr>
              <w:t>53</w:t>
            </w:r>
            <w:bookmarkEnd w:id="27"/>
            <w:r>
              <w:rPr>
                <w:color w:val="000000"/>
                <w:sz w:val="20"/>
                <w:szCs w:val="20"/>
              </w:rPr>
              <w:t> basis points to </w:t>
            </w:r>
            <w:bookmarkStart w:id="28" w:name="led126285F20215221624395627949"/>
            <w:r>
              <w:rPr>
                <w:color w:val="000000"/>
                <w:sz w:val="20"/>
                <w:szCs w:val="20"/>
              </w:rPr>
              <w:t>0.63%</w:t>
            </w:r>
            <w:bookmarkEnd w:id="28"/>
            <w:r>
              <w:rPr>
                <w:color w:val="000000"/>
                <w:sz w:val="20"/>
                <w:szCs w:val="20"/>
              </w:rPr>
              <w:t> for the quarter ended September 30, 2021 compared to </w:t>
            </w:r>
            <w:bookmarkStart w:id="29" w:name="led126285F20215221624395641994"/>
            <w:r>
              <w:rPr>
                <w:color w:val="000000"/>
                <w:sz w:val="20"/>
                <w:szCs w:val="20"/>
              </w:rPr>
              <w:t>0.70%</w:t>
            </w:r>
            <w:bookmarkEnd w:id="29"/>
            <w:r>
              <w:rPr>
                <w:color w:val="000000"/>
                <w:sz w:val="20"/>
                <w:szCs w:val="20"/>
              </w:rPr>
              <w:t> and </w:t>
            </w:r>
            <w:bookmarkStart w:id="30" w:name="led126285F20215221624395657691"/>
            <w:r>
              <w:rPr>
                <w:color w:val="000000"/>
                <w:sz w:val="20"/>
                <w:szCs w:val="20"/>
              </w:rPr>
              <w:t>1.16%</w:t>
            </w:r>
            <w:bookmarkEnd w:id="30"/>
            <w:r>
              <w:rPr>
                <w:color w:val="000000"/>
                <w:sz w:val="20"/>
                <w:szCs w:val="20"/>
              </w:rPr>
              <w:t xml:space="preserve"> for the quarters ended June 30, 2021 and September 30, 2020, respectively.</w:t>
            </w:r>
          </w:p>
        </w:tc>
      </w:tr>
    </w:tbl>
    <w:p w:rsidR="0048389A" w:rsidRDefault="0048389A" w:rsidP="00C44726">
      <w:pPr>
        <w:ind w:right="144"/>
        <w:rPr>
          <w:sz w:val="20"/>
          <w:szCs w:val="20"/>
        </w:rPr>
      </w:pP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Total deposits increased $43.5 million, or 1.9%, to $2.30 billion at September 30, 2021, compared to $2.26 billion at June 30, 2021, and increased $469.2 million, or 25.6%, compared to $1.83 billion at September 30, 2020. Investar recorded total deposits with a fair value of $207.0 million from its acquisition of Cheaha Bank (“Cheaha”) on April 1, 2021. The remaining increase is due to organic growth and brokered deposits, which are used to satisfy the required borrowings under Investar’s interest rate swap agreements, due to more favorable pricing. </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Noninterest-bearing deposits </w:t>
            </w:r>
            <w:bookmarkStart w:id="31" w:name="led126293F20215221624395828326"/>
            <w:r>
              <w:rPr>
                <w:color w:val="000000"/>
                <w:sz w:val="20"/>
                <w:szCs w:val="20"/>
              </w:rPr>
              <w:t>increased</w:t>
            </w:r>
            <w:bookmarkEnd w:id="31"/>
            <w:r>
              <w:rPr>
                <w:color w:val="000000"/>
                <w:sz w:val="20"/>
                <w:szCs w:val="20"/>
              </w:rPr>
              <w:t> </w:t>
            </w:r>
            <w:bookmarkStart w:id="32" w:name="led126293F20215221624395848426"/>
            <w:r>
              <w:rPr>
                <w:color w:val="000000"/>
                <w:sz w:val="20"/>
                <w:szCs w:val="20"/>
              </w:rPr>
              <w:t>$15.3</w:t>
            </w:r>
            <w:bookmarkEnd w:id="32"/>
            <w:r>
              <w:rPr>
                <w:color w:val="000000"/>
                <w:sz w:val="20"/>
                <w:szCs w:val="20"/>
              </w:rPr>
              <w:t xml:space="preserve"> million, or </w:t>
            </w:r>
            <w:bookmarkStart w:id="33" w:name="led126293F20215221624395907728"/>
            <w:r>
              <w:rPr>
                <w:color w:val="000000"/>
                <w:sz w:val="20"/>
                <w:szCs w:val="20"/>
              </w:rPr>
              <w:t>2.6%</w:t>
            </w:r>
            <w:bookmarkEnd w:id="33"/>
            <w:r>
              <w:rPr>
                <w:color w:val="000000"/>
                <w:sz w:val="20"/>
                <w:szCs w:val="20"/>
              </w:rPr>
              <w:t>, to </w:t>
            </w:r>
            <w:bookmarkStart w:id="34" w:name="led126293F20215221624395930558"/>
            <w:r>
              <w:rPr>
                <w:color w:val="000000"/>
                <w:sz w:val="20"/>
                <w:szCs w:val="20"/>
              </w:rPr>
              <w:t>$597.5</w:t>
            </w:r>
            <w:bookmarkEnd w:id="34"/>
            <w:r>
              <w:rPr>
                <w:color w:val="000000"/>
                <w:sz w:val="20"/>
                <w:szCs w:val="20"/>
              </w:rPr>
              <w:t xml:space="preserve"> million at September 30, 2021, compared to </w:t>
            </w:r>
            <w:bookmarkStart w:id="35" w:name="led126293F20215221624395943347"/>
            <w:r>
              <w:rPr>
                <w:color w:val="000000"/>
                <w:sz w:val="20"/>
                <w:szCs w:val="20"/>
              </w:rPr>
              <w:t>$582.1</w:t>
            </w:r>
            <w:bookmarkEnd w:id="35"/>
            <w:r>
              <w:rPr>
                <w:color w:val="000000"/>
                <w:sz w:val="20"/>
                <w:szCs w:val="20"/>
              </w:rPr>
              <w:t xml:space="preserve"> million at June 30, 2021 and </w:t>
            </w:r>
            <w:bookmarkStart w:id="36" w:name="led126293F20215221624395963892"/>
            <w:r>
              <w:rPr>
                <w:color w:val="000000"/>
                <w:sz w:val="20"/>
                <w:szCs w:val="20"/>
              </w:rPr>
              <w:t>increased</w:t>
            </w:r>
            <w:bookmarkEnd w:id="36"/>
            <w:r>
              <w:rPr>
                <w:color w:val="000000"/>
                <w:sz w:val="20"/>
                <w:szCs w:val="20"/>
              </w:rPr>
              <w:t> </w:t>
            </w:r>
            <w:bookmarkStart w:id="37" w:name="led126293F20215221624395975938"/>
            <w:r>
              <w:rPr>
                <w:color w:val="000000"/>
                <w:sz w:val="20"/>
                <w:szCs w:val="20"/>
              </w:rPr>
              <w:t>$145.4</w:t>
            </w:r>
            <w:bookmarkEnd w:id="37"/>
            <w:r>
              <w:rPr>
                <w:color w:val="000000"/>
                <w:sz w:val="20"/>
                <w:szCs w:val="20"/>
              </w:rPr>
              <w:t xml:space="preserve"> million, or </w:t>
            </w:r>
            <w:bookmarkStart w:id="38" w:name="led126293F20215221624396002351"/>
            <w:r>
              <w:rPr>
                <w:color w:val="000000"/>
                <w:sz w:val="20"/>
                <w:szCs w:val="20"/>
              </w:rPr>
              <w:t>32.2%</w:t>
            </w:r>
            <w:bookmarkEnd w:id="38"/>
            <w:r>
              <w:rPr>
                <w:color w:val="000000"/>
                <w:sz w:val="20"/>
                <w:szCs w:val="20"/>
              </w:rPr>
              <w:t>, compared to </w:t>
            </w:r>
            <w:bookmarkStart w:id="39" w:name="led126293F20215221624396025560"/>
            <w:r>
              <w:rPr>
                <w:color w:val="000000"/>
                <w:sz w:val="20"/>
                <w:szCs w:val="20"/>
              </w:rPr>
              <w:t>$452.1</w:t>
            </w:r>
            <w:bookmarkEnd w:id="39"/>
            <w:r>
              <w:rPr>
                <w:color w:val="000000"/>
                <w:sz w:val="20"/>
                <w:szCs w:val="20"/>
              </w:rPr>
              <w:t xml:space="preserve"> million at September 30, 2020. Investar acquired approximately $45.4 million in noninterest-bearing deposits from Cheaha, and the remaining increase is due to organic growth. Excluding noninterest-bearing deposits acquired from Cheaha, noninterest-bearing deposits increased $100.0 million, or 22.1%, compared to September 30, 2020. </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sz w:val="20"/>
                <w:szCs w:val="20"/>
              </w:rPr>
            </w:pPr>
            <w:r>
              <w:rPr>
                <w:color w:val="000000"/>
                <w:sz w:val="20"/>
                <w:szCs w:val="2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Deposit mix improved during the third quarter of 2021. Noninterest-bearing deposits as a percentage of total deposits increased to 25.9% at September 30, 2021 compared to 25.8% at June 30, 2021 and 24.6% at September 30, 2020. Time deposits as a percentage of total deposits </w:t>
            </w:r>
            <w:bookmarkStart w:id="40" w:name="led126293F20215231624460750530"/>
            <w:r>
              <w:rPr>
                <w:color w:val="000000"/>
                <w:sz w:val="20"/>
                <w:szCs w:val="20"/>
              </w:rPr>
              <w:t>decreased</w:t>
            </w:r>
            <w:bookmarkEnd w:id="40"/>
            <w:r>
              <w:rPr>
                <w:color w:val="000000"/>
                <w:sz w:val="20"/>
                <w:szCs w:val="20"/>
              </w:rPr>
              <w:t xml:space="preserve"> to </w:t>
            </w:r>
            <w:bookmarkStart w:id="41" w:name="led126293F20215231624459389326"/>
            <w:r>
              <w:rPr>
                <w:color w:val="000000"/>
                <w:sz w:val="20"/>
                <w:szCs w:val="20"/>
              </w:rPr>
              <w:t>21.0%</w:t>
            </w:r>
            <w:bookmarkEnd w:id="41"/>
            <w:r>
              <w:rPr>
                <w:color w:val="000000"/>
                <w:sz w:val="20"/>
                <w:szCs w:val="20"/>
              </w:rPr>
              <w:t> at September 30, 2021, compared to </w:t>
            </w:r>
            <w:bookmarkStart w:id="42" w:name="led126293F20215231624459411536"/>
            <w:r>
              <w:rPr>
                <w:color w:val="000000"/>
                <w:sz w:val="20"/>
                <w:szCs w:val="20"/>
              </w:rPr>
              <w:t>23.4%</w:t>
            </w:r>
            <w:bookmarkEnd w:id="42"/>
            <w:r>
              <w:rPr>
                <w:color w:val="000000"/>
                <w:sz w:val="20"/>
                <w:szCs w:val="20"/>
              </w:rPr>
              <w:t> at June 30, 2021 and </w:t>
            </w:r>
            <w:bookmarkStart w:id="43" w:name="led126293F20215231624460765739"/>
            <w:r>
              <w:rPr>
                <w:color w:val="000000"/>
                <w:sz w:val="20"/>
                <w:szCs w:val="20"/>
              </w:rPr>
              <w:t>32.2%</w:t>
            </w:r>
            <w:bookmarkEnd w:id="43"/>
            <w:r>
              <w:rPr>
                <w:color w:val="000000"/>
                <w:sz w:val="20"/>
                <w:szCs w:val="20"/>
              </w:rPr>
              <w:t xml:space="preserve"> at September 30, 2020.</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sz w:val="20"/>
                <w:szCs w:val="20"/>
              </w:rPr>
            </w:pPr>
            <w:r>
              <w:rPr>
                <w:color w:val="000000"/>
                <w:sz w:val="20"/>
                <w:szCs w:val="20"/>
              </w:rPr>
              <w:lastRenderedPageBreak/>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Investar terminated multiple interest rate swap agreements during the third quarter and recognized $1.8 million in swap termination fees, included in noninterest income for the quarter ended September 30, 2021.</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sz w:val="20"/>
                <w:szCs w:val="20"/>
              </w:rPr>
            </w:pPr>
            <w:r>
              <w:rPr>
                <w:color w:val="000000"/>
                <w:sz w:val="20"/>
                <w:szCs w:val="2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Investar repurchased 109,548 shares of its common stock through its stock repurchase program at an average price of $22.27 per share during the quarter ended September 30, 2021, leaving 205,692 shares authorized for repurchase under the current stock repurchase plan.</w:t>
            </w:r>
          </w:p>
        </w:tc>
      </w:tr>
    </w:tbl>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b/>
          <w:bCs/>
          <w:sz w:val="20"/>
          <w:szCs w:val="20"/>
        </w:rPr>
        <w:t>Loans</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Total loans were </w:t>
      </w:r>
      <w:bookmarkStart w:id="44" w:name="led126279F20215211624301232894"/>
      <w:r>
        <w:rPr>
          <w:sz w:val="20"/>
          <w:szCs w:val="20"/>
        </w:rPr>
        <w:t>$1.88</w:t>
      </w:r>
      <w:bookmarkEnd w:id="44"/>
      <w:r>
        <w:rPr>
          <w:sz w:val="20"/>
          <w:szCs w:val="20"/>
        </w:rPr>
        <w:t> billion at September 30, 2021, </w:t>
      </w:r>
      <w:bookmarkStart w:id="45" w:name="led126279F20215211624301257048"/>
      <w:r>
        <w:rPr>
          <w:sz w:val="20"/>
          <w:szCs w:val="20"/>
        </w:rPr>
        <w:t>a decrease</w:t>
      </w:r>
      <w:bookmarkEnd w:id="45"/>
      <w:r>
        <w:rPr>
          <w:sz w:val="20"/>
          <w:szCs w:val="20"/>
        </w:rPr>
        <w:t> of </w:t>
      </w:r>
      <w:bookmarkStart w:id="46" w:name="led126279F20215211624301356763"/>
      <w:r>
        <w:rPr>
          <w:sz w:val="20"/>
          <w:szCs w:val="20"/>
        </w:rPr>
        <w:t>$67.2</w:t>
      </w:r>
      <w:bookmarkEnd w:id="46"/>
      <w:r>
        <w:rPr>
          <w:sz w:val="20"/>
          <w:szCs w:val="20"/>
        </w:rPr>
        <w:t> million, or </w:t>
      </w:r>
      <w:bookmarkStart w:id="47" w:name="led126279F20215211624301382899"/>
      <w:r>
        <w:rPr>
          <w:sz w:val="20"/>
          <w:szCs w:val="20"/>
        </w:rPr>
        <w:t>3.4%</w:t>
      </w:r>
      <w:bookmarkEnd w:id="47"/>
      <w:r>
        <w:rPr>
          <w:sz w:val="20"/>
          <w:szCs w:val="20"/>
        </w:rPr>
        <w:t>, compared to June 30, 2021, and </w:t>
      </w:r>
      <w:bookmarkStart w:id="48" w:name="led126279F20215211624301420173"/>
      <w:r>
        <w:rPr>
          <w:sz w:val="20"/>
          <w:szCs w:val="20"/>
        </w:rPr>
        <w:t>an increase</w:t>
      </w:r>
      <w:bookmarkEnd w:id="48"/>
      <w:r>
        <w:rPr>
          <w:sz w:val="20"/>
          <w:szCs w:val="20"/>
        </w:rPr>
        <w:t> of </w:t>
      </w:r>
      <w:bookmarkStart w:id="49" w:name="led126279F20215211624301486726"/>
      <w:r>
        <w:rPr>
          <w:sz w:val="20"/>
          <w:szCs w:val="20"/>
        </w:rPr>
        <w:t>$51.0</w:t>
      </w:r>
      <w:bookmarkEnd w:id="49"/>
      <w:r>
        <w:rPr>
          <w:sz w:val="20"/>
          <w:szCs w:val="20"/>
        </w:rPr>
        <w:t> million, or </w:t>
      </w:r>
      <w:bookmarkStart w:id="50" w:name="led126279F20215211624301748719"/>
      <w:r>
        <w:rPr>
          <w:sz w:val="20"/>
          <w:szCs w:val="20"/>
        </w:rPr>
        <w:t>2.8%</w:t>
      </w:r>
      <w:bookmarkEnd w:id="50"/>
      <w:r>
        <w:rPr>
          <w:sz w:val="20"/>
          <w:szCs w:val="20"/>
        </w:rPr>
        <w:t>, compared to September 30, 2020. Excluding loans acquired from Cheaha on April 1, 2021 with an aggregate balance of $110.1 million and $120.0 million at September 30, 2021 and June 30, 2021, respectively, total loans decreased $57.2 million, or 3.1%, compared to June 30, 2021, and decreased $59.1 million, or 3.2%, compared to September 30, 2020. </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The following table sets forth the composition of the total loan portfolio as of the dates indicated (dollars in thousands).</w:t>
      </w:r>
    </w:p>
    <w:p w:rsidR="0048389A" w:rsidRDefault="006A750F">
      <w:pPr>
        <w:ind w:left="144" w:right="144"/>
        <w:jc w:val="both"/>
        <w:rPr>
          <w:sz w:val="20"/>
          <w:szCs w:val="20"/>
        </w:rPr>
      </w:pPr>
      <w:r>
        <w:rPr>
          <w:sz w:val="20"/>
          <w:szCs w:val="20"/>
        </w:rPr>
        <w:t> </w:t>
      </w:r>
    </w:p>
    <w:tbl>
      <w:tblPr>
        <w:tblStyle w:val="finTable"/>
        <w:tblW w:w="5000" w:type="pct"/>
        <w:tblInd w:w="149" w:type="dxa"/>
        <w:tblCellMar>
          <w:left w:w="0" w:type="dxa"/>
          <w:right w:w="0" w:type="dxa"/>
        </w:tblCellMar>
        <w:tblLook w:val="05E0" w:firstRow="1" w:lastRow="1" w:firstColumn="1" w:lastColumn="1" w:noHBand="0" w:noVBand="1"/>
      </w:tblPr>
      <w:tblGrid>
        <w:gridCol w:w="1996"/>
        <w:gridCol w:w="60"/>
        <w:gridCol w:w="110"/>
        <w:gridCol w:w="810"/>
        <w:gridCol w:w="60"/>
        <w:gridCol w:w="60"/>
        <w:gridCol w:w="110"/>
        <w:gridCol w:w="810"/>
        <w:gridCol w:w="60"/>
        <w:gridCol w:w="60"/>
        <w:gridCol w:w="110"/>
        <w:gridCol w:w="810"/>
        <w:gridCol w:w="60"/>
        <w:gridCol w:w="60"/>
        <w:gridCol w:w="110"/>
        <w:gridCol w:w="627"/>
        <w:gridCol w:w="77"/>
        <w:gridCol w:w="60"/>
        <w:gridCol w:w="60"/>
        <w:gridCol w:w="493"/>
        <w:gridCol w:w="277"/>
        <w:gridCol w:w="60"/>
        <w:gridCol w:w="110"/>
        <w:gridCol w:w="627"/>
        <w:gridCol w:w="77"/>
        <w:gridCol w:w="60"/>
        <w:gridCol w:w="60"/>
        <w:gridCol w:w="530"/>
        <w:gridCol w:w="210"/>
        <w:gridCol w:w="60"/>
        <w:gridCol w:w="118"/>
        <w:gridCol w:w="705"/>
        <w:gridCol w:w="210"/>
        <w:gridCol w:w="60"/>
        <w:gridCol w:w="118"/>
        <w:gridCol w:w="705"/>
        <w:gridCol w:w="210"/>
      </w:tblGrid>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6"/>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Linked Quarter Change</w:t>
            </w:r>
          </w:p>
        </w:tc>
        <w:tc>
          <w:tcPr>
            <w:tcW w:w="0" w:type="auto"/>
            <w:tcBorders>
              <w:bottom w:val="single" w:sz="12" w:space="0" w:color="000000"/>
            </w:tcBorders>
            <w:tcMar>
              <w:top w:w="5" w:type="dxa"/>
              <w:left w:w="5" w:type="dxa"/>
              <w:bottom w:w="1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6"/>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Year/Year Change</w:t>
            </w:r>
          </w:p>
        </w:tc>
        <w:tc>
          <w:tcPr>
            <w:tcW w:w="0" w:type="auto"/>
            <w:tcBorders>
              <w:bottom w:val="single" w:sz="12" w:space="0" w:color="000000"/>
            </w:tcBorders>
            <w:tcMar>
              <w:top w:w="5" w:type="dxa"/>
              <w:left w:w="5" w:type="dxa"/>
              <w:bottom w:w="1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6"/>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Percentage of Total Loans</w:t>
            </w:r>
          </w:p>
        </w:tc>
        <w:tc>
          <w:tcPr>
            <w:tcW w:w="0" w:type="auto"/>
            <w:tcBorders>
              <w:bottom w:val="single" w:sz="12" w:space="0" w:color="000000"/>
            </w:tcBorders>
            <w:tcMar>
              <w:top w:w="5" w:type="dxa"/>
              <w:left w:w="5" w:type="dxa"/>
              <w:bottom w:w="1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9/30/2021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6/30/2021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9/30/2020</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w:t>
            </w:r>
          </w:p>
        </w:tc>
        <w:tc>
          <w:tcPr>
            <w:tcW w:w="0" w:type="auto"/>
            <w:tcBorders>
              <w:bottom w:val="single" w:sz="12" w:space="0" w:color="000000"/>
            </w:tcBorders>
            <w:tcMar>
              <w:top w:w="5" w:type="dxa"/>
              <w:left w:w="5" w:type="dxa"/>
              <w:bottom w:w="1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w:t>
            </w:r>
          </w:p>
        </w:tc>
        <w:tc>
          <w:tcPr>
            <w:tcW w:w="0" w:type="auto"/>
            <w:tcBorders>
              <w:bottom w:val="single" w:sz="12" w:space="0" w:color="000000"/>
            </w:tcBorders>
            <w:tcMar>
              <w:top w:w="5" w:type="dxa"/>
              <w:left w:w="5" w:type="dxa"/>
              <w:bottom w:w="1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w:t>
            </w:r>
          </w:p>
        </w:tc>
        <w:tc>
          <w:tcPr>
            <w:tcW w:w="0" w:type="auto"/>
            <w:tcBorders>
              <w:bottom w:val="single" w:sz="12" w:space="0" w:color="000000"/>
            </w:tcBorders>
            <w:tcMar>
              <w:top w:w="5" w:type="dxa"/>
              <w:left w:w="5" w:type="dxa"/>
              <w:bottom w:w="1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w:t>
            </w:r>
          </w:p>
        </w:tc>
        <w:tc>
          <w:tcPr>
            <w:tcW w:w="0" w:type="auto"/>
            <w:tcBorders>
              <w:bottom w:val="single" w:sz="12" w:space="0" w:color="000000"/>
            </w:tcBorders>
            <w:tcMar>
              <w:top w:w="5" w:type="dxa"/>
              <w:left w:w="5" w:type="dxa"/>
              <w:bottom w:w="1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9/30/2021</w:t>
            </w:r>
          </w:p>
        </w:tc>
        <w:tc>
          <w:tcPr>
            <w:tcW w:w="0" w:type="auto"/>
            <w:tcBorders>
              <w:bottom w:val="single" w:sz="12" w:space="0" w:color="000000"/>
            </w:tcBorders>
            <w:tcMar>
              <w:top w:w="5" w:type="dxa"/>
              <w:left w:w="5" w:type="dxa"/>
              <w:bottom w:w="1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9/30/2020</w:t>
            </w:r>
          </w:p>
        </w:tc>
        <w:tc>
          <w:tcPr>
            <w:tcW w:w="0" w:type="auto"/>
            <w:tcBorders>
              <w:bottom w:val="single" w:sz="12" w:space="0" w:color="000000"/>
            </w:tcBorders>
            <w:tcMar>
              <w:top w:w="5" w:type="dxa"/>
              <w:left w:w="5" w:type="dxa"/>
              <w:bottom w:w="15" w:type="dxa"/>
              <w:right w:w="5" w:type="dxa"/>
            </w:tcMar>
            <w:vAlign w:val="bottom"/>
            <w:hideMark/>
          </w:tcPr>
          <w:p w:rsidR="0048389A" w:rsidRDefault="0048389A">
            <w:pPr>
              <w:rPr>
                <w:color w:val="000000"/>
                <w:sz w:val="20"/>
                <w:szCs w:val="20"/>
              </w:rPr>
            </w:pPr>
          </w:p>
        </w:tc>
      </w:tr>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Mortgage loans on real estate</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Construction and development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215,247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213,070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206,751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2,177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8,496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11.3</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1-4 Family</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362,249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375,690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339,364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(13,441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22,885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19.3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Multifamily</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58,972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60,309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57,734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(1,337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1,238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Farmland</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21,376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22,263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26,005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(887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(4.0</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(4,629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(17.8</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Commercial real estate</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ind w:left="360"/>
              <w:rPr>
                <w:color w:val="000000"/>
                <w:sz w:val="20"/>
                <w:szCs w:val="20"/>
              </w:rPr>
            </w:pPr>
            <w:r>
              <w:rPr>
                <w:color w:val="000000"/>
                <w:sz w:val="20"/>
                <w:szCs w:val="20"/>
              </w:rPr>
              <w:t>Owner-occupied</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432,898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438,590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379,490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(5,692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53,408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14.1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20.7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360"/>
              <w:rPr>
                <w:color w:val="000000"/>
                <w:sz w:val="20"/>
                <w:szCs w:val="20"/>
              </w:rPr>
            </w:pPr>
            <w:r>
              <w:rPr>
                <w:color w:val="000000"/>
                <w:sz w:val="20"/>
                <w:szCs w:val="20"/>
              </w:rPr>
              <w:t>Nonowner-occupied</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435,575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445,125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404,748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(9,550</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30,827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Commercial and industrial</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335,008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370,203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392,955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(35,195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(57,947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(14.7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17.8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Consumer</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19,333</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22,570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22,633</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(3,237</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(14.3</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(3,300</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(14.6</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1.2</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540"/>
              <w:rPr>
                <w:color w:val="000000"/>
                <w:sz w:val="20"/>
                <w:szCs w:val="20"/>
              </w:rPr>
            </w:pPr>
            <w:r>
              <w:rPr>
                <w:b/>
                <w:bCs/>
                <w:color w:val="000000"/>
                <w:sz w:val="20"/>
                <w:szCs w:val="20"/>
              </w:rPr>
              <w:t>Total loans</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1,880,658</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1,947,820</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1,829,680</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(67,162</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(3.4</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b/>
                <w:bCs/>
                <w:color w:val="000000"/>
                <w:sz w:val="20"/>
                <w:szCs w:val="20"/>
              </w:rPr>
              <w:t>)%</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50,978</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2.8</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b/>
                <w:bCs/>
                <w:color w:val="000000"/>
                <w:sz w:val="20"/>
                <w:szCs w:val="20"/>
              </w:rPr>
              <w:t>%</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100</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b/>
                <w:bCs/>
                <w:color w:val="000000"/>
                <w:sz w:val="20"/>
                <w:szCs w:val="20"/>
              </w:rPr>
              <w:t>%</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100</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b/>
                <w:bCs/>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Loans held for sale</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300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300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300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ind w:left="540"/>
              <w:rPr>
                <w:color w:val="000000"/>
                <w:sz w:val="20"/>
                <w:szCs w:val="20"/>
              </w:rPr>
            </w:pPr>
            <w:r>
              <w:rPr>
                <w:b/>
                <w:bCs/>
                <w:color w:val="000000"/>
                <w:sz w:val="20"/>
                <w:szCs w:val="20"/>
              </w:rPr>
              <w:t>Total gross loans</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1,880,958</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1,947,820</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1,829,680</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(66,862</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b/>
                <w:bCs/>
                <w:color w:val="000000"/>
                <w:sz w:val="20"/>
                <w:szCs w:val="20"/>
              </w:rPr>
              <w:t>)</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(3.4</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b/>
                <w:bCs/>
                <w:color w:val="000000"/>
                <w:sz w:val="20"/>
                <w:szCs w:val="20"/>
              </w:rPr>
              <w:t>)%</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51,278</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2.8</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b/>
                <w:bCs/>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bl>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In the second quarter of 2020, the Bank began participating as a lender in the Paycheck Protection Program (“PPP”) as established by the CARES Act. The PPP loans are generally 100% guaranteed by the Small Business Administration (“SBA”), have an interest rate of 1%, and are eligible to be forgiven based on certain criteria, with the SBA remitting any applicable forgiveness amount to the lender. At September 30, 2021, the balance of the Bank’s PPP loans, which is included in the commercial and industrial portfolio, was </w:t>
      </w:r>
      <w:bookmarkStart w:id="51" w:name="led126279F20215291624980609393"/>
      <w:r>
        <w:rPr>
          <w:sz w:val="20"/>
          <w:szCs w:val="20"/>
        </w:rPr>
        <w:t>$41.9</w:t>
      </w:r>
      <w:bookmarkEnd w:id="51"/>
      <w:r>
        <w:rPr>
          <w:sz w:val="20"/>
          <w:szCs w:val="20"/>
        </w:rPr>
        <w:t> million, compared to </w:t>
      </w:r>
      <w:bookmarkStart w:id="52" w:name="led126279F20215291624980628613"/>
      <w:r>
        <w:rPr>
          <w:sz w:val="20"/>
          <w:szCs w:val="20"/>
        </w:rPr>
        <w:t>$73.0</w:t>
      </w:r>
      <w:bookmarkEnd w:id="52"/>
      <w:r>
        <w:rPr>
          <w:sz w:val="20"/>
          <w:szCs w:val="20"/>
        </w:rPr>
        <w:t xml:space="preserve"> million at June 30, 2021 and </w:t>
      </w:r>
      <w:bookmarkStart w:id="53" w:name="led126279F20215291624980639135"/>
      <w:r>
        <w:rPr>
          <w:sz w:val="20"/>
          <w:szCs w:val="20"/>
        </w:rPr>
        <w:t>$110.3</w:t>
      </w:r>
      <w:bookmarkEnd w:id="53"/>
      <w:r>
        <w:rPr>
          <w:sz w:val="20"/>
          <w:szCs w:val="20"/>
        </w:rPr>
        <w:t xml:space="preserve"> million at September 30, 2020. Eighty-seven percent of the total number of PPP loans we have originated have principal balances of $150,000 or less. At September 30, 2021, approximately 76% of the total balance of PPP loans originated have been forgiven by the SBA or paid off by the customer. Excluding loans acquired from Cheaha on April 1, 2021 with an aggregate balance of $110.1 million and $120.0 million at September 30, 2021 and June 30, 2021, respectively, and PPP loans with a total balance of $41.9 million ($1.4 million acquired from Cheaha), $73.0 million ($1.7 million acquired from Cheaha), and $110.3 million at September 30, 2021, June 30, 2021, and September 30, 2020, respectively, total loans decreased $26.4 million, or 1.5%, compared to June 30, 2021 and increased $10.7 million, or 0.6%, compared to September 30, 2020.</w:t>
      </w:r>
    </w:p>
    <w:p w:rsidR="0048389A" w:rsidRDefault="006A750F">
      <w:pPr>
        <w:spacing w:before="200" w:after="200"/>
        <w:ind w:left="144" w:right="144"/>
        <w:jc w:val="both"/>
        <w:rPr>
          <w:sz w:val="20"/>
          <w:szCs w:val="20"/>
        </w:rPr>
      </w:pPr>
      <w:r>
        <w:rPr>
          <w:sz w:val="20"/>
          <w:szCs w:val="20"/>
        </w:rPr>
        <w:t>At September 30, 2021, Investar’s total business lending portfolio, which consists of loans secured by owner-occupied commercial real estate properties and commercial and industrial loans, was </w:t>
      </w:r>
      <w:bookmarkStart w:id="54" w:name="led126279F20215211624301897488"/>
      <w:r>
        <w:rPr>
          <w:sz w:val="20"/>
          <w:szCs w:val="20"/>
        </w:rPr>
        <w:t>$767.9</w:t>
      </w:r>
      <w:bookmarkEnd w:id="54"/>
      <w:r>
        <w:rPr>
          <w:sz w:val="20"/>
          <w:szCs w:val="20"/>
        </w:rPr>
        <w:t> million, </w:t>
      </w:r>
      <w:bookmarkStart w:id="55" w:name="led126279F20215211624301937798"/>
      <w:r>
        <w:rPr>
          <w:sz w:val="20"/>
          <w:szCs w:val="20"/>
        </w:rPr>
        <w:t>a decrease</w:t>
      </w:r>
      <w:bookmarkEnd w:id="55"/>
      <w:r>
        <w:rPr>
          <w:sz w:val="20"/>
          <w:szCs w:val="20"/>
        </w:rPr>
        <w:t xml:space="preserve"> of </w:t>
      </w:r>
      <w:bookmarkStart w:id="56" w:name="led126279F20215211624301957903"/>
      <w:r>
        <w:rPr>
          <w:sz w:val="20"/>
          <w:szCs w:val="20"/>
        </w:rPr>
        <w:t>$40.9</w:t>
      </w:r>
      <w:bookmarkEnd w:id="56"/>
      <w:r>
        <w:rPr>
          <w:sz w:val="20"/>
          <w:szCs w:val="20"/>
        </w:rPr>
        <w:t xml:space="preserve"> million, or </w:t>
      </w:r>
      <w:bookmarkStart w:id="57" w:name="led126279F20215211624301975572"/>
      <w:r>
        <w:rPr>
          <w:sz w:val="20"/>
          <w:szCs w:val="20"/>
        </w:rPr>
        <w:t>5.1%</w:t>
      </w:r>
      <w:bookmarkEnd w:id="57"/>
      <w:r>
        <w:rPr>
          <w:sz w:val="20"/>
          <w:szCs w:val="20"/>
        </w:rPr>
        <w:t>, compared to the business lending portfolio of </w:t>
      </w:r>
      <w:bookmarkStart w:id="58" w:name="led126279F20215211624302051836"/>
      <w:r>
        <w:rPr>
          <w:sz w:val="20"/>
          <w:szCs w:val="20"/>
        </w:rPr>
        <w:t>$808.8</w:t>
      </w:r>
      <w:bookmarkEnd w:id="58"/>
      <w:r>
        <w:rPr>
          <w:sz w:val="20"/>
          <w:szCs w:val="20"/>
        </w:rPr>
        <w:t xml:space="preserve"> million at June 30, 2021, and </w:t>
      </w:r>
      <w:bookmarkStart w:id="59" w:name="led126279F20215211624302087836"/>
      <w:r>
        <w:rPr>
          <w:sz w:val="20"/>
          <w:szCs w:val="20"/>
        </w:rPr>
        <w:t>a decrease</w:t>
      </w:r>
      <w:bookmarkEnd w:id="59"/>
      <w:r>
        <w:rPr>
          <w:sz w:val="20"/>
          <w:szCs w:val="20"/>
        </w:rPr>
        <w:t> of </w:t>
      </w:r>
      <w:bookmarkStart w:id="60" w:name="led126279F20215211624302134194"/>
      <w:r>
        <w:rPr>
          <w:sz w:val="20"/>
          <w:szCs w:val="20"/>
        </w:rPr>
        <w:t>$4.5</w:t>
      </w:r>
      <w:bookmarkEnd w:id="60"/>
      <w:r>
        <w:rPr>
          <w:sz w:val="20"/>
          <w:szCs w:val="20"/>
        </w:rPr>
        <w:t> million, or </w:t>
      </w:r>
      <w:bookmarkStart w:id="61" w:name="led126279F20215211624302150927"/>
      <w:r>
        <w:rPr>
          <w:sz w:val="20"/>
          <w:szCs w:val="20"/>
        </w:rPr>
        <w:t>0.6%</w:t>
      </w:r>
      <w:bookmarkEnd w:id="61"/>
      <w:r>
        <w:rPr>
          <w:sz w:val="20"/>
          <w:szCs w:val="20"/>
        </w:rPr>
        <w:t>, compared to the business lending portfolio of </w:t>
      </w:r>
      <w:bookmarkStart w:id="62" w:name="led126279F20215211624302166122"/>
      <w:r>
        <w:rPr>
          <w:sz w:val="20"/>
          <w:szCs w:val="20"/>
        </w:rPr>
        <w:t>$772.4</w:t>
      </w:r>
      <w:bookmarkEnd w:id="62"/>
      <w:r>
        <w:rPr>
          <w:sz w:val="20"/>
          <w:szCs w:val="20"/>
        </w:rPr>
        <w:t xml:space="preserve"> million at September 30, 2020. The decrease in the business lending portfolio compared to June 30, 2021 is primarily driven by the forgiveness of PPP loans and the impairment charge recorded as a result of Hurricane Ida.</w:t>
      </w:r>
    </w:p>
    <w:p w:rsidR="0048389A" w:rsidRDefault="006A750F">
      <w:pPr>
        <w:ind w:left="144" w:right="144"/>
        <w:jc w:val="both"/>
        <w:rPr>
          <w:sz w:val="20"/>
          <w:szCs w:val="20"/>
        </w:rPr>
      </w:pPr>
      <w:r>
        <w:rPr>
          <w:sz w:val="20"/>
          <w:szCs w:val="20"/>
        </w:rPr>
        <w:t>Consumer loans totaled </w:t>
      </w:r>
      <w:bookmarkStart w:id="63" w:name="led126279F20215211624302188790"/>
      <w:r>
        <w:rPr>
          <w:sz w:val="20"/>
          <w:szCs w:val="20"/>
        </w:rPr>
        <w:t>$19.3</w:t>
      </w:r>
      <w:bookmarkEnd w:id="63"/>
      <w:r>
        <w:rPr>
          <w:sz w:val="20"/>
          <w:szCs w:val="20"/>
        </w:rPr>
        <w:t xml:space="preserve"> million at September 30, 2021, </w:t>
      </w:r>
      <w:bookmarkStart w:id="64" w:name="led126279F20215211624302207114"/>
      <w:r>
        <w:rPr>
          <w:sz w:val="20"/>
          <w:szCs w:val="20"/>
        </w:rPr>
        <w:t>a decrease</w:t>
      </w:r>
      <w:bookmarkEnd w:id="64"/>
      <w:r>
        <w:rPr>
          <w:sz w:val="20"/>
          <w:szCs w:val="20"/>
        </w:rPr>
        <w:t> of </w:t>
      </w:r>
      <w:bookmarkStart w:id="65" w:name="led126279F20215211624302220104"/>
      <w:r>
        <w:rPr>
          <w:sz w:val="20"/>
          <w:szCs w:val="20"/>
        </w:rPr>
        <w:t>$3.2</w:t>
      </w:r>
      <w:bookmarkEnd w:id="65"/>
      <w:r>
        <w:rPr>
          <w:sz w:val="20"/>
          <w:szCs w:val="20"/>
        </w:rPr>
        <w:t> million, or </w:t>
      </w:r>
      <w:bookmarkStart w:id="66" w:name="led126279F20215211624302264021"/>
      <w:r>
        <w:rPr>
          <w:sz w:val="20"/>
          <w:szCs w:val="20"/>
        </w:rPr>
        <w:t>14.3%</w:t>
      </w:r>
      <w:bookmarkEnd w:id="66"/>
      <w:r>
        <w:rPr>
          <w:sz w:val="20"/>
          <w:szCs w:val="20"/>
        </w:rPr>
        <w:t>, compared to </w:t>
      </w:r>
      <w:bookmarkStart w:id="67" w:name="led126279F20215211624302279292"/>
      <w:r>
        <w:rPr>
          <w:sz w:val="20"/>
          <w:szCs w:val="20"/>
        </w:rPr>
        <w:t>$22.6</w:t>
      </w:r>
      <w:bookmarkEnd w:id="67"/>
      <w:r>
        <w:rPr>
          <w:sz w:val="20"/>
          <w:szCs w:val="20"/>
        </w:rPr>
        <w:t> million at June 30, 2021, and </w:t>
      </w:r>
      <w:bookmarkStart w:id="68" w:name="led126279F20215211624302297383"/>
      <w:r>
        <w:rPr>
          <w:sz w:val="20"/>
          <w:szCs w:val="20"/>
        </w:rPr>
        <w:t>a decrease</w:t>
      </w:r>
      <w:bookmarkEnd w:id="68"/>
      <w:r>
        <w:rPr>
          <w:sz w:val="20"/>
          <w:szCs w:val="20"/>
        </w:rPr>
        <w:t> of </w:t>
      </w:r>
      <w:bookmarkStart w:id="69" w:name="led126279F20215211624302312931"/>
      <w:r>
        <w:rPr>
          <w:sz w:val="20"/>
          <w:szCs w:val="20"/>
        </w:rPr>
        <w:t>$3.3</w:t>
      </w:r>
      <w:bookmarkEnd w:id="69"/>
      <w:r>
        <w:rPr>
          <w:sz w:val="20"/>
          <w:szCs w:val="20"/>
        </w:rPr>
        <w:t> million, or </w:t>
      </w:r>
      <w:bookmarkStart w:id="70" w:name="led126279F20215211624302334260"/>
      <w:r>
        <w:rPr>
          <w:sz w:val="20"/>
          <w:szCs w:val="20"/>
        </w:rPr>
        <w:t>14.6%</w:t>
      </w:r>
      <w:bookmarkEnd w:id="70"/>
      <w:r>
        <w:rPr>
          <w:sz w:val="20"/>
          <w:szCs w:val="20"/>
        </w:rPr>
        <w:t>, compared to </w:t>
      </w:r>
      <w:bookmarkStart w:id="71" w:name="led126279F20215211624302346706"/>
      <w:r>
        <w:rPr>
          <w:sz w:val="20"/>
          <w:szCs w:val="20"/>
        </w:rPr>
        <w:t>$22.6</w:t>
      </w:r>
      <w:bookmarkEnd w:id="71"/>
      <w:r>
        <w:rPr>
          <w:sz w:val="20"/>
          <w:szCs w:val="20"/>
        </w:rPr>
        <w:t xml:space="preserve"> million at September 30, 2020. The decrease in consumer loans compared to June 30, 2021 and September 30, 2020 is mainly attributable to the scheduled paydowns of the indirect </w:t>
      </w:r>
      <w:r>
        <w:rPr>
          <w:sz w:val="20"/>
          <w:szCs w:val="20"/>
        </w:rPr>
        <w:lastRenderedPageBreak/>
        <w:t>auto lending portfolio and is consistent with our business strategy. The decreases were slightly offset by the acquisition of Cheaha on April 1, 2021, which added approximately $6.1 million in consumer loans in the second quarter of 2021.</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Our loan portfolio includes loans to businesses in certain industries that may be more significantly affected by the pandemic than others. These loans, including loans related to oil and gas, food services, hospitality, and entertainment, represent approximately </w:t>
      </w:r>
      <w:bookmarkStart w:id="72" w:name="led126279F20215231624460002364"/>
      <w:r>
        <w:rPr>
          <w:sz w:val="20"/>
          <w:szCs w:val="20"/>
        </w:rPr>
        <w:t>5.5%</w:t>
      </w:r>
      <w:bookmarkEnd w:id="72"/>
      <w:r>
        <w:rPr>
          <w:sz w:val="20"/>
          <w:szCs w:val="20"/>
        </w:rPr>
        <w:t> of our total portfolio, or </w:t>
      </w:r>
      <w:bookmarkStart w:id="73" w:name="led126279F20215231624460015885"/>
      <w:r>
        <w:rPr>
          <w:sz w:val="20"/>
          <w:szCs w:val="20"/>
        </w:rPr>
        <w:t>5.2%</w:t>
      </w:r>
      <w:bookmarkEnd w:id="73"/>
      <w:r>
        <w:rPr>
          <w:sz w:val="20"/>
          <w:szCs w:val="20"/>
        </w:rPr>
        <w:t> excluding PPP loans, at September 30, 2021, compared to </w:t>
      </w:r>
      <w:bookmarkStart w:id="74" w:name="led126279F20215231624460030380"/>
      <w:r>
        <w:rPr>
          <w:sz w:val="20"/>
          <w:szCs w:val="20"/>
        </w:rPr>
        <w:t>6.4%</w:t>
      </w:r>
      <w:bookmarkEnd w:id="74"/>
      <w:r>
        <w:rPr>
          <w:sz w:val="20"/>
          <w:szCs w:val="20"/>
        </w:rPr>
        <w:t> of our total portfolio, or </w:t>
      </w:r>
      <w:bookmarkStart w:id="75" w:name="led126279F20215231624460040477"/>
      <w:r>
        <w:rPr>
          <w:sz w:val="20"/>
          <w:szCs w:val="20"/>
        </w:rPr>
        <w:t>5.9%</w:t>
      </w:r>
      <w:bookmarkEnd w:id="75"/>
      <w:r>
        <w:rPr>
          <w:sz w:val="20"/>
          <w:szCs w:val="20"/>
        </w:rPr>
        <w:t> excluding PPP loans, at June 30, 2021 and </w:t>
      </w:r>
      <w:bookmarkStart w:id="76" w:name="led126279F20215231624460114993"/>
      <w:r>
        <w:rPr>
          <w:sz w:val="20"/>
          <w:szCs w:val="20"/>
        </w:rPr>
        <w:t>6.6%</w:t>
      </w:r>
      <w:bookmarkEnd w:id="76"/>
      <w:r>
        <w:rPr>
          <w:sz w:val="20"/>
          <w:szCs w:val="20"/>
        </w:rPr>
        <w:t> of our total portfolio, or </w:t>
      </w:r>
      <w:bookmarkStart w:id="77" w:name="led126279F20215231624460138423"/>
      <w:r>
        <w:rPr>
          <w:sz w:val="20"/>
          <w:szCs w:val="20"/>
        </w:rPr>
        <w:t>5.6%</w:t>
      </w:r>
      <w:bookmarkEnd w:id="77"/>
      <w:r>
        <w:rPr>
          <w:sz w:val="20"/>
          <w:szCs w:val="20"/>
        </w:rPr>
        <w:t xml:space="preserve"> excluding PPP loans, at September 30, 2020 as shown in the table below.</w:t>
      </w:r>
    </w:p>
    <w:p w:rsidR="0048389A" w:rsidRDefault="006A750F">
      <w:pPr>
        <w:ind w:left="144" w:right="144"/>
        <w:jc w:val="both"/>
        <w:rPr>
          <w:sz w:val="20"/>
          <w:szCs w:val="20"/>
        </w:rPr>
      </w:pPr>
      <w:r>
        <w:rPr>
          <w:sz w:val="20"/>
          <w:szCs w:val="20"/>
        </w:rPr>
        <w:t> </w:t>
      </w:r>
    </w:p>
    <w:tbl>
      <w:tblPr>
        <w:tblStyle w:val="finTable"/>
        <w:tblW w:w="5000" w:type="pct"/>
        <w:tblInd w:w="149" w:type="dxa"/>
        <w:tblCellMar>
          <w:left w:w="0" w:type="dxa"/>
          <w:right w:w="0" w:type="dxa"/>
        </w:tblCellMar>
        <w:tblLook w:val="05E0" w:firstRow="1" w:lastRow="1" w:firstColumn="1" w:lastColumn="1" w:noHBand="0" w:noVBand="1"/>
      </w:tblPr>
      <w:tblGrid>
        <w:gridCol w:w="2991"/>
        <w:gridCol w:w="75"/>
        <w:gridCol w:w="96"/>
        <w:gridCol w:w="918"/>
        <w:gridCol w:w="210"/>
        <w:gridCol w:w="76"/>
        <w:gridCol w:w="96"/>
        <w:gridCol w:w="920"/>
        <w:gridCol w:w="210"/>
        <w:gridCol w:w="76"/>
        <w:gridCol w:w="96"/>
        <w:gridCol w:w="920"/>
        <w:gridCol w:w="210"/>
        <w:gridCol w:w="76"/>
        <w:gridCol w:w="96"/>
        <w:gridCol w:w="920"/>
        <w:gridCol w:w="210"/>
        <w:gridCol w:w="76"/>
        <w:gridCol w:w="96"/>
        <w:gridCol w:w="920"/>
        <w:gridCol w:w="210"/>
        <w:gridCol w:w="76"/>
        <w:gridCol w:w="96"/>
        <w:gridCol w:w="920"/>
        <w:gridCol w:w="210"/>
      </w:tblGrid>
      <w:tr w:rsidR="0048389A">
        <w:tc>
          <w:tcPr>
            <w:tcW w:w="1400" w:type="pct"/>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Industry</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Percentage of Loan Portfolio September 30, 2021</w:t>
            </w:r>
          </w:p>
        </w:tc>
        <w:tc>
          <w:tcPr>
            <w:tcW w:w="0" w:type="auto"/>
            <w:tcMar>
              <w:top w:w="5" w:type="dxa"/>
              <w:left w:w="5" w:type="dxa"/>
              <w:bottom w:w="20"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Percentage of Loan Portfolio September 30, 2021 (excluding PPP loans)</w:t>
            </w:r>
          </w:p>
        </w:tc>
        <w:tc>
          <w:tcPr>
            <w:tcW w:w="0" w:type="auto"/>
            <w:tcMar>
              <w:top w:w="5" w:type="dxa"/>
              <w:left w:w="5" w:type="dxa"/>
              <w:bottom w:w="20"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Percentage of Loan Portfolio June 30, 2021</w:t>
            </w:r>
          </w:p>
        </w:tc>
        <w:tc>
          <w:tcPr>
            <w:tcW w:w="0" w:type="auto"/>
            <w:tcMar>
              <w:top w:w="5" w:type="dxa"/>
              <w:left w:w="5" w:type="dxa"/>
              <w:bottom w:w="20"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Percentage of Loan Portfolio June 30, 2021 (excluding PPP loans)</w:t>
            </w:r>
          </w:p>
        </w:tc>
        <w:tc>
          <w:tcPr>
            <w:tcW w:w="0" w:type="auto"/>
            <w:tcMar>
              <w:top w:w="5" w:type="dxa"/>
              <w:left w:w="5" w:type="dxa"/>
              <w:bottom w:w="20"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Percentage of Loan Portfolio September 30, 2020</w:t>
            </w:r>
          </w:p>
        </w:tc>
        <w:tc>
          <w:tcPr>
            <w:tcW w:w="0" w:type="auto"/>
            <w:tcMar>
              <w:top w:w="5" w:type="dxa"/>
              <w:left w:w="5" w:type="dxa"/>
              <w:bottom w:w="20"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Percentage of Loan Portfolio September 30, 2020 (excluding PPP loans)</w:t>
            </w:r>
          </w:p>
        </w:tc>
        <w:tc>
          <w:tcPr>
            <w:tcW w:w="0" w:type="auto"/>
            <w:tcMar>
              <w:top w:w="5" w:type="dxa"/>
              <w:left w:w="5" w:type="dxa"/>
              <w:bottom w:w="20"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Oil and gas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Food services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Hospitality</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Entertainment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45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0.6</w:t>
            </w:r>
          </w:p>
        </w:tc>
        <w:tc>
          <w:tcPr>
            <w:tcW w:w="50" w:type="pct"/>
            <w:noWrap/>
            <w:tcMar>
              <w:top w:w="5" w:type="dxa"/>
              <w:left w:w="5" w:type="dxa"/>
              <w:bottom w:w="20"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45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0.7</w:t>
            </w:r>
          </w:p>
        </w:tc>
        <w:tc>
          <w:tcPr>
            <w:tcW w:w="50" w:type="pct"/>
            <w:noWrap/>
            <w:tcMar>
              <w:top w:w="5" w:type="dxa"/>
              <w:left w:w="5" w:type="dxa"/>
              <w:bottom w:w="20"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45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0.4</w:t>
            </w:r>
          </w:p>
        </w:tc>
        <w:tc>
          <w:tcPr>
            <w:tcW w:w="50" w:type="pct"/>
            <w:noWrap/>
            <w:tcMar>
              <w:top w:w="5" w:type="dxa"/>
              <w:left w:w="5" w:type="dxa"/>
              <w:bottom w:w="20"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45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0.4</w:t>
            </w:r>
          </w:p>
        </w:tc>
        <w:tc>
          <w:tcPr>
            <w:tcW w:w="50" w:type="pct"/>
            <w:noWrap/>
            <w:tcMar>
              <w:top w:w="5" w:type="dxa"/>
              <w:left w:w="5" w:type="dxa"/>
              <w:bottom w:w="20"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45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0.4</w:t>
            </w:r>
          </w:p>
        </w:tc>
        <w:tc>
          <w:tcPr>
            <w:tcW w:w="50" w:type="pct"/>
            <w:noWrap/>
            <w:tcMar>
              <w:top w:w="5" w:type="dxa"/>
              <w:left w:w="5" w:type="dxa"/>
              <w:bottom w:w="20"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45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0.4</w:t>
            </w:r>
          </w:p>
        </w:tc>
        <w:tc>
          <w:tcPr>
            <w:tcW w:w="50" w:type="pct"/>
            <w:noWrap/>
            <w:tcMar>
              <w:top w:w="5" w:type="dxa"/>
              <w:left w:w="5" w:type="dxa"/>
              <w:bottom w:w="20"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firstLine="180"/>
              <w:rPr>
                <w:color w:val="000000"/>
                <w:sz w:val="20"/>
                <w:szCs w:val="20"/>
              </w:rPr>
            </w:pPr>
            <w:r>
              <w:rPr>
                <w:b/>
                <w:bCs/>
                <w:color w:val="000000"/>
                <w:sz w:val="20"/>
                <w:szCs w:val="20"/>
              </w:rPr>
              <w:t>Total</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b/>
                <w:bCs/>
                <w:color w:val="000000"/>
                <w:sz w:val="20"/>
                <w:szCs w:val="20"/>
              </w:rPr>
              <w:t>5.5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b/>
                <w:bCs/>
                <w:color w:val="000000"/>
                <w:sz w:val="20"/>
                <w:szCs w:val="20"/>
              </w:rPr>
              <w:t>5.2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b/>
                <w:bCs/>
                <w:color w:val="000000"/>
                <w:sz w:val="20"/>
                <w:szCs w:val="20"/>
              </w:rPr>
              <w:t>6.4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b/>
                <w:bCs/>
                <w:color w:val="000000"/>
                <w:sz w:val="20"/>
                <w:szCs w:val="20"/>
              </w:rPr>
              <w:t>5.9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b/>
                <w:bCs/>
                <w:color w:val="000000"/>
                <w:sz w:val="20"/>
                <w:szCs w:val="20"/>
              </w:rPr>
              <w:t>6.6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b/>
                <w:bCs/>
                <w:color w:val="000000"/>
                <w:sz w:val="20"/>
                <w:szCs w:val="20"/>
              </w:rPr>
              <w:t>5.6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w:t>
            </w:r>
          </w:p>
        </w:tc>
      </w:tr>
    </w:tbl>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u w:val="single"/>
        </w:rPr>
        <w:t>Credit Quality</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Nonperforming loans were </w:t>
      </w:r>
      <w:bookmarkStart w:id="78" w:name="led126286F20215231624460947445"/>
      <w:r>
        <w:rPr>
          <w:sz w:val="20"/>
          <w:szCs w:val="20"/>
        </w:rPr>
        <w:t>$32.9</w:t>
      </w:r>
      <w:bookmarkEnd w:id="78"/>
      <w:r>
        <w:rPr>
          <w:sz w:val="20"/>
          <w:szCs w:val="20"/>
        </w:rPr>
        <w:t xml:space="preserve"> million, or </w:t>
      </w:r>
      <w:bookmarkStart w:id="79" w:name="led126286F20215231624460961206"/>
      <w:r>
        <w:rPr>
          <w:sz w:val="20"/>
          <w:szCs w:val="20"/>
        </w:rPr>
        <w:t>1.75%</w:t>
      </w:r>
      <w:bookmarkEnd w:id="79"/>
      <w:r>
        <w:rPr>
          <w:sz w:val="20"/>
          <w:szCs w:val="20"/>
        </w:rPr>
        <w:t> of total loans, at September 30, 2021, </w:t>
      </w:r>
      <w:bookmarkStart w:id="80" w:name="led126286F20215231624460981198"/>
      <w:r>
        <w:rPr>
          <w:sz w:val="20"/>
          <w:szCs w:val="20"/>
        </w:rPr>
        <w:t>an increase</w:t>
      </w:r>
      <w:bookmarkEnd w:id="80"/>
      <w:r>
        <w:rPr>
          <w:sz w:val="20"/>
          <w:szCs w:val="20"/>
        </w:rPr>
        <w:t xml:space="preserve"> of </w:t>
      </w:r>
      <w:bookmarkStart w:id="81" w:name="led126286F20215231624461378341"/>
      <w:r>
        <w:rPr>
          <w:sz w:val="20"/>
          <w:szCs w:val="20"/>
        </w:rPr>
        <w:t>$12.0</w:t>
      </w:r>
      <w:bookmarkEnd w:id="81"/>
      <w:r>
        <w:rPr>
          <w:sz w:val="20"/>
          <w:szCs w:val="20"/>
        </w:rPr>
        <w:t xml:space="preserve"> million compared to </w:t>
      </w:r>
      <w:bookmarkStart w:id="82" w:name="led126286F20215231624461390367"/>
      <w:r>
        <w:rPr>
          <w:sz w:val="20"/>
          <w:szCs w:val="20"/>
        </w:rPr>
        <w:t>$20.9</w:t>
      </w:r>
      <w:bookmarkEnd w:id="82"/>
      <w:r>
        <w:rPr>
          <w:sz w:val="20"/>
          <w:szCs w:val="20"/>
        </w:rPr>
        <w:t xml:space="preserve"> million, or </w:t>
      </w:r>
      <w:bookmarkStart w:id="83" w:name="led126286F20215231624461408024"/>
      <w:r>
        <w:rPr>
          <w:sz w:val="20"/>
          <w:szCs w:val="20"/>
        </w:rPr>
        <w:t>1.07%</w:t>
      </w:r>
      <w:bookmarkEnd w:id="83"/>
      <w:r>
        <w:rPr>
          <w:sz w:val="20"/>
          <w:szCs w:val="20"/>
        </w:rPr>
        <w:t> of total loans, at June 30, 2021, and </w:t>
      </w:r>
      <w:bookmarkStart w:id="84" w:name="led126286F20215231624461421178"/>
      <w:r>
        <w:rPr>
          <w:sz w:val="20"/>
          <w:szCs w:val="20"/>
        </w:rPr>
        <w:t>an increase</w:t>
      </w:r>
      <w:bookmarkEnd w:id="84"/>
      <w:r>
        <w:rPr>
          <w:sz w:val="20"/>
          <w:szCs w:val="20"/>
        </w:rPr>
        <w:t xml:space="preserve"> of </w:t>
      </w:r>
      <w:bookmarkStart w:id="85" w:name="led126286F20215231624461441748"/>
      <w:r>
        <w:rPr>
          <w:sz w:val="20"/>
          <w:szCs w:val="20"/>
        </w:rPr>
        <w:t>$20.5</w:t>
      </w:r>
      <w:bookmarkEnd w:id="85"/>
      <w:r>
        <w:rPr>
          <w:sz w:val="20"/>
          <w:szCs w:val="20"/>
        </w:rPr>
        <w:t xml:space="preserve"> million compared to </w:t>
      </w:r>
      <w:bookmarkStart w:id="86" w:name="led126286F20215231624461453913"/>
      <w:r>
        <w:rPr>
          <w:sz w:val="20"/>
          <w:szCs w:val="20"/>
        </w:rPr>
        <w:t>$12.4</w:t>
      </w:r>
      <w:bookmarkEnd w:id="86"/>
      <w:r>
        <w:rPr>
          <w:sz w:val="20"/>
          <w:szCs w:val="20"/>
        </w:rPr>
        <w:t xml:space="preserve"> million, or </w:t>
      </w:r>
      <w:bookmarkStart w:id="87" w:name="led126286F20215231624461463173"/>
      <w:r>
        <w:rPr>
          <w:sz w:val="20"/>
          <w:szCs w:val="20"/>
        </w:rPr>
        <w:t>0.68%</w:t>
      </w:r>
      <w:bookmarkEnd w:id="87"/>
      <w:r>
        <w:rPr>
          <w:sz w:val="20"/>
          <w:szCs w:val="20"/>
        </w:rPr>
        <w:t> of total loans, at September 30, 2020. The increase in nonperforming loans compared to June 30, 2021 is mainly attributable to one loan relationship, discussed further below, which added $15.5 million to the balance of nonperforming loans at September 30, 2021. Included in nonperforming loans are acquired loans with a balance of $5.3 million at September 30, 2021, or 16% of nonperforming loans.</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The allowance for loan losses was </w:t>
      </w:r>
      <w:bookmarkStart w:id="88" w:name="led126283F20215221624396201663"/>
      <w:r>
        <w:rPr>
          <w:sz w:val="20"/>
          <w:szCs w:val="20"/>
        </w:rPr>
        <w:t>$20.6</w:t>
      </w:r>
      <w:bookmarkEnd w:id="88"/>
      <w:r>
        <w:rPr>
          <w:sz w:val="20"/>
          <w:szCs w:val="20"/>
        </w:rPr>
        <w:t> million, or </w:t>
      </w:r>
      <w:bookmarkStart w:id="89" w:name="led126286F20215221624396304411"/>
      <w:r>
        <w:rPr>
          <w:sz w:val="20"/>
          <w:szCs w:val="20"/>
        </w:rPr>
        <w:t>62.4%</w:t>
      </w:r>
      <w:bookmarkEnd w:id="89"/>
      <w:r>
        <w:rPr>
          <w:sz w:val="20"/>
          <w:szCs w:val="20"/>
        </w:rPr>
        <w:t> and </w:t>
      </w:r>
      <w:bookmarkStart w:id="90" w:name="led126286F20215221624396252809"/>
      <w:r>
        <w:rPr>
          <w:sz w:val="20"/>
          <w:szCs w:val="20"/>
        </w:rPr>
        <w:t>1.09%</w:t>
      </w:r>
      <w:bookmarkEnd w:id="90"/>
      <w:r>
        <w:rPr>
          <w:sz w:val="20"/>
          <w:szCs w:val="20"/>
        </w:rPr>
        <w:t> of nonperforming and total loans, respectively, at September 30, 2021, compared to </w:t>
      </w:r>
      <w:bookmarkStart w:id="91" w:name="led126283F20215221624396219353"/>
      <w:r>
        <w:rPr>
          <w:sz w:val="20"/>
          <w:szCs w:val="20"/>
        </w:rPr>
        <w:t>$20.4</w:t>
      </w:r>
      <w:bookmarkEnd w:id="91"/>
      <w:r>
        <w:rPr>
          <w:sz w:val="20"/>
          <w:szCs w:val="20"/>
        </w:rPr>
        <w:t xml:space="preserve"> million, or </w:t>
      </w:r>
      <w:bookmarkStart w:id="92" w:name="led126286F20215221624396345220"/>
      <w:r>
        <w:rPr>
          <w:sz w:val="20"/>
          <w:szCs w:val="20"/>
        </w:rPr>
        <w:t>97.8%</w:t>
      </w:r>
      <w:bookmarkEnd w:id="92"/>
      <w:r>
        <w:rPr>
          <w:sz w:val="20"/>
          <w:szCs w:val="20"/>
        </w:rPr>
        <w:t> and </w:t>
      </w:r>
      <w:bookmarkStart w:id="93" w:name="led126286F20215221624396266438"/>
      <w:r>
        <w:rPr>
          <w:sz w:val="20"/>
          <w:szCs w:val="20"/>
        </w:rPr>
        <w:t>1.05%</w:t>
      </w:r>
      <w:bookmarkEnd w:id="93"/>
      <w:r>
        <w:rPr>
          <w:sz w:val="20"/>
          <w:szCs w:val="20"/>
        </w:rPr>
        <w:t>, respectively, at June 30, 2021, and </w:t>
      </w:r>
      <w:bookmarkStart w:id="94" w:name="led126283F20215221624396229793"/>
      <w:r>
        <w:rPr>
          <w:sz w:val="20"/>
          <w:szCs w:val="20"/>
        </w:rPr>
        <w:t>$19.0</w:t>
      </w:r>
      <w:bookmarkEnd w:id="94"/>
      <w:r>
        <w:rPr>
          <w:sz w:val="20"/>
          <w:szCs w:val="20"/>
        </w:rPr>
        <w:t xml:space="preserve"> million, or </w:t>
      </w:r>
      <w:bookmarkStart w:id="95" w:name="led126286F20215221624396367518"/>
      <w:r>
        <w:rPr>
          <w:sz w:val="20"/>
          <w:szCs w:val="20"/>
        </w:rPr>
        <w:t>153.8%</w:t>
      </w:r>
      <w:bookmarkEnd w:id="95"/>
      <w:r>
        <w:rPr>
          <w:sz w:val="20"/>
          <w:szCs w:val="20"/>
        </w:rPr>
        <w:t> and </w:t>
      </w:r>
      <w:bookmarkStart w:id="96" w:name="led126286F20215221624396293227"/>
      <w:r>
        <w:rPr>
          <w:sz w:val="20"/>
          <w:szCs w:val="20"/>
        </w:rPr>
        <w:t>1.04%</w:t>
      </w:r>
      <w:bookmarkEnd w:id="96"/>
      <w:r>
        <w:rPr>
          <w:sz w:val="20"/>
          <w:szCs w:val="20"/>
        </w:rPr>
        <w:t>, respectively, at September 30, 2020.</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The provision for loan losses was </w:t>
      </w:r>
      <w:bookmarkStart w:id="97" w:name="led126282F20215221624396393934"/>
      <w:r>
        <w:rPr>
          <w:sz w:val="20"/>
          <w:szCs w:val="20"/>
        </w:rPr>
        <w:t>$21.7</w:t>
      </w:r>
      <w:bookmarkEnd w:id="97"/>
      <w:r>
        <w:rPr>
          <w:sz w:val="20"/>
          <w:szCs w:val="20"/>
        </w:rPr>
        <w:t> million for the quarter ended September 30, 2021 compared to </w:t>
      </w:r>
      <w:bookmarkStart w:id="98" w:name="led126282F20215221624396406863"/>
      <w:r>
        <w:rPr>
          <w:sz w:val="20"/>
          <w:szCs w:val="20"/>
        </w:rPr>
        <w:t>$0.1</w:t>
      </w:r>
      <w:bookmarkEnd w:id="98"/>
      <w:r>
        <w:rPr>
          <w:sz w:val="20"/>
          <w:szCs w:val="20"/>
        </w:rPr>
        <w:t xml:space="preserve"> million and </w:t>
      </w:r>
      <w:bookmarkStart w:id="99" w:name="led126282F20215221624396419232"/>
      <w:r>
        <w:rPr>
          <w:sz w:val="20"/>
          <w:szCs w:val="20"/>
        </w:rPr>
        <w:t>$2.5</w:t>
      </w:r>
      <w:bookmarkEnd w:id="99"/>
      <w:r>
        <w:rPr>
          <w:sz w:val="20"/>
          <w:szCs w:val="20"/>
        </w:rPr>
        <w:t xml:space="preserve"> million for the quarters ended June 30, 2021 and September 30, 2020, respectively. The provision for loan losses for the quarter ended September 30, 2021 includes an impairment charge of $21.6 million related to a loan relationship with related borrowers (collectively, the “Borrower”) consisting of multiple loans that are secured by various types of collateral. As a result of Hurricane Ida, which made landfall in Louisiana as a category 4 hurricane on August 29, 2021, the Borrower’s business operations were disrupted causing a significant reduction in value of some of the collateral supporting the loan relationship, including real estate, inventory, and equipment. The impairment charge of $21.6 million is based on the estimated value of collateral with respect to the loan relationship at September 30, 2021.  </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Investar has instituted a 90-day loan deferral program for customers who were impacted by Hurricane Ida. At September 30, 2021, Investar had placed approximately $47.7 million, or 2.5% of the total loan portfolio on a 90-day deferral plan. Investar continues to assess the impact the hurricane had on the region and its loan portfolio to determine whether there is a need for additional reserves.</w:t>
      </w:r>
    </w:p>
    <w:p w:rsidR="0048389A" w:rsidRDefault="006A750F">
      <w:pPr>
        <w:ind w:left="144" w:right="144"/>
        <w:rPr>
          <w:sz w:val="20"/>
          <w:szCs w:val="20"/>
        </w:rPr>
      </w:pPr>
      <w:r>
        <w:rPr>
          <w:sz w:val="20"/>
          <w:szCs w:val="20"/>
        </w:rPr>
        <w:t> </w:t>
      </w:r>
    </w:p>
    <w:p w:rsidR="0048389A" w:rsidRDefault="006A750F">
      <w:pPr>
        <w:ind w:left="144" w:right="144"/>
        <w:rPr>
          <w:sz w:val="20"/>
          <w:szCs w:val="20"/>
        </w:rPr>
      </w:pPr>
      <w:r>
        <w:rPr>
          <w:b/>
          <w:bCs/>
          <w:sz w:val="20"/>
          <w:szCs w:val="20"/>
        </w:rPr>
        <w:t>Deposits</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Total deposits at September 30, 2021 were </w:t>
      </w:r>
      <w:bookmarkStart w:id="100" w:name="led126293F20215211624303336008"/>
      <w:r>
        <w:rPr>
          <w:sz w:val="20"/>
          <w:szCs w:val="20"/>
        </w:rPr>
        <w:t>$2.30</w:t>
      </w:r>
      <w:bookmarkEnd w:id="100"/>
      <w:r>
        <w:rPr>
          <w:sz w:val="20"/>
          <w:szCs w:val="20"/>
        </w:rPr>
        <w:t xml:space="preserve"> billion, </w:t>
      </w:r>
      <w:bookmarkStart w:id="101" w:name="led126293F20215211624303361306"/>
      <w:r>
        <w:rPr>
          <w:sz w:val="20"/>
          <w:szCs w:val="20"/>
        </w:rPr>
        <w:t>an increase</w:t>
      </w:r>
      <w:bookmarkEnd w:id="101"/>
      <w:r>
        <w:rPr>
          <w:sz w:val="20"/>
          <w:szCs w:val="20"/>
        </w:rPr>
        <w:t xml:space="preserve"> of </w:t>
      </w:r>
      <w:bookmarkStart w:id="102" w:name="led126293F20215211624303421020"/>
      <w:r>
        <w:rPr>
          <w:sz w:val="20"/>
          <w:szCs w:val="20"/>
        </w:rPr>
        <w:t>$43.5</w:t>
      </w:r>
      <w:bookmarkEnd w:id="102"/>
      <w:r>
        <w:rPr>
          <w:sz w:val="20"/>
          <w:szCs w:val="20"/>
        </w:rPr>
        <w:t> million, or </w:t>
      </w:r>
      <w:bookmarkStart w:id="103" w:name="led126293F20215211624303438763"/>
      <w:r>
        <w:rPr>
          <w:sz w:val="20"/>
          <w:szCs w:val="20"/>
        </w:rPr>
        <w:t>1.9%</w:t>
      </w:r>
      <w:bookmarkEnd w:id="103"/>
      <w:r>
        <w:rPr>
          <w:sz w:val="20"/>
          <w:szCs w:val="20"/>
        </w:rPr>
        <w:t>, compared to </w:t>
      </w:r>
      <w:bookmarkStart w:id="104" w:name="led126293F20215211624303453263"/>
      <w:r>
        <w:rPr>
          <w:sz w:val="20"/>
          <w:szCs w:val="20"/>
        </w:rPr>
        <w:t>$2.26</w:t>
      </w:r>
      <w:bookmarkEnd w:id="104"/>
      <w:r>
        <w:rPr>
          <w:sz w:val="20"/>
          <w:szCs w:val="20"/>
        </w:rPr>
        <w:t> billion at June 30, 2021, and </w:t>
      </w:r>
      <w:bookmarkStart w:id="105" w:name="led126293F20215211624303465429"/>
      <w:r>
        <w:rPr>
          <w:sz w:val="20"/>
          <w:szCs w:val="20"/>
        </w:rPr>
        <w:t>an increase</w:t>
      </w:r>
      <w:bookmarkEnd w:id="105"/>
      <w:r>
        <w:rPr>
          <w:sz w:val="20"/>
          <w:szCs w:val="20"/>
        </w:rPr>
        <w:t> of </w:t>
      </w:r>
      <w:bookmarkStart w:id="106" w:name="led126293F20215211624303480232"/>
      <w:r>
        <w:rPr>
          <w:sz w:val="20"/>
          <w:szCs w:val="20"/>
        </w:rPr>
        <w:t>$469.2</w:t>
      </w:r>
      <w:bookmarkEnd w:id="106"/>
      <w:r>
        <w:rPr>
          <w:sz w:val="20"/>
          <w:szCs w:val="20"/>
        </w:rPr>
        <w:t xml:space="preserve"> million, or </w:t>
      </w:r>
      <w:bookmarkStart w:id="107" w:name="led126293F20215211624303503158"/>
      <w:r>
        <w:rPr>
          <w:sz w:val="20"/>
          <w:szCs w:val="20"/>
        </w:rPr>
        <w:t>25.6%</w:t>
      </w:r>
      <w:bookmarkEnd w:id="107"/>
      <w:r>
        <w:rPr>
          <w:sz w:val="20"/>
          <w:szCs w:val="20"/>
        </w:rPr>
        <w:t>, compared to </w:t>
      </w:r>
      <w:bookmarkStart w:id="108" w:name="led126293F20215211624303520396"/>
      <w:r>
        <w:rPr>
          <w:sz w:val="20"/>
          <w:szCs w:val="20"/>
        </w:rPr>
        <w:t>$1.83</w:t>
      </w:r>
      <w:bookmarkEnd w:id="108"/>
      <w:r>
        <w:rPr>
          <w:sz w:val="20"/>
          <w:szCs w:val="20"/>
        </w:rPr>
        <w:t xml:space="preserve"> billion at September 30, 2020. Investar acquired approximately $207.0 million in deposits from Cheaha at the time of acquisition on April 1, 2021. The remaining increase is due to organic growth and brokered deposits. </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The COVID-19 pandemic has created a significant amount of excess liquidity in the market, and, as a result, we have experienced large increases in both noninterest and interest-bearing demand deposits, and in money market deposit accounts compared to June 30, 2021 and September 30, 2020. These increases were primarily driven by reduced spending by consumer and business customers related to the COVID-19 pandemic, and increases in PPP borrowers’ deposit accounts. We believe these factors may be temporary depending on the future economic effects of the COVID-19 pandemic. In addition, the Bank utilized </w:t>
      </w:r>
      <w:bookmarkStart w:id="109" w:name="led126293F20215241624568152990"/>
      <w:r>
        <w:rPr>
          <w:sz w:val="20"/>
          <w:szCs w:val="20"/>
        </w:rPr>
        <w:t>$125.0</w:t>
      </w:r>
      <w:bookmarkEnd w:id="109"/>
      <w:r>
        <w:rPr>
          <w:sz w:val="20"/>
          <w:szCs w:val="20"/>
        </w:rPr>
        <w:t> million in brokered deposits in the third quarter of 2021 and </w:t>
      </w:r>
      <w:bookmarkStart w:id="110" w:name="led126293F20215241624568167038"/>
      <w:r>
        <w:rPr>
          <w:sz w:val="20"/>
          <w:szCs w:val="20"/>
        </w:rPr>
        <w:t>$100.1</w:t>
      </w:r>
      <w:bookmarkEnd w:id="110"/>
      <w:r>
        <w:rPr>
          <w:sz w:val="20"/>
          <w:szCs w:val="20"/>
        </w:rPr>
        <w:t> million in the second quarter of 2021, which are used to satisfy the required borrowings under its interest rate swap agreements, due to more favorable pricing.</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lastRenderedPageBreak/>
        <w:t>Our deposit mix continues to improve and reflects our consistent focus on relationship banking and growing our commercial relationships, as well as the effects of the pandemic on consumer and business spending. Noninterest-bearing deposits as a percentage of total deposits has increased while time deposits as a percentage of total deposits has decreased. Management made a strategic decision to either reprice or run-off higher yielding time deposits and other interest-bearing deposit products during 2020 and 2021, which has contributed to our decreasing cost of deposits compared to the quarters ended June 30, 2021 and September 30, 2020. </w:t>
      </w:r>
    </w:p>
    <w:p w:rsidR="0048389A" w:rsidRDefault="006A750F">
      <w:pPr>
        <w:ind w:left="144" w:right="144"/>
        <w:rPr>
          <w:sz w:val="20"/>
          <w:szCs w:val="20"/>
        </w:rPr>
      </w:pPr>
      <w:r>
        <w:rPr>
          <w:sz w:val="20"/>
          <w:szCs w:val="20"/>
        </w:rPr>
        <w:t> </w:t>
      </w:r>
    </w:p>
    <w:p w:rsidR="0048389A" w:rsidRDefault="006A750F">
      <w:pPr>
        <w:ind w:left="144" w:right="144"/>
        <w:rPr>
          <w:sz w:val="20"/>
          <w:szCs w:val="20"/>
        </w:rPr>
      </w:pPr>
      <w:r>
        <w:rPr>
          <w:sz w:val="20"/>
          <w:szCs w:val="20"/>
        </w:rPr>
        <w:t>The following table sets forth the composition of deposits as of the dates indicated (dollars in thousands).</w:t>
      </w:r>
    </w:p>
    <w:p w:rsidR="0048389A" w:rsidRDefault="006A750F">
      <w:pPr>
        <w:ind w:left="144" w:right="144"/>
        <w:rPr>
          <w:sz w:val="20"/>
          <w:szCs w:val="20"/>
        </w:rPr>
      </w:pPr>
      <w:r>
        <w:rPr>
          <w:sz w:val="20"/>
          <w:szCs w:val="20"/>
        </w:rPr>
        <w:t> </w:t>
      </w:r>
    </w:p>
    <w:tbl>
      <w:tblPr>
        <w:tblStyle w:val="finTable"/>
        <w:tblW w:w="5000" w:type="pct"/>
        <w:tblInd w:w="149" w:type="dxa"/>
        <w:tblCellMar>
          <w:left w:w="0" w:type="dxa"/>
          <w:right w:w="0" w:type="dxa"/>
        </w:tblCellMar>
        <w:tblLook w:val="05E0" w:firstRow="1" w:lastRow="1" w:firstColumn="1" w:lastColumn="1" w:noHBand="0" w:noVBand="1"/>
      </w:tblPr>
      <w:tblGrid>
        <w:gridCol w:w="1991"/>
        <w:gridCol w:w="60"/>
        <w:gridCol w:w="110"/>
        <w:gridCol w:w="810"/>
        <w:gridCol w:w="60"/>
        <w:gridCol w:w="60"/>
        <w:gridCol w:w="110"/>
        <w:gridCol w:w="810"/>
        <w:gridCol w:w="60"/>
        <w:gridCol w:w="60"/>
        <w:gridCol w:w="110"/>
        <w:gridCol w:w="810"/>
        <w:gridCol w:w="60"/>
        <w:gridCol w:w="60"/>
        <w:gridCol w:w="110"/>
        <w:gridCol w:w="627"/>
        <w:gridCol w:w="77"/>
        <w:gridCol w:w="60"/>
        <w:gridCol w:w="60"/>
        <w:gridCol w:w="455"/>
        <w:gridCol w:w="210"/>
        <w:gridCol w:w="60"/>
        <w:gridCol w:w="110"/>
        <w:gridCol w:w="727"/>
        <w:gridCol w:w="77"/>
        <w:gridCol w:w="60"/>
        <w:gridCol w:w="60"/>
        <w:gridCol w:w="542"/>
        <w:gridCol w:w="210"/>
        <w:gridCol w:w="60"/>
        <w:gridCol w:w="118"/>
        <w:gridCol w:w="704"/>
        <w:gridCol w:w="210"/>
        <w:gridCol w:w="60"/>
        <w:gridCol w:w="118"/>
        <w:gridCol w:w="704"/>
        <w:gridCol w:w="210"/>
      </w:tblGrid>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6"/>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Percentage of</w:t>
            </w:r>
          </w:p>
        </w:tc>
        <w:tc>
          <w:tcPr>
            <w:tcW w:w="0" w:type="auto"/>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6"/>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Linked Quarter Change</w:t>
            </w:r>
          </w:p>
        </w:tc>
        <w:tc>
          <w:tcPr>
            <w:tcW w:w="0" w:type="auto"/>
            <w:tcBorders>
              <w:bottom w:val="single" w:sz="12" w:space="0" w:color="000000"/>
            </w:tcBorders>
            <w:tcMar>
              <w:top w:w="5" w:type="dxa"/>
              <w:left w:w="5" w:type="dxa"/>
              <w:bottom w:w="1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6"/>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Year/Year Change</w:t>
            </w:r>
          </w:p>
        </w:tc>
        <w:tc>
          <w:tcPr>
            <w:tcW w:w="0" w:type="auto"/>
            <w:tcBorders>
              <w:bottom w:val="single" w:sz="12" w:space="0" w:color="000000"/>
            </w:tcBorders>
            <w:tcMar>
              <w:top w:w="5" w:type="dxa"/>
              <w:left w:w="5" w:type="dxa"/>
              <w:bottom w:w="1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6"/>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Total Deposits</w:t>
            </w:r>
          </w:p>
        </w:tc>
        <w:tc>
          <w:tcPr>
            <w:tcW w:w="0" w:type="auto"/>
            <w:tcBorders>
              <w:bottom w:val="single" w:sz="12" w:space="0" w:color="000000"/>
            </w:tcBorders>
            <w:tcMar>
              <w:top w:w="5" w:type="dxa"/>
              <w:left w:w="5" w:type="dxa"/>
              <w:bottom w:w="1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9/30/2021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6/30/2021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9/30/2020</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w:t>
            </w:r>
          </w:p>
        </w:tc>
        <w:tc>
          <w:tcPr>
            <w:tcW w:w="0" w:type="auto"/>
            <w:tcBorders>
              <w:bottom w:val="single" w:sz="12" w:space="0" w:color="000000"/>
            </w:tcBorders>
            <w:tcMar>
              <w:top w:w="5" w:type="dxa"/>
              <w:left w:w="5" w:type="dxa"/>
              <w:bottom w:w="1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w:t>
            </w:r>
          </w:p>
        </w:tc>
        <w:tc>
          <w:tcPr>
            <w:tcW w:w="0" w:type="auto"/>
            <w:tcBorders>
              <w:bottom w:val="single" w:sz="12" w:space="0" w:color="000000"/>
            </w:tcBorders>
            <w:tcMar>
              <w:top w:w="5" w:type="dxa"/>
              <w:left w:w="5" w:type="dxa"/>
              <w:bottom w:w="1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w:t>
            </w:r>
          </w:p>
        </w:tc>
        <w:tc>
          <w:tcPr>
            <w:tcW w:w="0" w:type="auto"/>
            <w:tcBorders>
              <w:bottom w:val="single" w:sz="12" w:space="0" w:color="000000"/>
            </w:tcBorders>
            <w:tcMar>
              <w:top w:w="5" w:type="dxa"/>
              <w:left w:w="5" w:type="dxa"/>
              <w:bottom w:w="1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w:t>
            </w:r>
          </w:p>
        </w:tc>
        <w:tc>
          <w:tcPr>
            <w:tcW w:w="0" w:type="auto"/>
            <w:tcBorders>
              <w:bottom w:val="single" w:sz="12" w:space="0" w:color="000000"/>
            </w:tcBorders>
            <w:tcMar>
              <w:top w:w="5" w:type="dxa"/>
              <w:left w:w="5" w:type="dxa"/>
              <w:bottom w:w="1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9/30/2021</w:t>
            </w:r>
          </w:p>
        </w:tc>
        <w:tc>
          <w:tcPr>
            <w:tcW w:w="0" w:type="auto"/>
            <w:tcBorders>
              <w:bottom w:val="single" w:sz="12" w:space="0" w:color="000000"/>
            </w:tcBorders>
            <w:tcMar>
              <w:top w:w="5" w:type="dxa"/>
              <w:left w:w="5" w:type="dxa"/>
              <w:bottom w:w="1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12" w:space="0" w:color="000000"/>
            </w:tcBorders>
            <w:tcMar>
              <w:top w:w="5" w:type="dxa"/>
              <w:left w:w="5" w:type="dxa"/>
              <w:bottom w:w="15" w:type="dxa"/>
              <w:right w:w="5" w:type="dxa"/>
            </w:tcMar>
            <w:vAlign w:val="bottom"/>
            <w:hideMark/>
          </w:tcPr>
          <w:p w:rsidR="0048389A" w:rsidRDefault="006A750F">
            <w:pPr>
              <w:jc w:val="center"/>
              <w:rPr>
                <w:color w:val="000000"/>
                <w:sz w:val="20"/>
                <w:szCs w:val="20"/>
              </w:rPr>
            </w:pPr>
            <w:r>
              <w:rPr>
                <w:b/>
                <w:bCs/>
                <w:color w:val="000000"/>
                <w:sz w:val="20"/>
                <w:szCs w:val="20"/>
              </w:rPr>
              <w:t>9/30/2020</w:t>
            </w:r>
          </w:p>
        </w:tc>
        <w:tc>
          <w:tcPr>
            <w:tcW w:w="0" w:type="auto"/>
            <w:tcBorders>
              <w:bottom w:val="single" w:sz="12" w:space="0" w:color="000000"/>
            </w:tcBorders>
            <w:tcMar>
              <w:top w:w="5" w:type="dxa"/>
              <w:left w:w="5" w:type="dxa"/>
              <w:bottom w:w="15" w:type="dxa"/>
              <w:right w:w="5" w:type="dxa"/>
            </w:tcMar>
            <w:vAlign w:val="bottom"/>
            <w:hideMark/>
          </w:tcPr>
          <w:p w:rsidR="0048389A" w:rsidRDefault="0048389A">
            <w:pPr>
              <w:rPr>
                <w:color w:val="000000"/>
                <w:sz w:val="20"/>
                <w:szCs w:val="20"/>
              </w:rPr>
            </w:pPr>
          </w:p>
        </w:tc>
      </w:tr>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Noninterest-bearing demand deposits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597,452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582,109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452,070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15,343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145,382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32.2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25.9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Interest-bearing demand deposits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658,743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630,829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473,819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27,914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184,924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39.0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28.6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25.8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Brokered deposits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125,016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100,117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24,899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125,016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Money market deposit accounts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264,846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243,058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179,133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21,788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85,713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47.8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Savings accounts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174,953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174,385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139,153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568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35,800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25.7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Time deposits</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482,631</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529,668</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590,274</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(47,037</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(8.9</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(107,643</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(18.2</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21.0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32.2</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firstLine="180"/>
              <w:rPr>
                <w:color w:val="000000"/>
                <w:sz w:val="20"/>
                <w:szCs w:val="20"/>
              </w:rPr>
            </w:pPr>
            <w:r>
              <w:rPr>
                <w:b/>
                <w:bCs/>
                <w:color w:val="000000"/>
                <w:sz w:val="20"/>
                <w:szCs w:val="20"/>
              </w:rPr>
              <w:t>Total deposits</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2,303,641</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2,260,166</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1,834,449</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43,475</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1.9</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b/>
                <w:bCs/>
                <w:color w:val="000000"/>
                <w:sz w:val="20"/>
                <w:szCs w:val="20"/>
              </w:rPr>
              <w:t>%</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469,192</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25.6</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b/>
                <w:bCs/>
                <w:color w:val="000000"/>
                <w:sz w:val="20"/>
                <w:szCs w:val="20"/>
              </w:rPr>
              <w:t>%</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100.0</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b/>
                <w:bCs/>
                <w:color w:val="000000"/>
                <w:sz w:val="20"/>
                <w:szCs w:val="20"/>
              </w:rPr>
              <w:t>%</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b/>
                <w:bCs/>
                <w:color w:val="000000"/>
                <w:sz w:val="20"/>
                <w:szCs w:val="20"/>
              </w:rPr>
              <w:t>100.0</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b/>
                <w:bCs/>
                <w:color w:val="000000"/>
                <w:sz w:val="20"/>
                <w:szCs w:val="20"/>
              </w:rPr>
              <w:t>%</w:t>
            </w:r>
          </w:p>
        </w:tc>
      </w:tr>
    </w:tbl>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b/>
          <w:bCs/>
          <w:sz w:val="20"/>
          <w:szCs w:val="20"/>
        </w:rPr>
        <w:t>Net Interest Income</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Net interest income for the third quarter of 2021 totaled </w:t>
      </w:r>
      <w:bookmarkStart w:id="111" w:name="led126282F20215221624396453431"/>
      <w:r>
        <w:rPr>
          <w:sz w:val="20"/>
          <w:szCs w:val="20"/>
        </w:rPr>
        <w:t>$21.5</w:t>
      </w:r>
      <w:bookmarkEnd w:id="111"/>
      <w:r>
        <w:rPr>
          <w:sz w:val="20"/>
          <w:szCs w:val="20"/>
        </w:rPr>
        <w:t xml:space="preserve"> million, </w:t>
      </w:r>
      <w:bookmarkStart w:id="112" w:name="led126282F20215221624396469839"/>
      <w:r>
        <w:rPr>
          <w:sz w:val="20"/>
          <w:szCs w:val="20"/>
        </w:rPr>
        <w:t>an increase</w:t>
      </w:r>
      <w:bookmarkEnd w:id="112"/>
      <w:r>
        <w:rPr>
          <w:sz w:val="20"/>
          <w:szCs w:val="20"/>
        </w:rPr>
        <w:t> of </w:t>
      </w:r>
      <w:bookmarkStart w:id="113" w:name="led126282F20215221624396486017"/>
      <w:r>
        <w:rPr>
          <w:sz w:val="20"/>
          <w:szCs w:val="20"/>
        </w:rPr>
        <w:t>$0.4</w:t>
      </w:r>
      <w:bookmarkEnd w:id="113"/>
      <w:r>
        <w:rPr>
          <w:sz w:val="20"/>
          <w:szCs w:val="20"/>
        </w:rPr>
        <w:t> million, or </w:t>
      </w:r>
      <w:bookmarkStart w:id="114" w:name="led126282F20215221624396499287"/>
      <w:r>
        <w:rPr>
          <w:sz w:val="20"/>
          <w:szCs w:val="20"/>
        </w:rPr>
        <w:t>1.8%</w:t>
      </w:r>
      <w:bookmarkEnd w:id="114"/>
      <w:r>
        <w:rPr>
          <w:sz w:val="20"/>
          <w:szCs w:val="20"/>
        </w:rPr>
        <w:t>, compared to the second quarter of 2021, and </w:t>
      </w:r>
      <w:bookmarkStart w:id="115" w:name="led126282F20215221624396522940"/>
      <w:r>
        <w:rPr>
          <w:sz w:val="20"/>
          <w:szCs w:val="20"/>
        </w:rPr>
        <w:t>an increase</w:t>
      </w:r>
      <w:bookmarkEnd w:id="115"/>
      <w:r>
        <w:rPr>
          <w:sz w:val="20"/>
          <w:szCs w:val="20"/>
        </w:rPr>
        <w:t> of </w:t>
      </w:r>
      <w:bookmarkStart w:id="116" w:name="led126282F20215221624396540584"/>
      <w:r>
        <w:rPr>
          <w:sz w:val="20"/>
          <w:szCs w:val="20"/>
        </w:rPr>
        <w:t>$2.8</w:t>
      </w:r>
      <w:bookmarkEnd w:id="116"/>
      <w:r>
        <w:rPr>
          <w:sz w:val="20"/>
          <w:szCs w:val="20"/>
        </w:rPr>
        <w:t> million, or </w:t>
      </w:r>
      <w:bookmarkStart w:id="117" w:name="led126282F20215221624396552663"/>
      <w:r>
        <w:rPr>
          <w:sz w:val="20"/>
          <w:szCs w:val="20"/>
        </w:rPr>
        <w:t>15.2%</w:t>
      </w:r>
      <w:bookmarkEnd w:id="117"/>
      <w:r>
        <w:rPr>
          <w:sz w:val="20"/>
          <w:szCs w:val="20"/>
        </w:rPr>
        <w:t>, compared to the third quarter of 2020. Included in net interest income for the quarters ended September 30, 2021, June 30, 2021 and September 30, 2020 is </w:t>
      </w:r>
      <w:bookmarkStart w:id="118" w:name="led152053F20215221624397081365"/>
      <w:r>
        <w:rPr>
          <w:sz w:val="20"/>
          <w:szCs w:val="20"/>
        </w:rPr>
        <w:t>$0.3</w:t>
      </w:r>
      <w:bookmarkEnd w:id="118"/>
      <w:r>
        <w:rPr>
          <w:sz w:val="20"/>
          <w:szCs w:val="20"/>
        </w:rPr>
        <w:t> million, </w:t>
      </w:r>
      <w:bookmarkStart w:id="119" w:name="led152053F20215221624397113570"/>
      <w:r>
        <w:rPr>
          <w:sz w:val="20"/>
          <w:szCs w:val="20"/>
        </w:rPr>
        <w:t>$0.5</w:t>
      </w:r>
      <w:bookmarkEnd w:id="119"/>
      <w:r>
        <w:rPr>
          <w:sz w:val="20"/>
          <w:szCs w:val="20"/>
        </w:rPr>
        <w:t xml:space="preserve"> million, and </w:t>
      </w:r>
      <w:bookmarkStart w:id="120" w:name="led152053F20215221624397125690"/>
      <w:r>
        <w:rPr>
          <w:sz w:val="20"/>
          <w:szCs w:val="20"/>
        </w:rPr>
        <w:t>$0.2</w:t>
      </w:r>
      <w:bookmarkEnd w:id="120"/>
      <w:r>
        <w:rPr>
          <w:sz w:val="20"/>
          <w:szCs w:val="20"/>
        </w:rPr>
        <w:t> million of interest income accretion from the acquisition of loans. Also included in net interest income for the quarters ended September 30, 2021, June 30, 2021 and September 30, 2020 are interest recoveries of </w:t>
      </w:r>
      <w:bookmarkStart w:id="121" w:name="led152053F20215221624397147530"/>
      <w:r>
        <w:rPr>
          <w:sz w:val="20"/>
          <w:szCs w:val="20"/>
        </w:rPr>
        <w:t>$0.2</w:t>
      </w:r>
      <w:bookmarkEnd w:id="121"/>
      <w:r>
        <w:rPr>
          <w:sz w:val="20"/>
          <w:szCs w:val="20"/>
        </w:rPr>
        <w:t> </w:t>
      </w:r>
      <w:proofErr w:type="gramStart"/>
      <w:r>
        <w:rPr>
          <w:sz w:val="20"/>
          <w:szCs w:val="20"/>
        </w:rPr>
        <w:t>million,  </w:t>
      </w:r>
      <w:bookmarkStart w:id="122" w:name="led152053F20215221624397176624"/>
      <w:r>
        <w:rPr>
          <w:sz w:val="20"/>
          <w:szCs w:val="20"/>
        </w:rPr>
        <w:t>$</w:t>
      </w:r>
      <w:proofErr w:type="gramEnd"/>
      <w:r>
        <w:rPr>
          <w:sz w:val="20"/>
          <w:szCs w:val="20"/>
        </w:rPr>
        <w:t>25,000</w:t>
      </w:r>
      <w:bookmarkEnd w:id="122"/>
      <w:r>
        <w:rPr>
          <w:sz w:val="20"/>
          <w:szCs w:val="20"/>
        </w:rPr>
        <w:t>, and </w:t>
      </w:r>
      <w:bookmarkStart w:id="123" w:name="led152053F20219201634742048654"/>
      <w:r>
        <w:rPr>
          <w:sz w:val="20"/>
          <w:szCs w:val="20"/>
        </w:rPr>
        <w:t>$15,000</w:t>
      </w:r>
      <w:bookmarkEnd w:id="123"/>
      <w:r>
        <w:rPr>
          <w:sz w:val="20"/>
          <w:szCs w:val="20"/>
        </w:rPr>
        <w:t>, respectively.</w:t>
      </w:r>
    </w:p>
    <w:p w:rsidR="0048389A" w:rsidRDefault="006A750F">
      <w:pPr>
        <w:ind w:left="144" w:right="144"/>
        <w:rPr>
          <w:sz w:val="20"/>
          <w:szCs w:val="20"/>
        </w:rPr>
      </w:pPr>
      <w:r>
        <w:rPr>
          <w:sz w:val="20"/>
          <w:szCs w:val="20"/>
        </w:rPr>
        <w:t> </w:t>
      </w:r>
    </w:p>
    <w:p w:rsidR="0048389A" w:rsidRDefault="006A750F" w:rsidP="00C44726">
      <w:pPr>
        <w:ind w:left="144" w:right="144"/>
        <w:jc w:val="both"/>
        <w:rPr>
          <w:sz w:val="20"/>
          <w:szCs w:val="20"/>
        </w:rPr>
      </w:pPr>
      <w:r>
        <w:rPr>
          <w:sz w:val="20"/>
          <w:szCs w:val="20"/>
        </w:rPr>
        <w:t xml:space="preserve">Investar’s net interest margin was </w:t>
      </w:r>
      <w:bookmarkStart w:id="124" w:name="led126285F20215181624048950531"/>
      <w:r>
        <w:rPr>
          <w:sz w:val="20"/>
          <w:szCs w:val="20"/>
        </w:rPr>
        <w:t>3.44%</w:t>
      </w:r>
      <w:bookmarkEnd w:id="124"/>
      <w:r>
        <w:rPr>
          <w:sz w:val="20"/>
          <w:szCs w:val="20"/>
        </w:rPr>
        <w:t xml:space="preserve"> for the quarter ended September 30, 2021, compared to </w:t>
      </w:r>
      <w:bookmarkStart w:id="125" w:name="led126285F20215181624048964927"/>
      <w:r>
        <w:rPr>
          <w:sz w:val="20"/>
          <w:szCs w:val="20"/>
        </w:rPr>
        <w:t>3.48%</w:t>
      </w:r>
      <w:bookmarkEnd w:id="125"/>
      <w:r>
        <w:rPr>
          <w:sz w:val="20"/>
          <w:szCs w:val="20"/>
        </w:rPr>
        <w:t xml:space="preserve"> for the quarter ended June 30, 2021 and </w:t>
      </w:r>
      <w:bookmarkStart w:id="126" w:name="led126285F20215181624048977813"/>
      <w:r>
        <w:rPr>
          <w:sz w:val="20"/>
          <w:szCs w:val="20"/>
        </w:rPr>
        <w:t>3.46%</w:t>
      </w:r>
      <w:bookmarkEnd w:id="126"/>
      <w:r>
        <w:rPr>
          <w:sz w:val="20"/>
          <w:szCs w:val="20"/>
        </w:rPr>
        <w:t xml:space="preserve"> for the quarter ended September 30, 2020. The decrease in net interest margin for the quarter ended September 30, 2021 compared to the quarter ended June 30, 2021 was driven by excess liquidity. The average balance of interest-bearing balances with banks for the quarter ended September 30, 2021, as shown on our net interest margin table, increased $81.4 million and $227.5 million compared to the quarters ended June 30, 2021 and September 30, 2020, respectively, and resulted in a 12 and 34 basis point decrease in the net interest margin, respectively. The decrease in net interest margin resulting from excess liquidity for the quarter ended September 30, 2021 was partially offset by an </w:t>
      </w:r>
      <w:proofErr w:type="gramStart"/>
      <w:r>
        <w:rPr>
          <w:sz w:val="20"/>
          <w:szCs w:val="20"/>
        </w:rPr>
        <w:t>eight basis</w:t>
      </w:r>
      <w:proofErr w:type="gramEnd"/>
      <w:r>
        <w:rPr>
          <w:sz w:val="20"/>
          <w:szCs w:val="20"/>
        </w:rPr>
        <w:t xml:space="preserve"> point decrease in the cost of deposits compared to the quarter ended June 30, 2021. Compared to the quarter ended September 30, 2020, the decrease in the net interest margin resulting from excess liquidity was partially offset by a </w:t>
      </w:r>
      <w:proofErr w:type="gramStart"/>
      <w:r>
        <w:rPr>
          <w:sz w:val="20"/>
          <w:szCs w:val="20"/>
        </w:rPr>
        <w:t>54 basis</w:t>
      </w:r>
      <w:proofErr w:type="gramEnd"/>
      <w:r>
        <w:rPr>
          <w:sz w:val="20"/>
          <w:szCs w:val="20"/>
        </w:rPr>
        <w:t xml:space="preserve"> point decrease in the cost of deposits.</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The yield on interest-earning assets was </w:t>
      </w:r>
      <w:bookmarkStart w:id="127" w:name="led126285F20215221624397637453"/>
      <w:r>
        <w:rPr>
          <w:sz w:val="20"/>
          <w:szCs w:val="20"/>
        </w:rPr>
        <w:t>3.91%</w:t>
      </w:r>
      <w:bookmarkEnd w:id="127"/>
      <w:r>
        <w:rPr>
          <w:sz w:val="20"/>
          <w:szCs w:val="20"/>
        </w:rPr>
        <w:t> for the quarter ended September 30, 2021, compared to </w:t>
      </w:r>
      <w:bookmarkStart w:id="128" w:name="led126285F20215221624397652606"/>
      <w:r>
        <w:rPr>
          <w:sz w:val="20"/>
          <w:szCs w:val="20"/>
        </w:rPr>
        <w:t>4.00%</w:t>
      </w:r>
      <w:bookmarkEnd w:id="128"/>
      <w:r>
        <w:rPr>
          <w:sz w:val="20"/>
          <w:szCs w:val="20"/>
        </w:rPr>
        <w:t xml:space="preserve"> for the quarter ended June 30, 2021 and </w:t>
      </w:r>
      <w:bookmarkStart w:id="129" w:name="led126285F20215221624397661980"/>
      <w:r>
        <w:rPr>
          <w:sz w:val="20"/>
          <w:szCs w:val="20"/>
        </w:rPr>
        <w:t>4.33%</w:t>
      </w:r>
      <w:bookmarkEnd w:id="129"/>
      <w:r>
        <w:rPr>
          <w:sz w:val="20"/>
          <w:szCs w:val="20"/>
        </w:rPr>
        <w:t> for the quarter ended September 30, 2020. The decrease in the yield on interest-earning assets compared to the quarter ended June 30, 2021 was a direct result of excess liquidity. The decrease in the yield on interest-earning assets compared to the quarter ended September 30, 2020 was driven by excess liquidity and a large decrease in the yield earned on investment securities. In response to the pandemic, during March 2020, the Federal Reserve reduced the federal funds rate 150 basis points to 0 to 0.25 percent, which has affected the yields that we earn on our interest-earning assets. In addition, the PPP loans originated have a contractual interest rate of 1% and origination fees based on the loan amount, which impacts the yield on our loan portfolio.</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Exclusive of PPP loans, which had an average balance of </w:t>
      </w:r>
      <w:bookmarkStart w:id="130" w:name="led152052F20215221624397857832"/>
      <w:r>
        <w:rPr>
          <w:sz w:val="20"/>
          <w:szCs w:val="20"/>
        </w:rPr>
        <w:t>$58.5</w:t>
      </w:r>
      <w:bookmarkEnd w:id="130"/>
      <w:r>
        <w:rPr>
          <w:sz w:val="20"/>
          <w:szCs w:val="20"/>
        </w:rPr>
        <w:t xml:space="preserve"> million and related interest and fee income of </w:t>
      </w:r>
      <w:bookmarkStart w:id="131" w:name="led152052F20215221624397870337"/>
      <w:r>
        <w:rPr>
          <w:sz w:val="20"/>
          <w:szCs w:val="20"/>
        </w:rPr>
        <w:t>$1.3</w:t>
      </w:r>
      <w:bookmarkEnd w:id="131"/>
      <w:r>
        <w:rPr>
          <w:sz w:val="20"/>
          <w:szCs w:val="20"/>
        </w:rPr>
        <w:t> million for the quarter ended September 30, 2021, compared to an average balance of </w:t>
      </w:r>
      <w:bookmarkStart w:id="132" w:name="led152052F20215221624397890443"/>
      <w:r>
        <w:rPr>
          <w:sz w:val="20"/>
          <w:szCs w:val="20"/>
        </w:rPr>
        <w:t>$96.0</w:t>
      </w:r>
      <w:bookmarkEnd w:id="132"/>
      <w:r>
        <w:rPr>
          <w:sz w:val="20"/>
          <w:szCs w:val="20"/>
        </w:rPr>
        <w:t> million and related interest and fee income of </w:t>
      </w:r>
      <w:bookmarkStart w:id="133" w:name="led152052F20215221624397910236"/>
      <w:r>
        <w:rPr>
          <w:sz w:val="20"/>
          <w:szCs w:val="20"/>
        </w:rPr>
        <w:t>$1.2</w:t>
      </w:r>
      <w:bookmarkEnd w:id="133"/>
      <w:r>
        <w:rPr>
          <w:sz w:val="20"/>
          <w:szCs w:val="20"/>
        </w:rPr>
        <w:t> million for the quarter ended June 30, 2021 and an average balance of </w:t>
      </w:r>
      <w:bookmarkStart w:id="134" w:name="led152052F20215221624398177677"/>
      <w:r>
        <w:rPr>
          <w:sz w:val="20"/>
          <w:szCs w:val="20"/>
        </w:rPr>
        <w:t>$114.7</w:t>
      </w:r>
      <w:bookmarkEnd w:id="134"/>
      <w:r>
        <w:rPr>
          <w:sz w:val="20"/>
          <w:szCs w:val="20"/>
        </w:rPr>
        <w:t> million and related interest and fee income of </w:t>
      </w:r>
      <w:bookmarkStart w:id="135" w:name="led152052F20215221624398188361"/>
      <w:r>
        <w:rPr>
          <w:sz w:val="20"/>
          <w:szCs w:val="20"/>
        </w:rPr>
        <w:t>$0.8</w:t>
      </w:r>
      <w:bookmarkEnd w:id="135"/>
      <w:r>
        <w:rPr>
          <w:sz w:val="20"/>
          <w:szCs w:val="20"/>
        </w:rPr>
        <w:t xml:space="preserve"> million for the quarter ended September 30, 2020, adjusted net interest margin was </w:t>
      </w:r>
      <w:bookmarkStart w:id="136" w:name="led152052F20215221624398286010"/>
      <w:r>
        <w:rPr>
          <w:sz w:val="20"/>
          <w:szCs w:val="20"/>
        </w:rPr>
        <w:t>3.31%</w:t>
      </w:r>
      <w:bookmarkEnd w:id="136"/>
      <w:r>
        <w:rPr>
          <w:sz w:val="20"/>
          <w:szCs w:val="20"/>
        </w:rPr>
        <w:t> for the quarter ended September 30, 2021, compared to an adjusted net interest margin of </w:t>
      </w:r>
      <w:bookmarkStart w:id="137" w:name="led152052F20215221624398334499"/>
      <w:r>
        <w:rPr>
          <w:sz w:val="20"/>
          <w:szCs w:val="20"/>
        </w:rPr>
        <w:t>3.41%</w:t>
      </w:r>
      <w:bookmarkEnd w:id="137"/>
      <w:r>
        <w:rPr>
          <w:sz w:val="20"/>
          <w:szCs w:val="20"/>
        </w:rPr>
        <w:t> for the quarter ended June 30, 2021 and </w:t>
      </w:r>
      <w:bookmarkStart w:id="138" w:name="led152052F20215221624398358179"/>
      <w:r>
        <w:rPr>
          <w:sz w:val="20"/>
          <w:szCs w:val="20"/>
        </w:rPr>
        <w:t>3.50%</w:t>
      </w:r>
      <w:bookmarkEnd w:id="138"/>
      <w:r>
        <w:rPr>
          <w:sz w:val="20"/>
          <w:szCs w:val="20"/>
        </w:rPr>
        <w:t> for the quarter ended September 30, 2020. Included in PPP interest and fee income for the quarters ended September 30, 2021, June 30, 2021, and September 30, 2020 is </w:t>
      </w:r>
      <w:bookmarkStart w:id="139" w:name="led152053F20215221624398517520"/>
      <w:r>
        <w:rPr>
          <w:sz w:val="20"/>
          <w:szCs w:val="20"/>
        </w:rPr>
        <w:t>$1.0</w:t>
      </w:r>
      <w:bookmarkEnd w:id="139"/>
      <w:r>
        <w:rPr>
          <w:sz w:val="20"/>
          <w:szCs w:val="20"/>
        </w:rPr>
        <w:t xml:space="preserve"> million, </w:t>
      </w:r>
      <w:bookmarkStart w:id="140" w:name="led152053F20215221624398647123"/>
      <w:r>
        <w:rPr>
          <w:sz w:val="20"/>
          <w:szCs w:val="20"/>
        </w:rPr>
        <w:t>$0.6</w:t>
      </w:r>
      <w:bookmarkEnd w:id="140"/>
      <w:r>
        <w:rPr>
          <w:sz w:val="20"/>
          <w:szCs w:val="20"/>
        </w:rPr>
        <w:t xml:space="preserve"> million, and </w:t>
      </w:r>
      <w:bookmarkStart w:id="141" w:name="led152053F20219201634742088696"/>
      <w:r>
        <w:rPr>
          <w:sz w:val="20"/>
          <w:szCs w:val="20"/>
        </w:rPr>
        <w:t>$0.1</w:t>
      </w:r>
      <w:bookmarkEnd w:id="141"/>
      <w:r>
        <w:rPr>
          <w:sz w:val="20"/>
          <w:szCs w:val="20"/>
        </w:rPr>
        <w:t xml:space="preserve"> million, respectively, of accelerated fee income recognized due to the forgiveness or pay-off of PPP loans. Refer to the </w:t>
      </w:r>
      <w:r>
        <w:rPr>
          <w:i/>
          <w:iCs/>
          <w:sz w:val="20"/>
          <w:szCs w:val="20"/>
        </w:rPr>
        <w:t>Reconciliation of Non-GAAP Financial Measures</w:t>
      </w:r>
      <w:r>
        <w:rPr>
          <w:sz w:val="20"/>
          <w:szCs w:val="20"/>
        </w:rPr>
        <w:t xml:space="preserve"> table for a reconciliation of GAAP to non-GAAP metrics.</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lastRenderedPageBreak/>
        <w:t>Exclusive of the interest income accretion from the acquisition of loans, interest recoveries, and accelerated fee income recognized due to the forgiveness or pay-off of PPP loans, all discussed above, adjusted net interest margin decreased to </w:t>
      </w:r>
      <w:bookmarkStart w:id="142" w:name="led152053F20215221624398695935"/>
      <w:r>
        <w:rPr>
          <w:sz w:val="20"/>
          <w:szCs w:val="20"/>
        </w:rPr>
        <w:t>3.21%</w:t>
      </w:r>
      <w:bookmarkEnd w:id="142"/>
      <w:r>
        <w:rPr>
          <w:sz w:val="20"/>
          <w:szCs w:val="20"/>
        </w:rPr>
        <w:t> for the quarter ended September 30, 2021, compared to </w:t>
      </w:r>
      <w:bookmarkStart w:id="143" w:name="led152053F20215221624398710069"/>
      <w:r>
        <w:rPr>
          <w:sz w:val="20"/>
          <w:szCs w:val="20"/>
        </w:rPr>
        <w:t>3.29%</w:t>
      </w:r>
      <w:bookmarkEnd w:id="143"/>
      <w:r>
        <w:rPr>
          <w:sz w:val="20"/>
          <w:szCs w:val="20"/>
        </w:rPr>
        <w:t> for the quarter ended June 30, 2021, and </w:t>
      </w:r>
      <w:bookmarkStart w:id="144" w:name="led152053F20215221624398730090"/>
      <w:r>
        <w:rPr>
          <w:sz w:val="20"/>
          <w:szCs w:val="20"/>
        </w:rPr>
        <w:t>3.41%</w:t>
      </w:r>
      <w:bookmarkEnd w:id="144"/>
      <w:r>
        <w:rPr>
          <w:sz w:val="20"/>
          <w:szCs w:val="20"/>
        </w:rPr>
        <w:t> for the quarter ended September 30, 2020. The adjusted yield on interest-earning assets was </w:t>
      </w:r>
      <w:bookmarkStart w:id="145" w:name="led152053F20215221624399018741"/>
      <w:r>
        <w:rPr>
          <w:sz w:val="20"/>
          <w:szCs w:val="20"/>
        </w:rPr>
        <w:t>3.67%</w:t>
      </w:r>
      <w:bookmarkEnd w:id="145"/>
      <w:r>
        <w:rPr>
          <w:sz w:val="20"/>
          <w:szCs w:val="20"/>
        </w:rPr>
        <w:t> for the quarter ended September 30, 2021 compared to </w:t>
      </w:r>
      <w:bookmarkStart w:id="146" w:name="led152053F20215221624399029592"/>
      <w:r>
        <w:rPr>
          <w:sz w:val="20"/>
          <w:szCs w:val="20"/>
        </w:rPr>
        <w:t>3.82%</w:t>
      </w:r>
      <w:bookmarkEnd w:id="146"/>
      <w:r>
        <w:rPr>
          <w:sz w:val="20"/>
          <w:szCs w:val="20"/>
        </w:rPr>
        <w:t xml:space="preserve"> and </w:t>
      </w:r>
      <w:bookmarkStart w:id="147" w:name="led152053F20215221624399045039"/>
      <w:r>
        <w:rPr>
          <w:sz w:val="20"/>
          <w:szCs w:val="20"/>
        </w:rPr>
        <w:t>4.28%</w:t>
      </w:r>
      <w:bookmarkEnd w:id="147"/>
      <w:r>
        <w:rPr>
          <w:sz w:val="20"/>
          <w:szCs w:val="20"/>
        </w:rPr>
        <w:t xml:space="preserve"> for the quarters ended June 30, 2021 and September 30, 2020, respectively. Refer to the </w:t>
      </w:r>
      <w:r>
        <w:rPr>
          <w:i/>
          <w:iCs/>
          <w:sz w:val="20"/>
          <w:szCs w:val="20"/>
        </w:rPr>
        <w:t>Reconciliation of Non-GAAP Financial Measures</w:t>
      </w:r>
      <w:r>
        <w:rPr>
          <w:sz w:val="20"/>
          <w:szCs w:val="20"/>
        </w:rPr>
        <w:t xml:space="preserve"> table for a reconciliation of GAAP to non-GAAP metrics.</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The cost of deposits decreased</w:t>
      </w:r>
      <w:bookmarkEnd w:id="18"/>
      <w:r>
        <w:rPr>
          <w:sz w:val="20"/>
          <w:szCs w:val="20"/>
        </w:rPr>
        <w:t xml:space="preserve"> eight</w:t>
      </w:r>
      <w:bookmarkEnd w:id="19"/>
      <w:r>
        <w:rPr>
          <w:sz w:val="20"/>
          <w:szCs w:val="20"/>
        </w:rPr>
        <w:t xml:space="preserve"> basis points to 0.43%</w:t>
      </w:r>
      <w:bookmarkEnd w:id="20"/>
      <w:r>
        <w:rPr>
          <w:sz w:val="20"/>
          <w:szCs w:val="20"/>
        </w:rPr>
        <w:t> for the quarter ended September 30, 2021 compared to 0.51%</w:t>
      </w:r>
      <w:bookmarkEnd w:id="21"/>
      <w:r>
        <w:rPr>
          <w:sz w:val="20"/>
          <w:szCs w:val="20"/>
        </w:rPr>
        <w:t> for the quarter ended June 30, 2021 and decreased</w:t>
      </w:r>
      <w:bookmarkEnd w:id="22"/>
      <w:r>
        <w:rPr>
          <w:sz w:val="20"/>
          <w:szCs w:val="20"/>
        </w:rPr>
        <w:t> 54</w:t>
      </w:r>
      <w:bookmarkEnd w:id="23"/>
      <w:r>
        <w:rPr>
          <w:sz w:val="20"/>
          <w:szCs w:val="20"/>
        </w:rPr>
        <w:t xml:space="preserve"> basis points compared to 0.97%</w:t>
      </w:r>
      <w:bookmarkEnd w:id="24"/>
      <w:r>
        <w:rPr>
          <w:sz w:val="20"/>
          <w:szCs w:val="20"/>
        </w:rPr>
        <w:t> for the quarter ended September 30, 2020. The decrease in the cost of deposits compared to the quarters ended June 30, 2021 and September 30, 2020 reflects the decrease in rates paid for all categories of interest-bearing deposits.</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The overall costs of funds for the quarter ended September 30, 2021 </w:t>
      </w:r>
      <w:bookmarkStart w:id="148" w:name="led126285F20215181624053887516"/>
      <w:r>
        <w:rPr>
          <w:sz w:val="20"/>
          <w:szCs w:val="20"/>
        </w:rPr>
        <w:t>decreased</w:t>
      </w:r>
      <w:bookmarkEnd w:id="148"/>
      <w:r>
        <w:rPr>
          <w:sz w:val="20"/>
          <w:szCs w:val="20"/>
        </w:rPr>
        <w:t> </w:t>
      </w:r>
      <w:bookmarkStart w:id="149" w:name="led126285F20215181624053909309"/>
      <w:r>
        <w:rPr>
          <w:sz w:val="20"/>
          <w:szCs w:val="20"/>
        </w:rPr>
        <w:t>seven</w:t>
      </w:r>
      <w:bookmarkEnd w:id="149"/>
      <w:r>
        <w:rPr>
          <w:sz w:val="20"/>
          <w:szCs w:val="20"/>
        </w:rPr>
        <w:t xml:space="preserve"> basis points to </w:t>
      </w:r>
      <w:bookmarkStart w:id="150" w:name="led126285F20215181624053828955"/>
      <w:r>
        <w:rPr>
          <w:sz w:val="20"/>
          <w:szCs w:val="20"/>
        </w:rPr>
        <w:t>0.63%</w:t>
      </w:r>
      <w:bookmarkEnd w:id="150"/>
      <w:r>
        <w:rPr>
          <w:sz w:val="20"/>
          <w:szCs w:val="20"/>
        </w:rPr>
        <w:t xml:space="preserve"> compared to </w:t>
      </w:r>
      <w:bookmarkStart w:id="151" w:name="led126285F20215181624053847321"/>
      <w:r>
        <w:rPr>
          <w:sz w:val="20"/>
          <w:szCs w:val="20"/>
        </w:rPr>
        <w:t>0.70%</w:t>
      </w:r>
      <w:bookmarkEnd w:id="151"/>
      <w:r>
        <w:rPr>
          <w:sz w:val="20"/>
          <w:szCs w:val="20"/>
        </w:rPr>
        <w:t xml:space="preserve"> for the quarter ended June 30, 2021 and </w:t>
      </w:r>
      <w:bookmarkStart w:id="152" w:name="led126285F20215181624054206675"/>
      <w:r>
        <w:rPr>
          <w:sz w:val="20"/>
          <w:szCs w:val="20"/>
        </w:rPr>
        <w:t>decreased</w:t>
      </w:r>
      <w:bookmarkEnd w:id="152"/>
      <w:r>
        <w:rPr>
          <w:sz w:val="20"/>
          <w:szCs w:val="20"/>
        </w:rPr>
        <w:t xml:space="preserve"> </w:t>
      </w:r>
      <w:bookmarkStart w:id="153" w:name="led126285F20215181624054220934"/>
      <w:r>
        <w:rPr>
          <w:sz w:val="20"/>
          <w:szCs w:val="20"/>
        </w:rPr>
        <w:t>53</w:t>
      </w:r>
      <w:bookmarkEnd w:id="153"/>
      <w:r>
        <w:rPr>
          <w:sz w:val="20"/>
          <w:szCs w:val="20"/>
        </w:rPr>
        <w:t> basis points compared to </w:t>
      </w:r>
      <w:bookmarkStart w:id="154" w:name="led126285F20215181624054242545"/>
      <w:r>
        <w:rPr>
          <w:sz w:val="20"/>
          <w:szCs w:val="20"/>
        </w:rPr>
        <w:t>1.16%</w:t>
      </w:r>
      <w:bookmarkEnd w:id="154"/>
      <w:r>
        <w:rPr>
          <w:sz w:val="20"/>
          <w:szCs w:val="20"/>
        </w:rPr>
        <w:t> for the quarter ended September 30, 2020. The decrease in the cost of funds for the quarter ended September 30, 2021 compared to the quarters ended June 30, 2021 and September 30, 2020 resulted from both lower cost of deposits and lower average balances of short-term borrowings, the costs of which are driven by the Federal Reserve’s federal funds rates.</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b/>
          <w:bCs/>
          <w:sz w:val="20"/>
          <w:szCs w:val="20"/>
        </w:rPr>
        <w:t>Noninterest Income</w:t>
      </w:r>
    </w:p>
    <w:p w:rsidR="0048389A" w:rsidRDefault="006A750F">
      <w:pPr>
        <w:ind w:left="144" w:right="144"/>
        <w:jc w:val="both"/>
        <w:rPr>
          <w:sz w:val="20"/>
          <w:szCs w:val="20"/>
        </w:rPr>
      </w:pPr>
      <w:r>
        <w:rPr>
          <w:sz w:val="20"/>
          <w:szCs w:val="20"/>
        </w:rPr>
        <w:t> </w:t>
      </w:r>
    </w:p>
    <w:p w:rsidR="00C44726" w:rsidRPr="00C44726" w:rsidRDefault="006A750F" w:rsidP="00C44726">
      <w:pPr>
        <w:ind w:left="144" w:right="144"/>
        <w:jc w:val="both"/>
        <w:rPr>
          <w:sz w:val="20"/>
          <w:szCs w:val="20"/>
        </w:rPr>
      </w:pPr>
      <w:r>
        <w:rPr>
          <w:sz w:val="20"/>
          <w:szCs w:val="20"/>
        </w:rPr>
        <w:t>Noninterest income for the third quarter of 2021 totaled </w:t>
      </w:r>
      <w:bookmarkStart w:id="155" w:name="led126282F20215221624399096203"/>
      <w:r>
        <w:rPr>
          <w:sz w:val="20"/>
          <w:szCs w:val="20"/>
        </w:rPr>
        <w:t>$3.9</w:t>
      </w:r>
      <w:bookmarkEnd w:id="155"/>
      <w:r>
        <w:rPr>
          <w:sz w:val="20"/>
          <w:szCs w:val="20"/>
        </w:rPr>
        <w:t xml:space="preserve"> million, </w:t>
      </w:r>
      <w:bookmarkStart w:id="156" w:name="led126282F20215221624399110335"/>
      <w:r>
        <w:rPr>
          <w:sz w:val="20"/>
          <w:szCs w:val="20"/>
        </w:rPr>
        <w:t>a decrease</w:t>
      </w:r>
      <w:bookmarkEnd w:id="156"/>
      <w:r>
        <w:rPr>
          <w:sz w:val="20"/>
          <w:szCs w:val="20"/>
        </w:rPr>
        <w:t xml:space="preserve"> of </w:t>
      </w:r>
      <w:bookmarkStart w:id="157" w:name="led126282F20215221624399120257"/>
      <w:r>
        <w:rPr>
          <w:sz w:val="20"/>
          <w:szCs w:val="20"/>
        </w:rPr>
        <w:t>$0.2</w:t>
      </w:r>
      <w:bookmarkEnd w:id="157"/>
      <w:r>
        <w:rPr>
          <w:sz w:val="20"/>
          <w:szCs w:val="20"/>
        </w:rPr>
        <w:t xml:space="preserve"> million, or </w:t>
      </w:r>
      <w:bookmarkStart w:id="158" w:name="led126282F20215221624399134850"/>
      <w:r>
        <w:rPr>
          <w:sz w:val="20"/>
          <w:szCs w:val="20"/>
        </w:rPr>
        <w:t>4.1%</w:t>
      </w:r>
      <w:bookmarkEnd w:id="158"/>
      <w:r>
        <w:rPr>
          <w:sz w:val="20"/>
          <w:szCs w:val="20"/>
        </w:rPr>
        <w:t>, compared to the second quarter of 2021 and </w:t>
      </w:r>
      <w:bookmarkStart w:id="159" w:name="led126282F20215221624399164612"/>
      <w:r>
        <w:rPr>
          <w:sz w:val="20"/>
          <w:szCs w:val="20"/>
        </w:rPr>
        <w:t>an increase</w:t>
      </w:r>
      <w:bookmarkEnd w:id="159"/>
      <w:r>
        <w:rPr>
          <w:sz w:val="20"/>
          <w:szCs w:val="20"/>
        </w:rPr>
        <w:t> of </w:t>
      </w:r>
      <w:bookmarkStart w:id="160" w:name="led126282F20215221624399176976"/>
      <w:r>
        <w:rPr>
          <w:sz w:val="20"/>
          <w:szCs w:val="20"/>
        </w:rPr>
        <w:t>$0.5</w:t>
      </w:r>
      <w:bookmarkEnd w:id="160"/>
      <w:r>
        <w:rPr>
          <w:sz w:val="20"/>
          <w:szCs w:val="20"/>
        </w:rPr>
        <w:t xml:space="preserve"> million, or </w:t>
      </w:r>
      <w:bookmarkStart w:id="161" w:name="led126282F20215221624399190331"/>
      <w:r>
        <w:rPr>
          <w:sz w:val="20"/>
          <w:szCs w:val="20"/>
        </w:rPr>
        <w:t>15.1%</w:t>
      </w:r>
      <w:bookmarkEnd w:id="161"/>
      <w:r>
        <w:rPr>
          <w:sz w:val="20"/>
          <w:szCs w:val="20"/>
        </w:rPr>
        <w:t>, compared to the third quarter of 2020. The decrease in noninterest income compared to the quarter ended June 30, 2021 was driven by a $1.7 million decrease in the gain on sale of investment securities and the $0.3 million decrease in other operating income, partially offset by the $1.8 million increase in swap termination fees. Swap termination fees were recorded when we voluntarily terminated a number of our interest rate swap agreements at the end of September 2021. The increase in noninterest income compared to the quarter ended September 30, 2020 is mainly attributable to a $1.8 million increase in swap termination fees, partially offset by decreases in the gain on sale of investment securities and other operating income. The decrease in other operating income compared to the quarter ended September 30, 2020 was attributable to a $0.8 million decrease in derivative fee income.</w:t>
      </w:r>
    </w:p>
    <w:p w:rsidR="00C44726" w:rsidRDefault="00C44726">
      <w:pPr>
        <w:ind w:left="144" w:right="144"/>
        <w:jc w:val="both"/>
        <w:rPr>
          <w:b/>
          <w:bCs/>
          <w:sz w:val="20"/>
          <w:szCs w:val="20"/>
        </w:rPr>
      </w:pPr>
    </w:p>
    <w:p w:rsidR="0048389A" w:rsidRDefault="006A750F">
      <w:pPr>
        <w:ind w:left="144" w:right="144"/>
        <w:jc w:val="both"/>
        <w:rPr>
          <w:sz w:val="20"/>
          <w:szCs w:val="20"/>
        </w:rPr>
      </w:pPr>
      <w:r>
        <w:rPr>
          <w:b/>
          <w:bCs/>
          <w:sz w:val="20"/>
          <w:szCs w:val="20"/>
        </w:rPr>
        <w:t>Noninterest Expense</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Noninterest expense for the third quarter of 2021</w:t>
      </w:r>
      <w:bookmarkEnd w:id="6"/>
      <w:r>
        <w:rPr>
          <w:sz w:val="20"/>
          <w:szCs w:val="20"/>
        </w:rPr>
        <w:t xml:space="preserve"> totaled </w:t>
      </w:r>
      <w:bookmarkStart w:id="162" w:name="led126282F20215221624399220851"/>
      <w:r>
        <w:rPr>
          <w:sz w:val="20"/>
          <w:szCs w:val="20"/>
        </w:rPr>
        <w:t>$16.4</w:t>
      </w:r>
      <w:bookmarkEnd w:id="162"/>
      <w:r>
        <w:rPr>
          <w:sz w:val="20"/>
          <w:szCs w:val="20"/>
        </w:rPr>
        <w:t xml:space="preserve"> million, </w:t>
      </w:r>
      <w:bookmarkStart w:id="163" w:name="led126282F20215221624399238051"/>
      <w:r>
        <w:rPr>
          <w:sz w:val="20"/>
          <w:szCs w:val="20"/>
        </w:rPr>
        <w:t>a decrease</w:t>
      </w:r>
      <w:bookmarkEnd w:id="163"/>
      <w:r>
        <w:rPr>
          <w:sz w:val="20"/>
          <w:szCs w:val="20"/>
        </w:rPr>
        <w:t xml:space="preserve"> of </w:t>
      </w:r>
      <w:bookmarkStart w:id="164" w:name="led126282F20215221624399257073"/>
      <w:r>
        <w:rPr>
          <w:sz w:val="20"/>
          <w:szCs w:val="20"/>
        </w:rPr>
        <w:t>$1.6</w:t>
      </w:r>
      <w:bookmarkEnd w:id="164"/>
      <w:r>
        <w:rPr>
          <w:sz w:val="20"/>
          <w:szCs w:val="20"/>
        </w:rPr>
        <w:t xml:space="preserve"> million, or </w:t>
      </w:r>
      <w:bookmarkStart w:id="165" w:name="led126282F20215221624399268947"/>
      <w:r>
        <w:rPr>
          <w:sz w:val="20"/>
          <w:szCs w:val="20"/>
        </w:rPr>
        <w:t>8.8%</w:t>
      </w:r>
      <w:bookmarkEnd w:id="165"/>
      <w:r>
        <w:rPr>
          <w:sz w:val="20"/>
          <w:szCs w:val="20"/>
        </w:rPr>
        <w:t>, compared to the second quarter of 2021, and </w:t>
      </w:r>
      <w:bookmarkStart w:id="166" w:name="led126282F20215221624399292123"/>
      <w:r>
        <w:rPr>
          <w:sz w:val="20"/>
          <w:szCs w:val="20"/>
        </w:rPr>
        <w:t>an increase</w:t>
      </w:r>
      <w:bookmarkEnd w:id="166"/>
      <w:r>
        <w:rPr>
          <w:sz w:val="20"/>
          <w:szCs w:val="20"/>
        </w:rPr>
        <w:t> of </w:t>
      </w:r>
      <w:bookmarkStart w:id="167" w:name="led126282F20215221624399306867"/>
      <w:r>
        <w:rPr>
          <w:sz w:val="20"/>
          <w:szCs w:val="20"/>
        </w:rPr>
        <w:t>$2.3</w:t>
      </w:r>
      <w:bookmarkEnd w:id="167"/>
      <w:r>
        <w:rPr>
          <w:sz w:val="20"/>
          <w:szCs w:val="20"/>
        </w:rPr>
        <w:t xml:space="preserve"> million, or </w:t>
      </w:r>
      <w:bookmarkStart w:id="168" w:name="led126282F20215221624399316051"/>
      <w:r>
        <w:rPr>
          <w:sz w:val="20"/>
          <w:szCs w:val="20"/>
        </w:rPr>
        <w:t>16.6%</w:t>
      </w:r>
      <w:bookmarkEnd w:id="168"/>
      <w:r>
        <w:rPr>
          <w:sz w:val="20"/>
          <w:szCs w:val="20"/>
        </w:rPr>
        <w:t>, compared to the third</w:t>
      </w:r>
      <w:bookmarkEnd w:id="5"/>
      <w:r>
        <w:rPr>
          <w:sz w:val="20"/>
          <w:szCs w:val="20"/>
        </w:rPr>
        <w:t xml:space="preserve"> quarter of 2020</w:t>
      </w:r>
      <w:bookmarkEnd w:id="16"/>
      <w:r>
        <w:rPr>
          <w:sz w:val="20"/>
          <w:szCs w:val="20"/>
        </w:rPr>
        <w:t>. The decrease in noninterest expense for the quarter ended September 30, 2021 compared to the quarter ended June 30, 2021 was driven by a $1.2 million decrease in acquisition expense. The increase in noninterest expense for the quarter ended September 30, 2021 compared to the quarter ended September 30, 2020 is primarily a result of a $1.5 million increase in salaries and employee benefits, as well as $0.4 million increases in both acquisition expense and other operating expenses. The increase in salaries and employee benefits is attributable to the acquisition of Cheaha, which added four branch locations and related staff, as well as an increase in health insurance claims and deferred compensation costs.</w:t>
      </w:r>
    </w:p>
    <w:p w:rsidR="0048389A" w:rsidRDefault="006A750F">
      <w:pPr>
        <w:ind w:left="144" w:right="144"/>
        <w:rPr>
          <w:sz w:val="20"/>
          <w:szCs w:val="20"/>
        </w:rPr>
      </w:pPr>
      <w:r>
        <w:rPr>
          <w:sz w:val="20"/>
          <w:szCs w:val="20"/>
        </w:rPr>
        <w:t> </w:t>
      </w:r>
    </w:p>
    <w:p w:rsidR="0048389A" w:rsidRDefault="006A750F" w:rsidP="00C44726">
      <w:pPr>
        <w:ind w:left="144" w:right="144"/>
        <w:rPr>
          <w:sz w:val="20"/>
          <w:szCs w:val="20"/>
        </w:rPr>
      </w:pPr>
      <w:r>
        <w:rPr>
          <w:b/>
          <w:bCs/>
          <w:sz w:val="20"/>
          <w:szCs w:val="20"/>
        </w:rPr>
        <w:t>Taxes</w:t>
      </w:r>
    </w:p>
    <w:p w:rsidR="0048389A" w:rsidRDefault="006A750F">
      <w:pPr>
        <w:ind w:left="144" w:right="144"/>
        <w:rPr>
          <w:sz w:val="20"/>
          <w:szCs w:val="20"/>
        </w:rPr>
      </w:pPr>
      <w:r>
        <w:rPr>
          <w:sz w:val="20"/>
          <w:szCs w:val="20"/>
        </w:rPr>
        <w:t> </w:t>
      </w:r>
    </w:p>
    <w:p w:rsidR="0048389A" w:rsidRDefault="006A750F">
      <w:pPr>
        <w:ind w:left="144" w:right="144"/>
        <w:jc w:val="both"/>
        <w:rPr>
          <w:sz w:val="20"/>
          <w:szCs w:val="20"/>
        </w:rPr>
      </w:pPr>
      <w:r>
        <w:rPr>
          <w:sz w:val="20"/>
          <w:szCs w:val="20"/>
        </w:rPr>
        <w:t>Investar recorded an income tax benefit of </w:t>
      </w:r>
      <w:bookmarkStart w:id="169" w:name="led126282F20215221624399346059"/>
      <w:r>
        <w:rPr>
          <w:sz w:val="20"/>
          <w:szCs w:val="20"/>
        </w:rPr>
        <w:t>$2.6</w:t>
      </w:r>
      <w:bookmarkEnd w:id="169"/>
      <w:r>
        <w:rPr>
          <w:sz w:val="20"/>
          <w:szCs w:val="20"/>
        </w:rPr>
        <w:t> million for the quarter ended September 30, 2021, which equates to an effective tax rate of </w:t>
      </w:r>
      <w:bookmarkStart w:id="170" w:name="led126282F20215221624399359253"/>
      <w:r>
        <w:rPr>
          <w:sz w:val="20"/>
          <w:szCs w:val="20"/>
        </w:rPr>
        <w:t>21.0%</w:t>
      </w:r>
      <w:bookmarkEnd w:id="170"/>
      <w:r>
        <w:rPr>
          <w:sz w:val="20"/>
          <w:szCs w:val="20"/>
        </w:rPr>
        <w:t>, </w:t>
      </w:r>
      <w:bookmarkStart w:id="171" w:name="led126282F20215221624399397187"/>
      <w:r>
        <w:rPr>
          <w:sz w:val="20"/>
          <w:szCs w:val="20"/>
        </w:rPr>
        <w:t>an increase</w:t>
      </w:r>
      <w:bookmarkEnd w:id="171"/>
      <w:r>
        <w:rPr>
          <w:sz w:val="20"/>
          <w:szCs w:val="20"/>
        </w:rPr>
        <w:t> from the effective tax rate of </w:t>
      </w:r>
      <w:bookmarkStart w:id="172" w:name="led126282F20215221624399437112"/>
      <w:r>
        <w:rPr>
          <w:sz w:val="20"/>
          <w:szCs w:val="20"/>
        </w:rPr>
        <w:t>20.7%</w:t>
      </w:r>
      <w:bookmarkEnd w:id="172"/>
      <w:r>
        <w:rPr>
          <w:sz w:val="20"/>
          <w:szCs w:val="20"/>
        </w:rPr>
        <w:t> at June 30, 2021 and increase from the effective tax rate of </w:t>
      </w:r>
      <w:bookmarkStart w:id="173" w:name="led126282F20215221624399449068"/>
      <w:r>
        <w:rPr>
          <w:sz w:val="20"/>
          <w:szCs w:val="20"/>
        </w:rPr>
        <w:t>19.6%</w:t>
      </w:r>
      <w:bookmarkEnd w:id="173"/>
      <w:r>
        <w:rPr>
          <w:sz w:val="20"/>
          <w:szCs w:val="20"/>
        </w:rPr>
        <w:t xml:space="preserve"> for the quarter ended September 30, 2020.</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b/>
          <w:bCs/>
          <w:sz w:val="20"/>
          <w:szCs w:val="20"/>
        </w:rPr>
        <w:t>Basic and Diluted Earnings Per Common Share</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Investar reported basic and diluted loss per common share of $0.95 for the quarter ended September 30, 2021, compared to basic and diluted earnings per common share of </w:t>
      </w:r>
      <w:bookmarkStart w:id="174" w:name="led126282F20219201634742194028"/>
      <w:r>
        <w:rPr>
          <w:sz w:val="20"/>
          <w:szCs w:val="20"/>
        </w:rPr>
        <w:t>$0.54</w:t>
      </w:r>
      <w:bookmarkEnd w:id="174"/>
      <w:r>
        <w:rPr>
          <w:sz w:val="20"/>
          <w:szCs w:val="20"/>
        </w:rPr>
        <w:t> and </w:t>
      </w:r>
      <w:bookmarkStart w:id="175" w:name="led126282F20215221624399547544"/>
      <w:r>
        <w:rPr>
          <w:sz w:val="20"/>
          <w:szCs w:val="20"/>
        </w:rPr>
        <w:t>$0.53</w:t>
      </w:r>
      <w:bookmarkEnd w:id="175"/>
      <w:r>
        <w:rPr>
          <w:sz w:val="20"/>
          <w:szCs w:val="20"/>
        </w:rPr>
        <w:t xml:space="preserve"> for the quarter ended June 30, 2021, and basic and diluted earnings per common share of </w:t>
      </w:r>
      <w:bookmarkStart w:id="176" w:name="led126282F20215221624399587644"/>
      <w:r>
        <w:rPr>
          <w:sz w:val="20"/>
          <w:szCs w:val="20"/>
        </w:rPr>
        <w:t>$0.41</w:t>
      </w:r>
      <w:bookmarkEnd w:id="176"/>
      <w:r>
        <w:rPr>
          <w:sz w:val="20"/>
          <w:szCs w:val="20"/>
        </w:rPr>
        <w:t xml:space="preserve"> for the quarter ended September 30, 2020.</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b/>
          <w:bCs/>
          <w:sz w:val="20"/>
          <w:szCs w:val="20"/>
        </w:rPr>
        <w:t>About Investar Holding Corporation</w:t>
      </w:r>
    </w:p>
    <w:p w:rsidR="0048389A" w:rsidRDefault="006A750F">
      <w:pPr>
        <w:ind w:left="144" w:right="144"/>
        <w:rPr>
          <w:sz w:val="20"/>
          <w:szCs w:val="20"/>
        </w:rPr>
      </w:pPr>
      <w:r>
        <w:rPr>
          <w:sz w:val="20"/>
          <w:szCs w:val="20"/>
        </w:rPr>
        <w:t> </w:t>
      </w:r>
    </w:p>
    <w:p w:rsidR="0048389A" w:rsidRDefault="006A750F">
      <w:pPr>
        <w:ind w:left="144" w:right="144"/>
        <w:jc w:val="both"/>
        <w:rPr>
          <w:sz w:val="20"/>
          <w:szCs w:val="20"/>
        </w:rPr>
      </w:pPr>
      <w:r>
        <w:rPr>
          <w:sz w:val="20"/>
          <w:szCs w:val="20"/>
        </w:rPr>
        <w:t>Investar, headquartered in Baton Rouge, Louisiana, provides full banking services, excluding trust services, through its wholly-owned banking subsidiary, Investar Bank, National Association. The Bank currently operates 34 branch locations serving Louisiana, Texas, and Alabama. At September 30, 2021, the Bank had 348 full-time equivalent employees and total assets of </w:t>
      </w:r>
      <w:bookmarkStart w:id="177" w:name="led126283F20215221624399616602"/>
      <w:r>
        <w:rPr>
          <w:sz w:val="20"/>
          <w:szCs w:val="20"/>
        </w:rPr>
        <w:t>$2.7</w:t>
      </w:r>
      <w:bookmarkEnd w:id="177"/>
      <w:r>
        <w:rPr>
          <w:sz w:val="20"/>
          <w:szCs w:val="20"/>
        </w:rPr>
        <w:t xml:space="preserve"> billion.</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b/>
          <w:bCs/>
          <w:sz w:val="20"/>
          <w:szCs w:val="20"/>
        </w:rPr>
        <w:t>Non-GAAP Financial Measures</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 xml:space="preserve">This press release contains financial information determined by methods other than in accordance with generally accepted accounting principles in the United States of America, or GAAP. These measures and ratios include “tangible common equity,” “tangible </w:t>
      </w:r>
      <w:r>
        <w:rPr>
          <w:sz w:val="20"/>
          <w:szCs w:val="20"/>
        </w:rPr>
        <w:lastRenderedPageBreak/>
        <w:t>assets,” “tangible equity to tangible assets,” “tangible book value per common share,” “core noninterest income,” “core earnings before noninterest expense,” “core noninterest expense,” “core (loss) earnings before income tax expense,” “core income tax (benefit) expense,” “core (loss) earnings,” “core efficiency ratio,” “core return on average assets,” “core return on average equity,” “core basic (loss) earnings per share,” and “core (loss) diluted earnings per share.” We also present certain average loan, yield, net interest income and net interest margin data adjusted to show the effects of excluding PPP loans, interest income accretion from the acquisition of loans, and interest recoveries. Management believes these non-GAAP financial measures provide information useful to investors in understanding Investar’s financial results, and Investar believes that its presentation, together with the accompanying reconciliations, provide a more complete understanding of factors and trends affecting Investar’s business and allow investors to view performance in a manner similar to management, the entire financial services sector, bank stock analysts and bank regulators. These non-GAAP measures should not be considered a substitute for GAAP basis measures and results, and Investar strongly encourages investors to review its consolidated financial statements in their entirety and not to rely on any single financial measure. Because non-GAAP financial measures are not standardized, it may not be possible to compare these financial measures with other companies’ non-GAAP financial measures having the same or similar names. A reconciliation of the non-GAAP financial measures disclosed in this press release to the comparable GAAP financial measures is included at the end of the financial statement tables.</w:t>
      </w:r>
    </w:p>
    <w:p w:rsidR="0048389A" w:rsidRDefault="006A750F">
      <w:pPr>
        <w:ind w:left="144" w:right="144"/>
        <w:jc w:val="both"/>
        <w:rPr>
          <w:sz w:val="20"/>
          <w:szCs w:val="20"/>
        </w:rPr>
      </w:pPr>
      <w:r>
        <w:rPr>
          <w:sz w:val="20"/>
          <w:szCs w:val="20"/>
        </w:rPr>
        <w:t> </w:t>
      </w:r>
    </w:p>
    <w:p w:rsidR="0048389A" w:rsidRDefault="006A750F">
      <w:pPr>
        <w:ind w:left="144" w:right="144"/>
        <w:jc w:val="center"/>
        <w:rPr>
          <w:sz w:val="20"/>
          <w:szCs w:val="20"/>
        </w:rPr>
      </w:pPr>
      <w:r>
        <w:rPr>
          <w:sz w:val="20"/>
          <w:szCs w:val="20"/>
        </w:rPr>
        <w:t> </w:t>
      </w:r>
    </w:p>
    <w:p w:rsidR="0048389A" w:rsidRDefault="006A750F" w:rsidP="00C44726">
      <w:pPr>
        <w:ind w:right="144"/>
        <w:rPr>
          <w:sz w:val="20"/>
          <w:szCs w:val="20"/>
        </w:rPr>
      </w:pPr>
      <w:r>
        <w:rPr>
          <w:sz w:val="20"/>
          <w:szCs w:val="20"/>
        </w:rPr>
        <w:br w:type="page"/>
      </w:r>
      <w:r>
        <w:rPr>
          <w:b/>
          <w:bCs/>
          <w:sz w:val="20"/>
          <w:szCs w:val="20"/>
        </w:rPr>
        <w:lastRenderedPageBreak/>
        <w:t>Forward-Looking and Cautionary Statements</w:t>
      </w:r>
    </w:p>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This press release contains forward-looking statements within the meaning of the Private Securities Litigation Reform Act of 1995 that reflect Investar’s current views with respect to, among other things, future events and financial performance. Investar generally identifies forward-looking statements by terminology such as “outlook,” “believes,” “expects,” “potential,” “continues,” “may,” “will,” “could,” “should,” “seeks,” “approximately,” “predicts,” “intends,” “plans,” “estimates,” “anticipates,” or the negative version of those words or other comparable words. In addition, any of the following matters related to the pandemic may impact our financial results in future periods, and such impacts may be material depending on the length and severity of the pandemic and government and societal responses to it:</w:t>
      </w:r>
    </w:p>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borrowers may default on loans and economic conditions could deteriorate requiring further increases to the allowance for loan losses;</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demand for our loans and other banking services, and related income and fees, may be reduced;</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the value of collateral securing our loans may deteriorate; and</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lower market interest rates will have an adverse impact on our variable rate loans and reduce our income.</w:t>
            </w:r>
          </w:p>
        </w:tc>
      </w:tr>
    </w:tbl>
    <w:p w:rsidR="0048389A" w:rsidRDefault="006A750F">
      <w:pPr>
        <w:ind w:left="144" w:right="144"/>
        <w:jc w:val="both"/>
        <w:rPr>
          <w:sz w:val="20"/>
          <w:szCs w:val="20"/>
        </w:rPr>
      </w:pPr>
      <w:r>
        <w:rPr>
          <w:sz w:val="20"/>
          <w:szCs w:val="20"/>
        </w:rPr>
        <w:t> </w:t>
      </w:r>
    </w:p>
    <w:p w:rsidR="0048389A" w:rsidRDefault="006A750F">
      <w:pPr>
        <w:ind w:left="144" w:right="144"/>
        <w:jc w:val="both"/>
        <w:rPr>
          <w:sz w:val="20"/>
          <w:szCs w:val="20"/>
        </w:rPr>
      </w:pPr>
      <w:r>
        <w:rPr>
          <w:sz w:val="20"/>
          <w:szCs w:val="20"/>
        </w:rPr>
        <w:t>Any forward-looking statements contained in this press release are based on the historical performance of Investar and its subsidiaries or on Investar’s current plans, estimates and expectations. The inclusion of this forward-looking information should not be regarded as a representation by Investar that the future plans, estimates or expectations by Investar will be achieved. Such forward-looking statements are subject to various risks and uncertainties and assumptions relating to Investar’s operations, financial results, financial condition, business prospects, growth strategy and liquidity. If one or more of these or other risks or uncertainties materialize, or if Investar’s underlying assumptions prove to be incorrect, Investar’s actual results may vary materially from those indicated in these statements. Investar does not undertake any obligation to publicly update or revise any forward-looking statement, whether as a result of new information, future developments or otherwise. A number of important factors could cause actual results to differ materially from those indicated by the forward-looking statements. These factors include, but are not limited to, the following, any one or more of which could materially affect the outcome of future events:</w:t>
      </w:r>
    </w:p>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the ongoing impacts of the COVID-19 pandemic on economic conditions in general and on the Bank’s markets in particular, and on the Bank’s operations and financial results;</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ongoing disruptions in the oil and gas industry due to fluctuations in the price of oil;</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business and economic conditions generally and in the financial services industry in particular, whether nationally, regionally or in the markets in which we operate;</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increased cyber and payment fraud risk, as cybercriminals attempt to profit from the disruption, given increased online and remote activity;</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our ability to achieve organic loan and deposit growth, and the composition of that growth;</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our ability to identify and enter into agreements to combine with attractive acquisition candidates, finance acquisitions, complete acquisitions after definitive agreements are entered into, and successfully integrate acquired operations;</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changes (or the lack of changes) in interest rates, yield curves and interest rate spread relationships that affect our loan and deposit pricing;</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possible cessation or market replacement of LIBOR and the related effect on our LIBOR-based financial products and contracts, including, but not limited to, hedging products, debt obligations, investments and loans;</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the extent of continuing client demand for the high level of personalized service that is a key element of our banking approach as well as our ability to execute our strategy generally;</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our dependence on our management team, and our ability to attract and retain qualified personnel;</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changes in the quality or composition of our loan or investment portfolios, including adverse developments in borrower industries or in the repayment ability of individual borrowers;</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inaccuracy of the assumptions and estimates we make in establishing reserves for probable loan losses and other estimates;</w:t>
            </w:r>
          </w:p>
        </w:tc>
      </w:tr>
    </w:tbl>
    <w:p w:rsidR="0048389A" w:rsidRDefault="006A750F">
      <w:pPr>
        <w:ind w:left="144" w:right="144"/>
        <w:jc w:val="both"/>
        <w:rPr>
          <w:sz w:val="20"/>
          <w:szCs w:val="20"/>
        </w:rPr>
      </w:pPr>
      <w:r>
        <w:rPr>
          <w:sz w:val="20"/>
          <w:szCs w:val="20"/>
        </w:rPr>
        <w:lastRenderedPageBreak/>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the concentration of our business within our geographic areas of operation in Louisiana, Texas and Alabama; and</w:t>
            </w:r>
          </w:p>
        </w:tc>
      </w:tr>
    </w:tbl>
    <w:p w:rsidR="0048389A" w:rsidRDefault="006A750F">
      <w:pPr>
        <w:ind w:left="144" w:right="144"/>
        <w:jc w:val="both"/>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360"/>
        <w:gridCol w:w="360"/>
        <w:gridCol w:w="10080"/>
      </w:tblGrid>
      <w:tr w:rsidR="0048389A">
        <w:tc>
          <w:tcPr>
            <w:tcW w:w="360" w:type="dxa"/>
            <w:tcMar>
              <w:top w:w="5" w:type="dxa"/>
              <w:left w:w="5" w:type="dxa"/>
              <w:bottom w:w="5" w:type="dxa"/>
              <w:right w:w="5" w:type="dxa"/>
            </w:tcMar>
            <w:hideMark/>
          </w:tcPr>
          <w:p w:rsidR="0048389A" w:rsidRDefault="006A750F">
            <w:pPr>
              <w:rPr>
                <w:color w:val="000000"/>
              </w:rPr>
            </w:pPr>
            <w:r>
              <w:rPr>
                <w:color w:val="000000"/>
              </w:rPr>
              <w:t> </w:t>
            </w:r>
          </w:p>
        </w:tc>
        <w:tc>
          <w:tcPr>
            <w:tcW w:w="360" w:type="dxa"/>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w:t>
            </w:r>
          </w:p>
        </w:tc>
        <w:tc>
          <w:tcPr>
            <w:tcW w:w="0" w:type="auto"/>
            <w:tcMar>
              <w:top w:w="5" w:type="dxa"/>
              <w:left w:w="5" w:type="dxa"/>
              <w:bottom w:w="5" w:type="dxa"/>
              <w:right w:w="5" w:type="dxa"/>
            </w:tcMar>
            <w:hideMark/>
          </w:tcPr>
          <w:p w:rsidR="0048389A" w:rsidRDefault="006A750F">
            <w:pPr>
              <w:jc w:val="both"/>
              <w:rPr>
                <w:color w:val="000000"/>
                <w:sz w:val="20"/>
                <w:szCs w:val="20"/>
              </w:rPr>
            </w:pPr>
            <w:r>
              <w:rPr>
                <w:color w:val="000000"/>
                <w:sz w:val="20"/>
                <w:szCs w:val="20"/>
              </w:rPr>
              <w:t>concentration of credit exposure.</w:t>
            </w:r>
          </w:p>
        </w:tc>
      </w:tr>
    </w:tbl>
    <w:p w:rsidR="0048389A" w:rsidRDefault="006A750F">
      <w:pPr>
        <w:ind w:left="144" w:right="144"/>
        <w:rPr>
          <w:sz w:val="20"/>
          <w:szCs w:val="20"/>
        </w:rPr>
      </w:pPr>
      <w:r>
        <w:rPr>
          <w:sz w:val="20"/>
          <w:szCs w:val="20"/>
        </w:rPr>
        <w:t> </w:t>
      </w:r>
    </w:p>
    <w:p w:rsidR="0048389A" w:rsidRDefault="006A750F">
      <w:pPr>
        <w:ind w:left="144" w:right="144"/>
        <w:jc w:val="center"/>
        <w:rPr>
          <w:sz w:val="20"/>
          <w:szCs w:val="20"/>
        </w:rPr>
      </w:pPr>
      <w:r>
        <w:rPr>
          <w:sz w:val="20"/>
          <w:szCs w:val="20"/>
        </w:rPr>
        <w:t> </w:t>
      </w:r>
    </w:p>
    <w:p w:rsidR="0048389A" w:rsidRDefault="006A750F" w:rsidP="00C44726">
      <w:pPr>
        <w:ind w:right="144"/>
        <w:rPr>
          <w:sz w:val="20"/>
          <w:szCs w:val="20"/>
        </w:rPr>
      </w:pPr>
      <w:r>
        <w:rPr>
          <w:sz w:val="20"/>
          <w:szCs w:val="20"/>
        </w:rPr>
        <w:t>These factors should not be construed as exhaustive. Additional information on these and other risk factors can be found in Item 1A. “Risk Factors” and in the “Special Note Regarding Forward-Looking Statements” in Item 7. “Management’s Discussion and Analysis of Financial Condition and Results of Operations” in Investar’s Annual Report on Form 10-K for the year ended December 31, 2020 filed with the Securities and Exchange Commission (the “SEC”).</w:t>
      </w:r>
    </w:p>
    <w:p w:rsidR="0048389A" w:rsidRDefault="006A750F">
      <w:pPr>
        <w:ind w:left="144" w:right="144"/>
        <w:rPr>
          <w:sz w:val="20"/>
          <w:szCs w:val="20"/>
        </w:rPr>
      </w:pPr>
      <w:r>
        <w:rPr>
          <w:sz w:val="20"/>
          <w:szCs w:val="20"/>
        </w:rPr>
        <w:t> </w:t>
      </w:r>
    </w:p>
    <w:p w:rsidR="0048389A" w:rsidRDefault="006A750F" w:rsidP="00C44726">
      <w:pPr>
        <w:ind w:right="144"/>
        <w:rPr>
          <w:sz w:val="20"/>
          <w:szCs w:val="20"/>
        </w:rPr>
      </w:pPr>
      <w:r>
        <w:rPr>
          <w:sz w:val="20"/>
          <w:szCs w:val="20"/>
        </w:rPr>
        <w:t>For further information contact:</w:t>
      </w:r>
    </w:p>
    <w:p w:rsidR="0048389A" w:rsidRDefault="006A750F">
      <w:pPr>
        <w:ind w:left="144" w:right="144"/>
        <w:rPr>
          <w:sz w:val="20"/>
          <w:szCs w:val="20"/>
        </w:rPr>
      </w:pPr>
      <w:r>
        <w:rPr>
          <w:sz w:val="20"/>
          <w:szCs w:val="20"/>
        </w:rPr>
        <w:t> </w:t>
      </w:r>
    </w:p>
    <w:p w:rsidR="0048389A" w:rsidRDefault="006A750F" w:rsidP="00C44726">
      <w:pPr>
        <w:ind w:right="144"/>
        <w:rPr>
          <w:sz w:val="20"/>
          <w:szCs w:val="20"/>
        </w:rPr>
      </w:pPr>
      <w:r>
        <w:rPr>
          <w:sz w:val="20"/>
          <w:szCs w:val="20"/>
        </w:rPr>
        <w:t>Investar Holding Corporation   </w:t>
      </w:r>
    </w:p>
    <w:p w:rsidR="0048389A" w:rsidRDefault="006A750F" w:rsidP="00C44726">
      <w:pPr>
        <w:ind w:right="144"/>
        <w:rPr>
          <w:sz w:val="20"/>
          <w:szCs w:val="20"/>
        </w:rPr>
      </w:pPr>
      <w:r>
        <w:rPr>
          <w:sz w:val="20"/>
          <w:szCs w:val="20"/>
        </w:rPr>
        <w:t>Chris Hufft</w:t>
      </w:r>
    </w:p>
    <w:p w:rsidR="0048389A" w:rsidRDefault="006A750F" w:rsidP="00C44726">
      <w:pPr>
        <w:ind w:right="144"/>
        <w:rPr>
          <w:sz w:val="20"/>
          <w:szCs w:val="20"/>
        </w:rPr>
      </w:pPr>
      <w:r>
        <w:rPr>
          <w:sz w:val="20"/>
          <w:szCs w:val="20"/>
        </w:rPr>
        <w:t>Chief Financial Officer</w:t>
      </w:r>
    </w:p>
    <w:p w:rsidR="0048389A" w:rsidRDefault="006A750F" w:rsidP="00C44726">
      <w:pPr>
        <w:ind w:right="144"/>
        <w:rPr>
          <w:sz w:val="20"/>
          <w:szCs w:val="20"/>
        </w:rPr>
      </w:pPr>
      <w:r>
        <w:rPr>
          <w:sz w:val="20"/>
          <w:szCs w:val="20"/>
        </w:rPr>
        <w:t>(225) 227-2215</w:t>
      </w:r>
    </w:p>
    <w:p w:rsidR="0048389A" w:rsidRDefault="006A750F" w:rsidP="00C44726">
      <w:pPr>
        <w:ind w:right="144"/>
        <w:rPr>
          <w:sz w:val="20"/>
          <w:szCs w:val="20"/>
        </w:rPr>
      </w:pPr>
      <w:r>
        <w:rPr>
          <w:sz w:val="20"/>
          <w:szCs w:val="20"/>
        </w:rPr>
        <w:t>Chris.Hufft@investarbank.com</w:t>
      </w:r>
    </w:p>
    <w:p w:rsidR="0048389A" w:rsidRDefault="006A750F">
      <w:pPr>
        <w:ind w:left="144" w:right="144"/>
        <w:rPr>
          <w:sz w:val="20"/>
          <w:szCs w:val="20"/>
        </w:rPr>
      </w:pPr>
      <w:r>
        <w:rPr>
          <w:sz w:val="20"/>
          <w:szCs w:val="20"/>
        </w:rPr>
        <w:t> </w:t>
      </w:r>
    </w:p>
    <w:p w:rsidR="0048389A" w:rsidRDefault="006A750F">
      <w:pPr>
        <w:ind w:left="144" w:right="144"/>
        <w:jc w:val="center"/>
        <w:rPr>
          <w:sz w:val="20"/>
          <w:szCs w:val="20"/>
        </w:rPr>
      </w:pPr>
      <w:r>
        <w:rPr>
          <w:sz w:val="20"/>
          <w:szCs w:val="20"/>
        </w:rPr>
        <w:t> </w:t>
      </w:r>
    </w:p>
    <w:p w:rsidR="0048389A" w:rsidRDefault="006A750F">
      <w:pPr>
        <w:ind w:left="144" w:right="144"/>
        <w:rPr>
          <w:sz w:val="20"/>
          <w:szCs w:val="20"/>
        </w:rPr>
      </w:pPr>
      <w:r>
        <w:rPr>
          <w:sz w:val="20"/>
          <w:szCs w:val="20"/>
        </w:rPr>
        <w:br w:type="page"/>
      </w:r>
    </w:p>
    <w:tbl>
      <w:tblPr>
        <w:tblStyle w:val="finTable"/>
        <w:tblW w:w="5000" w:type="pct"/>
        <w:tblInd w:w="149" w:type="dxa"/>
        <w:tblCellMar>
          <w:left w:w="0" w:type="dxa"/>
          <w:right w:w="0" w:type="dxa"/>
        </w:tblCellMar>
        <w:tblLook w:val="05E0" w:firstRow="1" w:lastRow="1" w:firstColumn="1" w:lastColumn="1" w:noHBand="0" w:noVBand="1"/>
      </w:tblPr>
      <w:tblGrid>
        <w:gridCol w:w="10800"/>
      </w:tblGrid>
      <w:tr w:rsidR="0048389A">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lastRenderedPageBreak/>
              <w:t>INVESTAR HOLDING CORPORATION</w:t>
            </w:r>
          </w:p>
        </w:tc>
      </w:tr>
      <w:tr w:rsidR="0048389A">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SUMMARY FINANCIAL INFORMATION</w:t>
            </w:r>
          </w:p>
        </w:tc>
      </w:tr>
      <w:tr w:rsidR="0048389A">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(Amounts in thousands, except share data)</w:t>
            </w:r>
          </w:p>
        </w:tc>
      </w:tr>
      <w:tr w:rsidR="0048389A">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(Unaudited)</w:t>
            </w:r>
          </w:p>
        </w:tc>
      </w:tr>
    </w:tbl>
    <w:p w:rsidR="0048389A" w:rsidRDefault="0048389A" w:rsidP="00C44726">
      <w:pPr>
        <w:ind w:right="144"/>
        <w:rPr>
          <w:sz w:val="20"/>
          <w:szCs w:val="20"/>
        </w:rPr>
      </w:pPr>
    </w:p>
    <w:tbl>
      <w:tblPr>
        <w:tblStyle w:val="finTable"/>
        <w:tblW w:w="5000" w:type="pct"/>
        <w:tblInd w:w="149" w:type="dxa"/>
        <w:tblCellMar>
          <w:left w:w="0" w:type="dxa"/>
          <w:right w:w="0" w:type="dxa"/>
        </w:tblCellMar>
        <w:tblLook w:val="05E0" w:firstRow="1" w:lastRow="1" w:firstColumn="1" w:lastColumn="1" w:noHBand="0" w:noVBand="1"/>
      </w:tblPr>
      <w:tblGrid>
        <w:gridCol w:w="4277"/>
        <w:gridCol w:w="65"/>
        <w:gridCol w:w="110"/>
        <w:gridCol w:w="929"/>
        <w:gridCol w:w="244"/>
        <w:gridCol w:w="65"/>
        <w:gridCol w:w="110"/>
        <w:gridCol w:w="929"/>
        <w:gridCol w:w="177"/>
        <w:gridCol w:w="65"/>
        <w:gridCol w:w="110"/>
        <w:gridCol w:w="930"/>
        <w:gridCol w:w="177"/>
        <w:gridCol w:w="66"/>
        <w:gridCol w:w="66"/>
        <w:gridCol w:w="930"/>
        <w:gridCol w:w="244"/>
        <w:gridCol w:w="66"/>
        <w:gridCol w:w="91"/>
        <w:gridCol w:w="905"/>
        <w:gridCol w:w="244"/>
      </w:tblGrid>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18"/>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As of and for the three months ended</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9/30/2021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6/30/2021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9/30/2020</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Linked Quarter</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Year/Year</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r>
      <w:tr w:rsidR="0048389A">
        <w:tc>
          <w:tcPr>
            <w:tcW w:w="200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EARNINGS DATA</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interest income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24,473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24,347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23,394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interest expense</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45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2,925</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45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3,182</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45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4,688</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(37.6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Net interest income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21,548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21,165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18,706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Provision for loan losses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21,713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2,500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18,946.5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768.5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noninterest income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3,914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4,082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3,401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noninterest expense</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45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16,381</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45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17,960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45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14,051</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(8.8</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Income before income taxes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(12,632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7,173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5,556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(276.1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(327.4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Income tax expense</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45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(2,648</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45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1,485</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45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1,089</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(278.3</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(343.2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Net income</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45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(9,984</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45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5,688</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45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4,467</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(275.5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(323.5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AVERAGE BALANCE SHEET DATA</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assets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2,686,712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2,650,050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2,320,501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15.8</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interest-earning assets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2,482,070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2,441,368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2,149,946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loans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1,923,960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1,940,513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1,816,014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interest-bearing deposits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1,691,318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1,677,471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1,390,443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interest-bearing liabilities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1,830,240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1,817,746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1,613,049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deposits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2,272,715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2,236,902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1,836,168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stockholders’ equity</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254,616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251,793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239,822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PER SHARE DATA</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Earnings: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Basic earnings per common share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(0.95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0.54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0.41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(275.9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(331.7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Diluted earnings per common share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(0.95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0.53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0.41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(279.2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(331.7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xml:space="preserve">Core </w:t>
            </w:r>
            <w:proofErr w:type="gramStart"/>
            <w:r>
              <w:rPr>
                <w:color w:val="000000"/>
                <w:sz w:val="20"/>
                <w:szCs w:val="20"/>
              </w:rPr>
              <w:t>Earnings</w:t>
            </w:r>
            <w:r>
              <w:rPr>
                <w:color w:val="000000"/>
                <w:sz w:val="25"/>
                <w:szCs w:val="25"/>
                <w:vertAlign w:val="superscript"/>
              </w:rPr>
              <w:t>(</w:t>
            </w:r>
            <w:proofErr w:type="gramEnd"/>
            <w:r>
              <w:rPr>
                <w:color w:val="000000"/>
                <w:sz w:val="25"/>
                <w:szCs w:val="25"/>
                <w:vertAlign w:val="superscript"/>
              </w:rPr>
              <w:t>1)</w:t>
            </w:r>
            <w:r>
              <w:rPr>
                <w:color w:val="000000"/>
                <w:sz w:val="20"/>
                <w:szCs w:val="20"/>
              </w:rPr>
              <w:t>:</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 xml:space="preserve">Core basic (loss) earnings per common </w:t>
            </w:r>
            <w:proofErr w:type="gramStart"/>
            <w:r>
              <w:rPr>
                <w:color w:val="000000"/>
                <w:sz w:val="20"/>
                <w:szCs w:val="20"/>
              </w:rPr>
              <w:t>share</w:t>
            </w:r>
            <w:r>
              <w:rPr>
                <w:color w:val="000000"/>
                <w:sz w:val="25"/>
                <w:szCs w:val="25"/>
                <w:vertAlign w:val="superscript"/>
              </w:rPr>
              <w:t>(</w:t>
            </w:r>
            <w:proofErr w:type="gramEnd"/>
            <w:r>
              <w:rPr>
                <w:color w:val="000000"/>
                <w:sz w:val="25"/>
                <w:szCs w:val="25"/>
                <w:vertAlign w:val="superscript"/>
              </w:rPr>
              <w:t>1)</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0.53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0.35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(300.0</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(402.9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 xml:space="preserve">Core diluted (loss) earnings per common </w:t>
            </w:r>
            <w:proofErr w:type="gramStart"/>
            <w:r>
              <w:rPr>
                <w:color w:val="000000"/>
                <w:sz w:val="20"/>
                <w:szCs w:val="20"/>
              </w:rPr>
              <w:t>share</w:t>
            </w:r>
            <w:r>
              <w:rPr>
                <w:color w:val="000000"/>
                <w:sz w:val="25"/>
                <w:szCs w:val="25"/>
                <w:vertAlign w:val="superscript"/>
              </w:rPr>
              <w:t>(</w:t>
            </w:r>
            <w:proofErr w:type="gramEnd"/>
            <w:r>
              <w:rPr>
                <w:color w:val="000000"/>
                <w:sz w:val="25"/>
                <w:szCs w:val="25"/>
                <w:vertAlign w:val="superscript"/>
              </w:rPr>
              <w:t>1)</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0.53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0.35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(300.5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(403.6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Book value per common share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22.85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24.08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22.32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xml:space="preserve">Tangible book value per common </w:t>
            </w:r>
            <w:proofErr w:type="gramStart"/>
            <w:r>
              <w:rPr>
                <w:color w:val="000000"/>
                <w:sz w:val="20"/>
                <w:szCs w:val="20"/>
              </w:rPr>
              <w:t>share</w:t>
            </w:r>
            <w:r>
              <w:rPr>
                <w:color w:val="000000"/>
                <w:sz w:val="25"/>
                <w:szCs w:val="25"/>
                <w:vertAlign w:val="superscript"/>
              </w:rPr>
              <w:t>(</w:t>
            </w:r>
            <w:proofErr w:type="gramEnd"/>
            <w:r>
              <w:rPr>
                <w:color w:val="000000"/>
                <w:sz w:val="25"/>
                <w:szCs w:val="25"/>
                <w:vertAlign w:val="superscript"/>
              </w:rPr>
              <w:t>1)</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18.57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19.85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19.27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Common shares outstanding</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10,343,416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10,413,390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10,629,586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Weighted average common shares outstanding - basic</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10,398,787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10,414,875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10,759,791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Weighted average common shares outstanding - diluted</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10,398,787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10,541,907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10,761,617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PERFORMANCE RATIOS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Return on average assets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(1.47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0.86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0.77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(270.9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(290.9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xml:space="preserve">Core return on average </w:t>
            </w:r>
            <w:proofErr w:type="gramStart"/>
            <w:r>
              <w:rPr>
                <w:color w:val="000000"/>
                <w:sz w:val="20"/>
                <w:szCs w:val="20"/>
              </w:rPr>
              <w:t>assets</w:t>
            </w:r>
            <w:r>
              <w:rPr>
                <w:color w:val="000000"/>
                <w:sz w:val="25"/>
                <w:szCs w:val="25"/>
                <w:vertAlign w:val="superscript"/>
              </w:rPr>
              <w:t>(</w:t>
            </w:r>
            <w:proofErr w:type="gramEnd"/>
            <w:r>
              <w:rPr>
                <w:color w:val="000000"/>
                <w:sz w:val="25"/>
                <w:szCs w:val="25"/>
                <w:vertAlign w:val="superscript"/>
              </w:rPr>
              <w:t>1)</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(1.63</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0.84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0.65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(294.0</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(350.8</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Return on average equity</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(15.56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9.06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7.41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(271.7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(310.0</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xml:space="preserve">Core return on average </w:t>
            </w:r>
            <w:proofErr w:type="gramStart"/>
            <w:r>
              <w:rPr>
                <w:color w:val="000000"/>
                <w:sz w:val="20"/>
                <w:szCs w:val="20"/>
              </w:rPr>
              <w:t>equity</w:t>
            </w:r>
            <w:r>
              <w:rPr>
                <w:color w:val="000000"/>
                <w:sz w:val="25"/>
                <w:szCs w:val="25"/>
                <w:vertAlign w:val="superscript"/>
              </w:rPr>
              <w:t>(</w:t>
            </w:r>
            <w:proofErr w:type="gramEnd"/>
            <w:r>
              <w:rPr>
                <w:color w:val="000000"/>
                <w:sz w:val="25"/>
                <w:szCs w:val="25"/>
                <w:vertAlign w:val="superscript"/>
              </w:rPr>
              <w:t>1)</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(17.20</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8.85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6.29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(294.4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(373.4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Net interest margin</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3.44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3.48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3.46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Net interest income to average assets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3.18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3.20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3.21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Noninterest expense to average assets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(11.0</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xml:space="preserve">Efficiency </w:t>
            </w:r>
            <w:proofErr w:type="gramStart"/>
            <w:r>
              <w:rPr>
                <w:color w:val="000000"/>
                <w:sz w:val="20"/>
                <w:szCs w:val="20"/>
              </w:rPr>
              <w:t>ratio</w:t>
            </w:r>
            <w:r>
              <w:rPr>
                <w:color w:val="000000"/>
                <w:sz w:val="25"/>
                <w:szCs w:val="25"/>
                <w:vertAlign w:val="superscript"/>
              </w:rPr>
              <w:t>(</w:t>
            </w:r>
            <w:proofErr w:type="gramEnd"/>
            <w:r>
              <w:rPr>
                <w:color w:val="000000"/>
                <w:sz w:val="25"/>
                <w:szCs w:val="25"/>
                <w:vertAlign w:val="superscript"/>
              </w:rPr>
              <w:t>2)</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64.33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71.14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63.56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xml:space="preserve">Core efficiency </w:t>
            </w:r>
            <w:proofErr w:type="gramStart"/>
            <w:r>
              <w:rPr>
                <w:color w:val="000000"/>
                <w:sz w:val="20"/>
                <w:szCs w:val="20"/>
              </w:rPr>
              <w:t>ratio</w:t>
            </w:r>
            <w:r>
              <w:rPr>
                <w:color w:val="000000"/>
                <w:sz w:val="25"/>
                <w:szCs w:val="25"/>
                <w:vertAlign w:val="superscript"/>
              </w:rPr>
              <w:t>(</w:t>
            </w:r>
            <w:proofErr w:type="gramEnd"/>
            <w:r>
              <w:rPr>
                <w:color w:val="000000"/>
                <w:sz w:val="25"/>
                <w:szCs w:val="25"/>
                <w:vertAlign w:val="superscript"/>
              </w:rPr>
              <w:t>1)</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67.17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69.62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65.97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Dividend payout ratio</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(8.42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14.81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15.85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(156.9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(153.1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Net charge-offs to average loans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0.01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11,100.0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bl>
    <w:p w:rsidR="0048389A" w:rsidRDefault="006A750F">
      <w:pPr>
        <w:ind w:left="144" w:right="144"/>
        <w:rPr>
          <w:sz w:val="20"/>
          <w:szCs w:val="20"/>
        </w:rPr>
      </w:pPr>
      <w:r>
        <w:rPr>
          <w:sz w:val="20"/>
          <w:szCs w:val="20"/>
        </w:rPr>
        <w:t> </w:t>
      </w:r>
    </w:p>
    <w:tbl>
      <w:tblPr>
        <w:tblStyle w:val="finTable"/>
        <w:tblW w:w="5000" w:type="pct"/>
        <w:tblInd w:w="149" w:type="dxa"/>
        <w:tblCellMar>
          <w:left w:w="0" w:type="dxa"/>
          <w:right w:w="0" w:type="dxa"/>
        </w:tblCellMar>
        <w:tblLook w:val="05E0" w:firstRow="1" w:lastRow="1" w:firstColumn="1" w:lastColumn="1" w:noHBand="0" w:noVBand="1"/>
      </w:tblPr>
      <w:tblGrid>
        <w:gridCol w:w="10800"/>
      </w:tblGrid>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17"/>
                <w:szCs w:val="17"/>
              </w:rPr>
              <w:t>(1)</w:t>
            </w:r>
            <w:r>
              <w:rPr>
                <w:color w:val="000000"/>
                <w:sz w:val="20"/>
                <w:szCs w:val="20"/>
              </w:rPr>
              <w:t xml:space="preserve"> Non-GAAP financial measure. See reconciliation.</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17"/>
                <w:szCs w:val="17"/>
              </w:rPr>
              <w:t>(2)</w:t>
            </w:r>
            <w:r>
              <w:rPr>
                <w:color w:val="000000"/>
                <w:sz w:val="20"/>
                <w:szCs w:val="20"/>
              </w:rPr>
              <w:t xml:space="preserve"> Efficiency ratio represents noninterest expenses divided by the sum of net interest income (before provision for loan losses) and noninterest income.</w:t>
            </w:r>
          </w:p>
          <w:p w:rsidR="00406AA0" w:rsidRDefault="00406AA0">
            <w:pPr>
              <w:rPr>
                <w:color w:val="000000"/>
                <w:sz w:val="20"/>
                <w:szCs w:val="20"/>
              </w:rPr>
            </w:pPr>
          </w:p>
        </w:tc>
      </w:tr>
    </w:tbl>
    <w:tbl>
      <w:tblPr>
        <w:tblW w:w="5000" w:type="pct"/>
        <w:tblInd w:w="149" w:type="dxa"/>
        <w:tblCellMar>
          <w:left w:w="0" w:type="dxa"/>
          <w:right w:w="0" w:type="dxa"/>
        </w:tblCellMar>
        <w:tblLook w:val="04A0" w:firstRow="1" w:lastRow="0" w:firstColumn="1" w:lastColumn="0" w:noHBand="0" w:noVBand="1"/>
      </w:tblPr>
      <w:tblGrid>
        <w:gridCol w:w="10800"/>
      </w:tblGrid>
      <w:tr w:rsidR="0048389A" w:rsidRPr="00406AA0" w:rsidTr="00C44726">
        <w:tc>
          <w:tcPr>
            <w:tcW w:w="5000" w:type="pct"/>
            <w:tcMar>
              <w:top w:w="5" w:type="dxa"/>
              <w:left w:w="5" w:type="dxa"/>
              <w:bottom w:w="5" w:type="dxa"/>
              <w:right w:w="5" w:type="dxa"/>
            </w:tcMar>
            <w:vAlign w:val="bottom"/>
            <w:hideMark/>
          </w:tcPr>
          <w:p w:rsidR="0048389A" w:rsidRPr="00406AA0" w:rsidRDefault="006A750F">
            <w:pPr>
              <w:jc w:val="center"/>
              <w:rPr>
                <w:color w:val="000000"/>
                <w:sz w:val="20"/>
                <w:szCs w:val="20"/>
              </w:rPr>
            </w:pPr>
            <w:r w:rsidRPr="00406AA0">
              <w:rPr>
                <w:sz w:val="20"/>
                <w:szCs w:val="20"/>
              </w:rPr>
              <w:lastRenderedPageBreak/>
              <w:t> </w:t>
            </w:r>
            <w:r w:rsidRPr="00406AA0">
              <w:rPr>
                <w:b/>
                <w:bCs/>
                <w:color w:val="000000"/>
                <w:sz w:val="20"/>
                <w:szCs w:val="20"/>
              </w:rPr>
              <w:t>INVESTAR HOLDING CORPORATION</w:t>
            </w:r>
          </w:p>
        </w:tc>
      </w:tr>
      <w:tr w:rsidR="0048389A" w:rsidRPr="00406AA0" w:rsidTr="00C44726">
        <w:tc>
          <w:tcPr>
            <w:tcW w:w="5000" w:type="pct"/>
            <w:tcMar>
              <w:top w:w="5" w:type="dxa"/>
              <w:left w:w="5" w:type="dxa"/>
              <w:bottom w:w="5" w:type="dxa"/>
              <w:right w:w="5" w:type="dxa"/>
            </w:tcMar>
            <w:vAlign w:val="bottom"/>
            <w:hideMark/>
          </w:tcPr>
          <w:p w:rsidR="0048389A" w:rsidRPr="00406AA0" w:rsidRDefault="006A750F">
            <w:pPr>
              <w:jc w:val="center"/>
              <w:rPr>
                <w:color w:val="000000"/>
                <w:sz w:val="20"/>
                <w:szCs w:val="20"/>
              </w:rPr>
            </w:pPr>
            <w:r w:rsidRPr="00406AA0">
              <w:rPr>
                <w:b/>
                <w:bCs/>
                <w:color w:val="000000"/>
                <w:sz w:val="20"/>
                <w:szCs w:val="20"/>
              </w:rPr>
              <w:t>SUMMARY FINANCIAL INFORMATION</w:t>
            </w:r>
          </w:p>
        </w:tc>
      </w:tr>
      <w:tr w:rsidR="0048389A" w:rsidRPr="00406AA0" w:rsidTr="00C44726">
        <w:tc>
          <w:tcPr>
            <w:tcW w:w="5000" w:type="pct"/>
            <w:tcMar>
              <w:top w:w="5" w:type="dxa"/>
              <w:left w:w="5" w:type="dxa"/>
              <w:bottom w:w="5" w:type="dxa"/>
              <w:right w:w="5" w:type="dxa"/>
            </w:tcMar>
            <w:vAlign w:val="bottom"/>
            <w:hideMark/>
          </w:tcPr>
          <w:p w:rsidR="0048389A" w:rsidRPr="00406AA0" w:rsidRDefault="006A750F">
            <w:pPr>
              <w:jc w:val="center"/>
              <w:rPr>
                <w:color w:val="000000"/>
                <w:sz w:val="20"/>
                <w:szCs w:val="20"/>
              </w:rPr>
            </w:pPr>
            <w:r w:rsidRPr="00406AA0">
              <w:rPr>
                <w:b/>
                <w:bCs/>
                <w:color w:val="000000"/>
                <w:sz w:val="20"/>
                <w:szCs w:val="20"/>
              </w:rPr>
              <w:t>(Amounts in thousands, except share data)</w:t>
            </w:r>
          </w:p>
        </w:tc>
      </w:tr>
      <w:tr w:rsidR="0048389A" w:rsidRPr="00406AA0" w:rsidTr="00C44726">
        <w:tc>
          <w:tcPr>
            <w:tcW w:w="5000" w:type="pct"/>
            <w:tcMar>
              <w:top w:w="5" w:type="dxa"/>
              <w:left w:w="5" w:type="dxa"/>
              <w:bottom w:w="5" w:type="dxa"/>
              <w:right w:w="5" w:type="dxa"/>
            </w:tcMar>
            <w:vAlign w:val="bottom"/>
            <w:hideMark/>
          </w:tcPr>
          <w:p w:rsidR="0048389A" w:rsidRPr="00406AA0" w:rsidRDefault="006A750F">
            <w:pPr>
              <w:jc w:val="center"/>
              <w:rPr>
                <w:color w:val="000000"/>
                <w:sz w:val="20"/>
                <w:szCs w:val="20"/>
              </w:rPr>
            </w:pPr>
            <w:r w:rsidRPr="00406AA0">
              <w:rPr>
                <w:b/>
                <w:bCs/>
                <w:color w:val="000000"/>
                <w:sz w:val="20"/>
                <w:szCs w:val="20"/>
              </w:rPr>
              <w:t>(Unaudited)</w:t>
            </w:r>
          </w:p>
        </w:tc>
      </w:tr>
    </w:tbl>
    <w:p w:rsidR="0048389A" w:rsidRPr="00406AA0" w:rsidRDefault="006A750F">
      <w:pPr>
        <w:ind w:left="144" w:right="144"/>
        <w:rPr>
          <w:sz w:val="20"/>
          <w:szCs w:val="20"/>
        </w:rPr>
      </w:pPr>
      <w:r w:rsidRPr="00406AA0">
        <w:rPr>
          <w:sz w:val="20"/>
          <w:szCs w:val="20"/>
        </w:rPr>
        <w:t> </w:t>
      </w:r>
    </w:p>
    <w:tbl>
      <w:tblPr>
        <w:tblStyle w:val="finTable"/>
        <w:tblW w:w="5000" w:type="pct"/>
        <w:tblInd w:w="149" w:type="dxa"/>
        <w:tblCellMar>
          <w:left w:w="0" w:type="dxa"/>
          <w:right w:w="0" w:type="dxa"/>
        </w:tblCellMar>
        <w:tblLook w:val="05E0" w:firstRow="1" w:lastRow="1" w:firstColumn="1" w:lastColumn="1" w:noHBand="0" w:noVBand="1"/>
      </w:tblPr>
      <w:tblGrid>
        <w:gridCol w:w="4290"/>
        <w:gridCol w:w="78"/>
        <w:gridCol w:w="83"/>
        <w:gridCol w:w="937"/>
        <w:gridCol w:w="177"/>
        <w:gridCol w:w="78"/>
        <w:gridCol w:w="83"/>
        <w:gridCol w:w="937"/>
        <w:gridCol w:w="177"/>
        <w:gridCol w:w="78"/>
        <w:gridCol w:w="83"/>
        <w:gridCol w:w="937"/>
        <w:gridCol w:w="177"/>
        <w:gridCol w:w="78"/>
        <w:gridCol w:w="78"/>
        <w:gridCol w:w="942"/>
        <w:gridCol w:w="244"/>
        <w:gridCol w:w="78"/>
        <w:gridCol w:w="91"/>
        <w:gridCol w:w="930"/>
        <w:gridCol w:w="244"/>
      </w:tblGrid>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18"/>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As of and for the three months ended</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9/30/2021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6/30/2021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9/30/2020</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Linked Quarter</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Year/Year</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r>
      <w:tr w:rsidR="0048389A">
        <w:tc>
          <w:tcPr>
            <w:tcW w:w="200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ASSET QUALITY RATIOS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Nonperforming assets to total assets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0.84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0.54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48.8</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131.5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Nonperforming loans to total loans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1.75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0.68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63.6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157.4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Allowance for loan losses to total loans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Allowance for loan losses to nonperforming loans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62.44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97.83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153.80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(36.2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(59.4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CAPITAL RATIOS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Investar Holding Corporation:</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equity to total assets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8.77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9.38</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10.21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(14.1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xml:space="preserve">Tangible equity to tangible </w:t>
            </w:r>
            <w:proofErr w:type="gramStart"/>
            <w:r>
              <w:rPr>
                <w:color w:val="000000"/>
                <w:sz w:val="20"/>
                <w:szCs w:val="20"/>
              </w:rPr>
              <w:t>assets</w:t>
            </w:r>
            <w:r>
              <w:rPr>
                <w:color w:val="000000"/>
                <w:sz w:val="25"/>
                <w:szCs w:val="25"/>
                <w:vertAlign w:val="superscript"/>
              </w:rPr>
              <w:t>(</w:t>
            </w:r>
            <w:proofErr w:type="gramEnd"/>
            <w:r>
              <w:rPr>
                <w:color w:val="000000"/>
                <w:sz w:val="25"/>
                <w:szCs w:val="25"/>
                <w:vertAlign w:val="superscript"/>
              </w:rPr>
              <w:t>1)</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7.24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7.86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8.94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(19.0</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Tier 1 leverage ratio</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7.60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8.19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9.29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xml:space="preserve">Common equity tier 1 capital </w:t>
            </w:r>
            <w:proofErr w:type="gramStart"/>
            <w:r>
              <w:rPr>
                <w:color w:val="000000"/>
                <w:sz w:val="20"/>
                <w:szCs w:val="20"/>
              </w:rPr>
              <w:t>ratio</w:t>
            </w:r>
            <w:r>
              <w:rPr>
                <w:color w:val="000000"/>
                <w:sz w:val="25"/>
                <w:szCs w:val="25"/>
                <w:vertAlign w:val="superscript"/>
              </w:rPr>
              <w:t>(</w:t>
            </w:r>
            <w:proofErr w:type="gramEnd"/>
            <w:r>
              <w:rPr>
                <w:color w:val="000000"/>
                <w:sz w:val="25"/>
                <w:szCs w:val="25"/>
                <w:vertAlign w:val="superscript"/>
              </w:rPr>
              <w:t>2)</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9.29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9.96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10.95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xml:space="preserve">Tier 1 capital </w:t>
            </w:r>
            <w:proofErr w:type="gramStart"/>
            <w:r>
              <w:rPr>
                <w:color w:val="000000"/>
                <w:sz w:val="20"/>
                <w:szCs w:val="20"/>
              </w:rPr>
              <w:t>ratio</w:t>
            </w:r>
            <w:r>
              <w:rPr>
                <w:color w:val="000000"/>
                <w:sz w:val="25"/>
                <w:szCs w:val="25"/>
                <w:vertAlign w:val="superscript"/>
              </w:rPr>
              <w:t>(</w:t>
            </w:r>
            <w:proofErr w:type="gramEnd"/>
            <w:r>
              <w:rPr>
                <w:color w:val="000000"/>
                <w:sz w:val="25"/>
                <w:szCs w:val="25"/>
                <w:vertAlign w:val="superscript"/>
              </w:rPr>
              <w:t>2)</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9.75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10.43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11.30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xml:space="preserve">Total capital </w:t>
            </w:r>
            <w:proofErr w:type="gramStart"/>
            <w:r>
              <w:rPr>
                <w:color w:val="000000"/>
                <w:sz w:val="20"/>
                <w:szCs w:val="20"/>
              </w:rPr>
              <w:t>ratio</w:t>
            </w:r>
            <w:r>
              <w:rPr>
                <w:color w:val="000000"/>
                <w:sz w:val="25"/>
                <w:szCs w:val="25"/>
                <w:vertAlign w:val="superscript"/>
              </w:rPr>
              <w:t>(</w:t>
            </w:r>
            <w:proofErr w:type="gramEnd"/>
            <w:r>
              <w:rPr>
                <w:color w:val="000000"/>
                <w:sz w:val="25"/>
                <w:szCs w:val="25"/>
                <w:vertAlign w:val="superscript"/>
              </w:rPr>
              <w:t>2)</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12.87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13.55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14.62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(5.0</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(12.0</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Investar Bank:</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Tier 1 leverage ratio</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8.99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9.49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10.23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(5.3</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xml:space="preserve">Common equity tier 1 capital </w:t>
            </w:r>
            <w:proofErr w:type="gramStart"/>
            <w:r>
              <w:rPr>
                <w:color w:val="000000"/>
                <w:sz w:val="20"/>
                <w:szCs w:val="20"/>
              </w:rPr>
              <w:t>ratio</w:t>
            </w:r>
            <w:r>
              <w:rPr>
                <w:color w:val="000000"/>
                <w:sz w:val="25"/>
                <w:szCs w:val="25"/>
                <w:vertAlign w:val="superscript"/>
              </w:rPr>
              <w:t>(</w:t>
            </w:r>
            <w:proofErr w:type="gramEnd"/>
            <w:r>
              <w:rPr>
                <w:color w:val="000000"/>
                <w:sz w:val="25"/>
                <w:szCs w:val="25"/>
                <w:vertAlign w:val="superscript"/>
              </w:rPr>
              <w:t>2)</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11.55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12.10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12.46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(7.3</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xml:space="preserve">Tier 1 capital </w:t>
            </w:r>
            <w:proofErr w:type="gramStart"/>
            <w:r>
              <w:rPr>
                <w:color w:val="000000"/>
                <w:sz w:val="20"/>
                <w:szCs w:val="20"/>
              </w:rPr>
              <w:t>ratio</w:t>
            </w:r>
            <w:r>
              <w:rPr>
                <w:color w:val="000000"/>
                <w:sz w:val="25"/>
                <w:szCs w:val="25"/>
                <w:vertAlign w:val="superscript"/>
              </w:rPr>
              <w:t>(</w:t>
            </w:r>
            <w:proofErr w:type="gramEnd"/>
            <w:r>
              <w:rPr>
                <w:color w:val="000000"/>
                <w:sz w:val="25"/>
                <w:szCs w:val="25"/>
                <w:vertAlign w:val="superscript"/>
              </w:rPr>
              <w:t>2)</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11.55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12.10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12.46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(7.3</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xml:space="preserve">Total capital </w:t>
            </w:r>
            <w:proofErr w:type="gramStart"/>
            <w:r>
              <w:rPr>
                <w:color w:val="000000"/>
                <w:sz w:val="20"/>
                <w:szCs w:val="20"/>
              </w:rPr>
              <w:t>ratio</w:t>
            </w:r>
            <w:r>
              <w:rPr>
                <w:color w:val="000000"/>
                <w:sz w:val="25"/>
                <w:szCs w:val="25"/>
                <w:vertAlign w:val="superscript"/>
              </w:rPr>
              <w:t>(</w:t>
            </w:r>
            <w:proofErr w:type="gramEnd"/>
            <w:r>
              <w:rPr>
                <w:color w:val="000000"/>
                <w:sz w:val="25"/>
                <w:szCs w:val="25"/>
                <w:vertAlign w:val="superscript"/>
              </w:rPr>
              <w:t>2)</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12.57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13.11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13.50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45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bl>
    <w:p w:rsidR="0048389A" w:rsidRDefault="006A750F">
      <w:pPr>
        <w:ind w:left="144" w:right="144"/>
        <w:rPr>
          <w:sz w:val="20"/>
          <w:szCs w:val="20"/>
        </w:rPr>
      </w:pPr>
      <w:r>
        <w:rPr>
          <w:sz w:val="20"/>
          <w:szCs w:val="20"/>
        </w:rPr>
        <w:t> </w:t>
      </w:r>
    </w:p>
    <w:tbl>
      <w:tblPr>
        <w:tblW w:w="5000" w:type="pct"/>
        <w:jc w:val="center"/>
        <w:tblCellMar>
          <w:left w:w="0" w:type="dxa"/>
          <w:right w:w="0" w:type="dxa"/>
        </w:tblCellMar>
        <w:tblLook w:val="04A0" w:firstRow="1" w:lastRow="0" w:firstColumn="1" w:lastColumn="0" w:noHBand="0" w:noVBand="1"/>
      </w:tblPr>
      <w:tblGrid>
        <w:gridCol w:w="10800"/>
      </w:tblGrid>
      <w:tr w:rsidR="0048389A">
        <w:trPr>
          <w:jc w:val="center"/>
        </w:trPr>
        <w:tc>
          <w:tcPr>
            <w:tcW w:w="0" w:type="pct"/>
            <w:tcMar>
              <w:top w:w="5" w:type="dxa"/>
              <w:left w:w="5" w:type="dxa"/>
              <w:bottom w:w="5" w:type="dxa"/>
              <w:right w:w="5" w:type="dxa"/>
            </w:tcMar>
            <w:vAlign w:val="bottom"/>
            <w:hideMark/>
          </w:tcPr>
          <w:p w:rsidR="0048389A" w:rsidRDefault="006A750F">
            <w:pPr>
              <w:jc w:val="both"/>
              <w:rPr>
                <w:color w:val="000000"/>
                <w:sz w:val="20"/>
                <w:szCs w:val="20"/>
              </w:rPr>
            </w:pPr>
            <w:r>
              <w:rPr>
                <w:color w:val="000000"/>
                <w:sz w:val="17"/>
                <w:szCs w:val="17"/>
              </w:rPr>
              <w:t>(1)</w:t>
            </w:r>
            <w:r>
              <w:rPr>
                <w:color w:val="000000"/>
                <w:sz w:val="20"/>
                <w:szCs w:val="20"/>
              </w:rPr>
              <w:t xml:space="preserve"> Non-GAAP financial measure. See reconciliation.</w:t>
            </w:r>
          </w:p>
        </w:tc>
      </w:tr>
      <w:tr w:rsidR="0048389A">
        <w:trPr>
          <w:jc w:val="center"/>
        </w:trPr>
        <w:tc>
          <w:tcPr>
            <w:tcW w:w="0" w:type="pct"/>
            <w:tcMar>
              <w:top w:w="5" w:type="dxa"/>
              <w:left w:w="5" w:type="dxa"/>
              <w:bottom w:w="5" w:type="dxa"/>
              <w:right w:w="5" w:type="dxa"/>
            </w:tcMar>
            <w:vAlign w:val="bottom"/>
            <w:hideMark/>
          </w:tcPr>
          <w:p w:rsidR="0048389A" w:rsidRDefault="006A750F">
            <w:pPr>
              <w:jc w:val="both"/>
              <w:rPr>
                <w:color w:val="000000"/>
                <w:sz w:val="20"/>
                <w:szCs w:val="20"/>
              </w:rPr>
            </w:pPr>
            <w:r>
              <w:rPr>
                <w:color w:val="000000"/>
                <w:sz w:val="17"/>
                <w:szCs w:val="17"/>
              </w:rPr>
              <w:t>(2)</w:t>
            </w:r>
            <w:r>
              <w:rPr>
                <w:color w:val="000000"/>
                <w:sz w:val="20"/>
                <w:szCs w:val="20"/>
              </w:rPr>
              <w:t xml:space="preserve"> Estimated for September 30, 2021.</w:t>
            </w:r>
          </w:p>
        </w:tc>
      </w:tr>
    </w:tbl>
    <w:p w:rsidR="0048389A" w:rsidRDefault="006A750F">
      <w:pPr>
        <w:ind w:left="144" w:right="144"/>
        <w:rPr>
          <w:sz w:val="20"/>
          <w:szCs w:val="20"/>
        </w:rPr>
      </w:pPr>
      <w:r>
        <w:rPr>
          <w:sz w:val="20"/>
          <w:szCs w:val="20"/>
        </w:rPr>
        <w:t> </w:t>
      </w:r>
    </w:p>
    <w:p w:rsidR="0048389A" w:rsidRDefault="006A750F">
      <w:pPr>
        <w:ind w:left="144" w:right="144"/>
        <w:jc w:val="center"/>
        <w:rPr>
          <w:sz w:val="20"/>
          <w:szCs w:val="20"/>
        </w:rPr>
      </w:pPr>
      <w:r>
        <w:rPr>
          <w:sz w:val="20"/>
          <w:szCs w:val="20"/>
        </w:rPr>
        <w:t> </w:t>
      </w:r>
    </w:p>
    <w:p w:rsidR="0048389A" w:rsidRDefault="006A750F">
      <w:pPr>
        <w:ind w:left="144" w:right="144"/>
        <w:rPr>
          <w:sz w:val="20"/>
          <w:szCs w:val="20"/>
        </w:rPr>
      </w:pPr>
      <w:r>
        <w:rPr>
          <w:sz w:val="20"/>
          <w:szCs w:val="20"/>
        </w:rPr>
        <w:br w:type="page"/>
      </w:r>
      <w:r>
        <w:rPr>
          <w:sz w:val="20"/>
          <w:szCs w:val="20"/>
        </w:rPr>
        <w:lastRenderedPageBreak/>
        <w:t> </w:t>
      </w:r>
    </w:p>
    <w:tbl>
      <w:tblPr>
        <w:tblW w:w="5000" w:type="pct"/>
        <w:tblInd w:w="149" w:type="dxa"/>
        <w:tblCellMar>
          <w:left w:w="0" w:type="dxa"/>
          <w:right w:w="0" w:type="dxa"/>
        </w:tblCellMar>
        <w:tblLook w:val="04A0" w:firstRow="1" w:lastRow="0" w:firstColumn="1" w:lastColumn="0" w:noHBand="0" w:noVBand="1"/>
      </w:tblPr>
      <w:tblGrid>
        <w:gridCol w:w="10800"/>
      </w:tblGrid>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INVESTAR HOLDING CORPORATION</w:t>
            </w:r>
          </w:p>
        </w:tc>
      </w:tr>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CONSOLIDATED BALANCE SHEETS</w:t>
            </w:r>
          </w:p>
        </w:tc>
      </w:tr>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(Amounts in thousands, except share data)</w:t>
            </w:r>
          </w:p>
        </w:tc>
      </w:tr>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(Unaudited)</w:t>
            </w:r>
          </w:p>
        </w:tc>
      </w:tr>
    </w:tbl>
    <w:p w:rsidR="0048389A" w:rsidRDefault="006A750F">
      <w:pPr>
        <w:ind w:left="144" w:right="144"/>
        <w:rPr>
          <w:sz w:val="20"/>
          <w:szCs w:val="20"/>
        </w:rPr>
      </w:pPr>
      <w:r>
        <w:rPr>
          <w:sz w:val="20"/>
          <w:szCs w:val="20"/>
        </w:rPr>
        <w:t> </w:t>
      </w:r>
    </w:p>
    <w:tbl>
      <w:tblPr>
        <w:tblStyle w:val="finTable"/>
        <w:tblW w:w="5000" w:type="pct"/>
        <w:tblInd w:w="149" w:type="dxa"/>
        <w:tblCellMar>
          <w:left w:w="0" w:type="dxa"/>
          <w:right w:w="0" w:type="dxa"/>
        </w:tblCellMar>
        <w:tblLook w:val="05E0" w:firstRow="1" w:lastRow="1" w:firstColumn="1" w:lastColumn="1" w:noHBand="0" w:noVBand="1"/>
      </w:tblPr>
      <w:tblGrid>
        <w:gridCol w:w="5939"/>
        <w:gridCol w:w="107"/>
        <w:gridCol w:w="111"/>
        <w:gridCol w:w="1295"/>
        <w:gridCol w:w="107"/>
        <w:gridCol w:w="107"/>
        <w:gridCol w:w="110"/>
        <w:gridCol w:w="1295"/>
        <w:gridCol w:w="107"/>
        <w:gridCol w:w="107"/>
        <w:gridCol w:w="111"/>
        <w:gridCol w:w="1296"/>
        <w:gridCol w:w="108"/>
      </w:tblGrid>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September 30, 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June 30, 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September 30, 2020</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r>
      <w:tr w:rsidR="0048389A">
        <w:tc>
          <w:tcPr>
            <w:tcW w:w="27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ASSETS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Cash and due from banks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45,404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36,775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32,856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Interest-bearing balances due from other banks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304,587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229,498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17,697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Federal funds sold</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500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500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b/>
                <w:bCs/>
                <w:color w:val="000000"/>
                <w:sz w:val="20"/>
                <w:szCs w:val="20"/>
              </w:rPr>
              <w:t>Cash and cash equivalents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350,491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266,773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50,553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Available for sale securities at fair value (amortized cost of $274,312, $267,706, and $275,288, respectively)</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274,387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269,360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278,906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Held to maturity securities at amortized cost (estimated fair value of $11,936, $12,007, and $13,737, respectively)</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11,407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11,812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13,542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Loans held for sale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300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Loans, net of allowance for loan losses of $20,566, $20,445, and $19,044, respectively</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1,860,091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1,927,375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1,810,636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Other equity securities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16,783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16,725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20,927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Bank premises and equipment, net of accumulated depreciation of $18,579, $17,566, and $14,971, respectively</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61,619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62,588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57,074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Other real estate owned, net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635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1,490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Accrued interest receivable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11,732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12,205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13,057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Deferred tax asset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1,493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508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2,160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Goodwill and other intangible assets, net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44,283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43,973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32,471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Bank-owned life insurance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50,767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50,462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38,672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Other assets</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12,060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9,636</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5,178</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b/>
                <w:bCs/>
                <w:color w:val="000000"/>
                <w:sz w:val="20"/>
                <w:szCs w:val="20"/>
              </w:rPr>
              <w:t>Total assets</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2,696,048</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2,672,907</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2,323,245</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LIABILITIES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Deposits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Noninterest-bearing</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597,452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582,109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452,070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Interest-bearing</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1,706,189</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1,678,057</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1,382,379</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b/>
                <w:bCs/>
                <w:color w:val="000000"/>
                <w:sz w:val="20"/>
                <w:szCs w:val="20"/>
              </w:rPr>
              <w:t>Total deposits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2,303,641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2,260,166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1,834,449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Advances from Federal Home Loan Bank</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78,500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82,500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178,500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Repurchase agreements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6,580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6,713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5,923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Subordinated debt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42,966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42,943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42,874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Junior subordinated debt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8,352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8,320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5,936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Accrued taxes and other liabilities</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19,685</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21,550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18,296</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b/>
                <w:bCs/>
                <w:color w:val="000000"/>
                <w:sz w:val="20"/>
                <w:szCs w:val="20"/>
              </w:rPr>
              <w:t>Total liabilities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2,459,724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2,422,192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2,085,978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STOCKHOLDERS’ EQUITY</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Preferred stock, no par value per share; 5,000,000 shares authorized</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Common stock, $1.00 par value per share; 40,000,000 shares authorized; 10,343,416, 10,413,390, and 10,629,586 shares issued and outstanding, respectively</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10,344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10,413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10,630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Surplus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154,527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155,847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159,410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Retained earnings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70,054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80,867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67,536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Accumulated other comprehensive income (loss)</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1,399</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3,588</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(309</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b/>
                <w:bCs/>
                <w:color w:val="000000"/>
                <w:sz w:val="20"/>
                <w:szCs w:val="20"/>
              </w:rPr>
              <w:t>Total stockholders’ equity</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236,324</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250,715</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237,267</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360"/>
              <w:rPr>
                <w:color w:val="000000"/>
                <w:sz w:val="20"/>
                <w:szCs w:val="20"/>
              </w:rPr>
            </w:pPr>
            <w:r>
              <w:rPr>
                <w:b/>
                <w:bCs/>
                <w:color w:val="000000"/>
                <w:sz w:val="20"/>
                <w:szCs w:val="20"/>
              </w:rPr>
              <w:t>Total liabilities and stockholders’ equity</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2,696,048</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2,672,907</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2,323,245</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r>
    </w:tbl>
    <w:p w:rsidR="0048389A" w:rsidRDefault="006A750F">
      <w:pPr>
        <w:ind w:left="144" w:right="144"/>
        <w:rPr>
          <w:sz w:val="20"/>
          <w:szCs w:val="20"/>
        </w:rPr>
      </w:pPr>
      <w:r>
        <w:rPr>
          <w:sz w:val="20"/>
          <w:szCs w:val="20"/>
        </w:rPr>
        <w:t> </w:t>
      </w:r>
    </w:p>
    <w:p w:rsidR="0048389A" w:rsidRDefault="006A750F">
      <w:pPr>
        <w:ind w:left="144" w:right="144"/>
        <w:jc w:val="center"/>
        <w:rPr>
          <w:sz w:val="20"/>
          <w:szCs w:val="20"/>
        </w:rPr>
      </w:pPr>
      <w:r>
        <w:rPr>
          <w:sz w:val="20"/>
          <w:szCs w:val="20"/>
        </w:rPr>
        <w:t> </w:t>
      </w:r>
    </w:p>
    <w:p w:rsidR="0048389A" w:rsidRDefault="006A750F">
      <w:pPr>
        <w:ind w:left="144" w:right="144"/>
        <w:rPr>
          <w:sz w:val="20"/>
          <w:szCs w:val="20"/>
        </w:rPr>
      </w:pPr>
      <w:r>
        <w:rPr>
          <w:sz w:val="20"/>
          <w:szCs w:val="20"/>
        </w:rPr>
        <w:br w:type="page"/>
      </w:r>
      <w:r>
        <w:rPr>
          <w:sz w:val="20"/>
          <w:szCs w:val="20"/>
        </w:rPr>
        <w:lastRenderedPageBreak/>
        <w:t> </w:t>
      </w:r>
    </w:p>
    <w:tbl>
      <w:tblPr>
        <w:tblW w:w="5000" w:type="pct"/>
        <w:tblInd w:w="149" w:type="dxa"/>
        <w:tblCellMar>
          <w:left w:w="0" w:type="dxa"/>
          <w:right w:w="0" w:type="dxa"/>
        </w:tblCellMar>
        <w:tblLook w:val="04A0" w:firstRow="1" w:lastRow="0" w:firstColumn="1" w:lastColumn="0" w:noHBand="0" w:noVBand="1"/>
      </w:tblPr>
      <w:tblGrid>
        <w:gridCol w:w="10800"/>
      </w:tblGrid>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INVESTAR HOLDING CORPORATION</w:t>
            </w:r>
          </w:p>
        </w:tc>
      </w:tr>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CONSOLIDATED STATEMENTS OF (LOSS) INCOME</w:t>
            </w:r>
          </w:p>
        </w:tc>
      </w:tr>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(Amounts in thousands, except share data)</w:t>
            </w:r>
          </w:p>
        </w:tc>
      </w:tr>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(Unaudited)</w:t>
            </w:r>
          </w:p>
        </w:tc>
      </w:tr>
    </w:tbl>
    <w:p w:rsidR="0048389A" w:rsidRDefault="006A750F">
      <w:pPr>
        <w:ind w:left="144" w:right="144"/>
        <w:rPr>
          <w:sz w:val="20"/>
          <w:szCs w:val="20"/>
        </w:rPr>
      </w:pPr>
      <w:r>
        <w:rPr>
          <w:sz w:val="20"/>
          <w:szCs w:val="20"/>
        </w:rPr>
        <w:t> </w:t>
      </w:r>
    </w:p>
    <w:tbl>
      <w:tblPr>
        <w:tblStyle w:val="finTable"/>
        <w:tblW w:w="5000" w:type="pct"/>
        <w:tblInd w:w="149" w:type="dxa"/>
        <w:tblCellMar>
          <w:left w:w="0" w:type="dxa"/>
          <w:right w:w="0" w:type="dxa"/>
        </w:tblCellMar>
        <w:tblLook w:val="05E0" w:firstRow="1" w:lastRow="1" w:firstColumn="1" w:lastColumn="1" w:noHBand="0" w:noVBand="1"/>
      </w:tblPr>
      <w:tblGrid>
        <w:gridCol w:w="5939"/>
        <w:gridCol w:w="107"/>
        <w:gridCol w:w="111"/>
        <w:gridCol w:w="1295"/>
        <w:gridCol w:w="107"/>
        <w:gridCol w:w="107"/>
        <w:gridCol w:w="110"/>
        <w:gridCol w:w="1295"/>
        <w:gridCol w:w="107"/>
        <w:gridCol w:w="107"/>
        <w:gridCol w:w="111"/>
        <w:gridCol w:w="1296"/>
        <w:gridCol w:w="108"/>
      </w:tblGrid>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10"/>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For the three months ended</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September 30, 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June 30, 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September 30, 2020</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r>
      <w:tr w:rsidR="0048389A">
        <w:tc>
          <w:tcPr>
            <w:tcW w:w="27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INTEREST INCOME</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Interest and fees on loans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23,220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23,135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21,866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Interest on investment securities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1,021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1,009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1,356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Other interest income</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232</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203</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172</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Total interest income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24,473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24,347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23,394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INTEREST EXPENSE</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Interest on deposits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1,854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2,114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3,404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Interest on borrowings</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1,071</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1,068</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1,284</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Total interest expense</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2,925</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3,182</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4,688</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360"/>
              <w:rPr>
                <w:color w:val="000000"/>
                <w:sz w:val="20"/>
                <w:szCs w:val="20"/>
              </w:rPr>
            </w:pPr>
            <w:r>
              <w:rPr>
                <w:color w:val="000000"/>
                <w:sz w:val="20"/>
                <w:szCs w:val="20"/>
              </w:rPr>
              <w:t>Net interest income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21,548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21,165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18,706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Provision for loan losses</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21,713</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114</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2,500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360"/>
              <w:rPr>
                <w:color w:val="000000"/>
                <w:sz w:val="20"/>
                <w:szCs w:val="20"/>
              </w:rPr>
            </w:pPr>
            <w:r>
              <w:rPr>
                <w:color w:val="000000"/>
                <w:sz w:val="20"/>
                <w:szCs w:val="20"/>
              </w:rPr>
              <w:t>Net interest (loss) income after provision for loan losses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21,051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16,206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NONINTEREST INCOME</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Service charges on deposit accounts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650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607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441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Gain on sale of investment securities, net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1,721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939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Loss on sale of fixed assets, net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Loss on sale of other real estate owned, net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Swap termination fees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1,835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Gain on sale of loans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Servicing fees and fee income on serviced loans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Interchange fees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504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501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387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Income from bank owned life insurance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304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311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Change in the fair value of equity securities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Other operating income</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462</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745</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1,351</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Total noninterest income</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3,914</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4,082</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3,401</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360"/>
              <w:rPr>
                <w:color w:val="000000"/>
                <w:sz w:val="20"/>
                <w:szCs w:val="20"/>
              </w:rPr>
            </w:pPr>
            <w:r>
              <w:rPr>
                <w:color w:val="000000"/>
                <w:sz w:val="20"/>
                <w:szCs w:val="20"/>
              </w:rPr>
              <w:t>Income before noninterest expense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3,749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25,133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19,607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NONINTEREST EXPENSE</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Depreciation and amortization</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1,264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1,278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1,203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Salaries and employee benefits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9,770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9,916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8,228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Occupancy</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662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676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604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Data processing</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715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973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816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Marketing</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Professional fees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382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378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343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Acquisition expenses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446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1,641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Other operating expenses</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3,085</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3,027</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2,717</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Total noninterest expense</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16,381</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17,960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14,051</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360"/>
              <w:rPr>
                <w:color w:val="000000"/>
                <w:sz w:val="20"/>
                <w:szCs w:val="20"/>
              </w:rPr>
            </w:pPr>
            <w:r>
              <w:rPr>
                <w:color w:val="000000"/>
                <w:sz w:val="20"/>
                <w:szCs w:val="20"/>
              </w:rPr>
              <w:t>(Loss) income before income tax expense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(12,632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7,173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5,556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Income tax (benefit) expense</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(2,648</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1,485</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1,089</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360"/>
              <w:rPr>
                <w:color w:val="000000"/>
                <w:sz w:val="20"/>
                <w:szCs w:val="20"/>
              </w:rPr>
            </w:pPr>
            <w:r>
              <w:rPr>
                <w:color w:val="000000"/>
                <w:sz w:val="20"/>
                <w:szCs w:val="20"/>
              </w:rPr>
              <w:t>Net (loss) income</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(9,984</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5,688</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4,467</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EARNINGS PER SHARE</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Basic (loss) earnings per common share</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(0.95</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0.54</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0.41</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Diluted (loss) earnings per common share</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(0.95</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0.53</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0.41</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Cash dividends declared per common share</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0.08</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0.08</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0.07</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bl>
    <w:p w:rsidR="0048389A" w:rsidRDefault="006A750F">
      <w:pPr>
        <w:ind w:left="144" w:right="144"/>
        <w:rPr>
          <w:sz w:val="20"/>
          <w:szCs w:val="20"/>
        </w:rPr>
      </w:pPr>
      <w:r>
        <w:rPr>
          <w:sz w:val="20"/>
          <w:szCs w:val="20"/>
        </w:rPr>
        <w:t> </w:t>
      </w:r>
    </w:p>
    <w:p w:rsidR="0048389A" w:rsidRDefault="006A750F">
      <w:pPr>
        <w:ind w:left="144" w:right="144"/>
        <w:jc w:val="center"/>
        <w:rPr>
          <w:sz w:val="20"/>
          <w:szCs w:val="20"/>
        </w:rPr>
      </w:pPr>
      <w:r>
        <w:rPr>
          <w:sz w:val="20"/>
          <w:szCs w:val="20"/>
        </w:rPr>
        <w:t> </w:t>
      </w:r>
    </w:p>
    <w:p w:rsidR="0048389A" w:rsidRDefault="006A750F">
      <w:pPr>
        <w:ind w:left="144" w:right="144"/>
        <w:rPr>
          <w:sz w:val="20"/>
          <w:szCs w:val="20"/>
        </w:rPr>
      </w:pPr>
      <w:r>
        <w:rPr>
          <w:sz w:val="20"/>
          <w:szCs w:val="20"/>
        </w:rPr>
        <w:br w:type="page"/>
      </w:r>
      <w:r>
        <w:rPr>
          <w:sz w:val="20"/>
          <w:szCs w:val="20"/>
        </w:rPr>
        <w:lastRenderedPageBreak/>
        <w:t>  </w:t>
      </w:r>
    </w:p>
    <w:tbl>
      <w:tblPr>
        <w:tblW w:w="5000" w:type="pct"/>
        <w:tblInd w:w="149" w:type="dxa"/>
        <w:tblCellMar>
          <w:left w:w="0" w:type="dxa"/>
          <w:right w:w="0" w:type="dxa"/>
        </w:tblCellMar>
        <w:tblLook w:val="04A0" w:firstRow="1" w:lastRow="0" w:firstColumn="1" w:lastColumn="0" w:noHBand="0" w:noVBand="1"/>
      </w:tblPr>
      <w:tblGrid>
        <w:gridCol w:w="10800"/>
      </w:tblGrid>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INVESTAR HOLDING CORPORATION</w:t>
            </w:r>
          </w:p>
        </w:tc>
      </w:tr>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CONSOLIDATED AVERAGE BALANCE SHEET, INTEREST EARNED AND YIELD ANALYSIS</w:t>
            </w:r>
          </w:p>
        </w:tc>
      </w:tr>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(Amounts in thousands)</w:t>
            </w:r>
          </w:p>
        </w:tc>
      </w:tr>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(Unaudited)</w:t>
            </w:r>
          </w:p>
        </w:tc>
      </w:tr>
    </w:tbl>
    <w:p w:rsidR="0048389A" w:rsidRDefault="006A750F">
      <w:pPr>
        <w:ind w:left="144" w:right="144"/>
        <w:rPr>
          <w:sz w:val="20"/>
          <w:szCs w:val="20"/>
        </w:rPr>
      </w:pPr>
      <w:r>
        <w:rPr>
          <w:sz w:val="20"/>
          <w:szCs w:val="20"/>
        </w:rPr>
        <w:t> </w:t>
      </w:r>
    </w:p>
    <w:tbl>
      <w:tblPr>
        <w:tblStyle w:val="finTable"/>
        <w:tblW w:w="5000" w:type="pct"/>
        <w:tblInd w:w="149" w:type="dxa"/>
        <w:tblCellMar>
          <w:left w:w="0" w:type="dxa"/>
          <w:right w:w="0" w:type="dxa"/>
        </w:tblCellMar>
        <w:tblLook w:val="05E0" w:firstRow="1" w:lastRow="1" w:firstColumn="1" w:lastColumn="1" w:noHBand="0" w:noVBand="1"/>
      </w:tblPr>
      <w:tblGrid>
        <w:gridCol w:w="2039"/>
        <w:gridCol w:w="95"/>
        <w:gridCol w:w="100"/>
        <w:gridCol w:w="730"/>
        <w:gridCol w:w="90"/>
        <w:gridCol w:w="95"/>
        <w:gridCol w:w="101"/>
        <w:gridCol w:w="629"/>
        <w:gridCol w:w="95"/>
        <w:gridCol w:w="95"/>
        <w:gridCol w:w="95"/>
        <w:gridCol w:w="635"/>
        <w:gridCol w:w="160"/>
        <w:gridCol w:w="95"/>
        <w:gridCol w:w="100"/>
        <w:gridCol w:w="730"/>
        <w:gridCol w:w="90"/>
        <w:gridCol w:w="95"/>
        <w:gridCol w:w="101"/>
        <w:gridCol w:w="629"/>
        <w:gridCol w:w="95"/>
        <w:gridCol w:w="95"/>
        <w:gridCol w:w="95"/>
        <w:gridCol w:w="635"/>
        <w:gridCol w:w="160"/>
        <w:gridCol w:w="95"/>
        <w:gridCol w:w="100"/>
        <w:gridCol w:w="730"/>
        <w:gridCol w:w="90"/>
        <w:gridCol w:w="95"/>
        <w:gridCol w:w="101"/>
        <w:gridCol w:w="629"/>
        <w:gridCol w:w="95"/>
        <w:gridCol w:w="95"/>
        <w:gridCol w:w="95"/>
        <w:gridCol w:w="636"/>
        <w:gridCol w:w="160"/>
      </w:tblGrid>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34"/>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18"/>
                <w:szCs w:val="18"/>
              </w:rPr>
            </w:pPr>
            <w:r>
              <w:rPr>
                <w:b/>
                <w:bCs/>
                <w:color w:val="000000"/>
                <w:sz w:val="18"/>
                <w:szCs w:val="18"/>
              </w:rPr>
              <w:t>For the three months ended</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10"/>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18"/>
                <w:szCs w:val="18"/>
              </w:rPr>
            </w:pPr>
            <w:r>
              <w:rPr>
                <w:b/>
                <w:bCs/>
                <w:color w:val="000000"/>
                <w:sz w:val="18"/>
                <w:szCs w:val="18"/>
              </w:rPr>
              <w:t>September 30, 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0" w:type="auto"/>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10"/>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18"/>
                <w:szCs w:val="18"/>
              </w:rPr>
            </w:pPr>
            <w:r>
              <w:rPr>
                <w:b/>
                <w:bCs/>
                <w:color w:val="000000"/>
                <w:sz w:val="18"/>
                <w:szCs w:val="18"/>
              </w:rPr>
              <w:t>June 30, 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0" w:type="auto"/>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10"/>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18"/>
                <w:szCs w:val="18"/>
              </w:rPr>
            </w:pPr>
            <w:r>
              <w:rPr>
                <w:b/>
                <w:bCs/>
                <w:color w:val="000000"/>
                <w:sz w:val="18"/>
                <w:szCs w:val="18"/>
              </w:rPr>
              <w:t>September 30, 2020</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cente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18"/>
                <w:szCs w:val="18"/>
              </w:rPr>
            </w:pPr>
            <w:r>
              <w:rPr>
                <w:b/>
                <w:bCs/>
                <w:color w:val="000000"/>
                <w:sz w:val="18"/>
                <w:szCs w:val="18"/>
              </w:rPr>
              <w:t>Interest</w:t>
            </w:r>
          </w:p>
        </w:tc>
        <w:tc>
          <w:tcPr>
            <w:tcW w:w="0" w:type="auto"/>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cente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cente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18"/>
                <w:szCs w:val="18"/>
              </w:rPr>
            </w:pPr>
            <w:r>
              <w:rPr>
                <w:b/>
                <w:bCs/>
                <w:color w:val="000000"/>
                <w:sz w:val="18"/>
                <w:szCs w:val="18"/>
              </w:rPr>
              <w:t>Interest</w:t>
            </w:r>
          </w:p>
        </w:tc>
        <w:tc>
          <w:tcPr>
            <w:tcW w:w="0" w:type="auto"/>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cente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cente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18"/>
                <w:szCs w:val="18"/>
              </w:rPr>
            </w:pPr>
            <w:r>
              <w:rPr>
                <w:b/>
                <w:bCs/>
                <w:color w:val="000000"/>
                <w:sz w:val="18"/>
                <w:szCs w:val="18"/>
              </w:rPr>
              <w:t>Interest</w:t>
            </w:r>
          </w:p>
        </w:tc>
        <w:tc>
          <w:tcPr>
            <w:tcW w:w="0" w:type="auto"/>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cente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18"/>
                <w:szCs w:val="18"/>
              </w:rPr>
            </w:pPr>
            <w:r>
              <w:rPr>
                <w:b/>
                <w:bCs/>
                <w:color w:val="000000"/>
                <w:sz w:val="18"/>
                <w:szCs w:val="18"/>
              </w:rPr>
              <w:t>Average</w:t>
            </w:r>
          </w:p>
        </w:tc>
        <w:tc>
          <w:tcPr>
            <w:tcW w:w="0" w:type="auto"/>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18"/>
                <w:szCs w:val="18"/>
              </w:rPr>
            </w:pPr>
            <w:r>
              <w:rPr>
                <w:b/>
                <w:bCs/>
                <w:color w:val="000000"/>
                <w:sz w:val="18"/>
                <w:szCs w:val="18"/>
              </w:rPr>
              <w:t>Income/</w:t>
            </w:r>
          </w:p>
        </w:tc>
        <w:tc>
          <w:tcPr>
            <w:tcW w:w="0" w:type="auto"/>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cente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18"/>
                <w:szCs w:val="18"/>
              </w:rPr>
            </w:pPr>
            <w:r>
              <w:rPr>
                <w:b/>
                <w:bCs/>
                <w:color w:val="000000"/>
                <w:sz w:val="18"/>
                <w:szCs w:val="18"/>
              </w:rPr>
              <w:t>Average</w:t>
            </w:r>
          </w:p>
        </w:tc>
        <w:tc>
          <w:tcPr>
            <w:tcW w:w="0" w:type="auto"/>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18"/>
                <w:szCs w:val="18"/>
              </w:rPr>
            </w:pPr>
            <w:r>
              <w:rPr>
                <w:b/>
                <w:bCs/>
                <w:color w:val="000000"/>
                <w:sz w:val="18"/>
                <w:szCs w:val="18"/>
              </w:rPr>
              <w:t>Income/</w:t>
            </w:r>
          </w:p>
        </w:tc>
        <w:tc>
          <w:tcPr>
            <w:tcW w:w="0" w:type="auto"/>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cente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18"/>
                <w:szCs w:val="18"/>
              </w:rPr>
            </w:pPr>
            <w:r>
              <w:rPr>
                <w:b/>
                <w:bCs/>
                <w:color w:val="000000"/>
                <w:sz w:val="18"/>
                <w:szCs w:val="18"/>
              </w:rPr>
              <w:t>Average</w:t>
            </w:r>
          </w:p>
        </w:tc>
        <w:tc>
          <w:tcPr>
            <w:tcW w:w="0" w:type="auto"/>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18"/>
                <w:szCs w:val="18"/>
              </w:rPr>
            </w:pPr>
            <w:r>
              <w:rPr>
                <w:b/>
                <w:bCs/>
                <w:color w:val="000000"/>
                <w:sz w:val="18"/>
                <w:szCs w:val="18"/>
              </w:rPr>
              <w:t>Income/</w:t>
            </w:r>
          </w:p>
        </w:tc>
        <w:tc>
          <w:tcPr>
            <w:tcW w:w="0" w:type="auto"/>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cente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18"/>
                <w:szCs w:val="18"/>
              </w:rPr>
            </w:pPr>
            <w:r>
              <w:rPr>
                <w:b/>
                <w:bCs/>
                <w:color w:val="000000"/>
                <w:sz w:val="18"/>
                <w:szCs w:val="18"/>
              </w:rPr>
              <w:t>Balance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0" w:type="auto"/>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18"/>
                <w:szCs w:val="18"/>
              </w:rPr>
            </w:pPr>
            <w:r>
              <w:rPr>
                <w:b/>
                <w:bCs/>
                <w:color w:val="000000"/>
                <w:sz w:val="18"/>
                <w:szCs w:val="18"/>
              </w:rPr>
              <w:t>Expense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0" w:type="auto"/>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18"/>
                <w:szCs w:val="18"/>
              </w:rPr>
            </w:pPr>
            <w:r>
              <w:rPr>
                <w:b/>
                <w:bCs/>
                <w:color w:val="000000"/>
                <w:sz w:val="18"/>
                <w:szCs w:val="18"/>
              </w:rPr>
              <w:t>Yield/ Rate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0" w:type="auto"/>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18"/>
                <w:szCs w:val="18"/>
              </w:rPr>
            </w:pPr>
            <w:r>
              <w:rPr>
                <w:b/>
                <w:bCs/>
                <w:color w:val="000000"/>
                <w:sz w:val="18"/>
                <w:szCs w:val="18"/>
              </w:rPr>
              <w:t>Balance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0" w:type="auto"/>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18"/>
                <w:szCs w:val="18"/>
              </w:rPr>
            </w:pPr>
            <w:r>
              <w:rPr>
                <w:b/>
                <w:bCs/>
                <w:color w:val="000000"/>
                <w:sz w:val="18"/>
                <w:szCs w:val="18"/>
              </w:rPr>
              <w:t>Expense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0" w:type="auto"/>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18"/>
                <w:szCs w:val="18"/>
              </w:rPr>
            </w:pPr>
            <w:r>
              <w:rPr>
                <w:b/>
                <w:bCs/>
                <w:color w:val="000000"/>
                <w:sz w:val="18"/>
                <w:szCs w:val="18"/>
              </w:rPr>
              <w:t>Yield/ Rate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0" w:type="auto"/>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18"/>
                <w:szCs w:val="18"/>
              </w:rPr>
            </w:pPr>
            <w:r>
              <w:rPr>
                <w:b/>
                <w:bCs/>
                <w:color w:val="000000"/>
                <w:sz w:val="18"/>
                <w:szCs w:val="18"/>
              </w:rPr>
              <w:t>Balance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0" w:type="auto"/>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18"/>
                <w:szCs w:val="18"/>
              </w:rPr>
            </w:pPr>
            <w:r>
              <w:rPr>
                <w:b/>
                <w:bCs/>
                <w:color w:val="000000"/>
                <w:sz w:val="18"/>
                <w:szCs w:val="18"/>
              </w:rPr>
              <w:t>Expense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0" w:type="auto"/>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18"/>
                <w:szCs w:val="18"/>
              </w:rPr>
            </w:pPr>
            <w:r>
              <w:rPr>
                <w:b/>
                <w:bCs/>
                <w:color w:val="000000"/>
                <w:sz w:val="18"/>
                <w:szCs w:val="18"/>
              </w:rPr>
              <w:t>Yield/ Rate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r>
      <w:tr w:rsidR="0048389A">
        <w:tc>
          <w:tcPr>
            <w:tcW w:w="950" w:type="pct"/>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Assets</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Interest-earning assets:</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Loans</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1,923,960</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23,220</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4.79</w:t>
            </w:r>
          </w:p>
        </w:tc>
        <w:tc>
          <w:tcPr>
            <w:tcW w:w="50" w:type="pct"/>
            <w:noWrap/>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1,940,513</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23,135</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4.78</w:t>
            </w:r>
          </w:p>
        </w:tc>
        <w:tc>
          <w:tcPr>
            <w:tcW w:w="50" w:type="pct"/>
            <w:noWrap/>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1,816,014</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21,866</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4.79</w:t>
            </w:r>
          </w:p>
        </w:tc>
        <w:tc>
          <w:tcPr>
            <w:tcW w:w="50" w:type="pct"/>
            <w:noWrap/>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Securities:</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ind w:left="180"/>
              <w:rPr>
                <w:color w:val="000000"/>
                <w:sz w:val="18"/>
                <w:szCs w:val="18"/>
              </w:rPr>
            </w:pPr>
            <w:r>
              <w:rPr>
                <w:color w:val="000000"/>
                <w:sz w:val="18"/>
                <w:szCs w:val="18"/>
              </w:rPr>
              <w:t>Taxable</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262,751</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892</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1.35</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283,318</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860</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1.22</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262,088</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1,199</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1.82</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r>
      <w:tr w:rsidR="0048389A">
        <w:tc>
          <w:tcPr>
            <w:tcW w:w="0" w:type="auto"/>
            <w:tcMar>
              <w:top w:w="5" w:type="dxa"/>
              <w:left w:w="5" w:type="dxa"/>
              <w:bottom w:w="5" w:type="dxa"/>
              <w:right w:w="5" w:type="dxa"/>
            </w:tcMar>
            <w:vAlign w:val="bottom"/>
            <w:hideMark/>
          </w:tcPr>
          <w:p w:rsidR="0048389A" w:rsidRDefault="006A750F">
            <w:pPr>
              <w:ind w:left="180"/>
              <w:rPr>
                <w:color w:val="000000"/>
                <w:sz w:val="18"/>
                <w:szCs w:val="18"/>
              </w:rPr>
            </w:pPr>
            <w:r>
              <w:rPr>
                <w:color w:val="000000"/>
                <w:sz w:val="18"/>
                <w:szCs w:val="18"/>
              </w:rPr>
              <w:t>Tax-exempt</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18,499</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129</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2.76</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22,061</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149</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2.71</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22,504</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157</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2.77</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Interest-bearing balances with banks</w:t>
            </w: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276,860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232</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0.33</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195,476</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203</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0.42</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49,340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172</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1.39</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Total interest-earning assets</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2,482,070</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24,473</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3.91</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2,441,368</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24,347</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4.00</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2,149,946</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23,394</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4.33</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Cash and due from banks</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38,511</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40,639</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28,225</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Intangible assets</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44,040</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44,727</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32,563</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Other assets</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142,608</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143,774</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126,581</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Allowance for loan losses</w:t>
            </w: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(20,517</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18"/>
                <w:szCs w:val="18"/>
              </w:rPr>
            </w:pPr>
            <w:r>
              <w:rPr>
                <w:color w:val="000000"/>
                <w:sz w:val="18"/>
                <w:szCs w:val="18"/>
              </w:rPr>
              <w:t>)</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(20,458</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18"/>
                <w:szCs w:val="18"/>
              </w:rPr>
            </w:pPr>
            <w:r>
              <w:rPr>
                <w:color w:val="000000"/>
                <w:sz w:val="18"/>
                <w:szCs w:val="18"/>
              </w:rPr>
              <w:t>)</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(16,814</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18"/>
                <w:szCs w:val="18"/>
              </w:rPr>
            </w:pPr>
            <w:r>
              <w:rPr>
                <w:color w:val="000000"/>
                <w:sz w:val="18"/>
                <w:szCs w:val="18"/>
              </w:rPr>
              <w:t>)</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ind w:left="360"/>
              <w:rPr>
                <w:color w:val="000000"/>
                <w:sz w:val="18"/>
                <w:szCs w:val="18"/>
              </w:rPr>
            </w:pPr>
            <w:r>
              <w:rPr>
                <w:color w:val="000000"/>
                <w:sz w:val="18"/>
                <w:szCs w:val="18"/>
              </w:rPr>
              <w:t>Total assets</w:t>
            </w:r>
          </w:p>
        </w:tc>
        <w:tc>
          <w:tcPr>
            <w:tcW w:w="50" w:type="pct"/>
            <w:tcMar>
              <w:top w:w="5" w:type="dxa"/>
              <w:left w:w="5" w:type="dxa"/>
              <w:bottom w:w="5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18"/>
                <w:szCs w:val="18"/>
              </w:rPr>
            </w:pPr>
            <w:r>
              <w:rPr>
                <w:color w:val="000000"/>
                <w:sz w:val="18"/>
                <w:szCs w:val="18"/>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18"/>
                <w:szCs w:val="18"/>
              </w:rPr>
            </w:pPr>
            <w:r>
              <w:rPr>
                <w:color w:val="000000"/>
                <w:sz w:val="18"/>
                <w:szCs w:val="18"/>
              </w:rPr>
              <w:t>2,686,712</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18"/>
                <w:szCs w:val="18"/>
              </w:rPr>
            </w:pPr>
            <w:r>
              <w:rPr>
                <w:color w:val="000000"/>
                <w:sz w:val="18"/>
                <w:szCs w:val="18"/>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18"/>
                <w:szCs w:val="18"/>
              </w:rPr>
            </w:pPr>
            <w:r>
              <w:rPr>
                <w:color w:val="000000"/>
                <w:sz w:val="18"/>
                <w:szCs w:val="18"/>
              </w:rPr>
              <w:t>2,650,050</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18"/>
                <w:szCs w:val="18"/>
              </w:rPr>
            </w:pPr>
            <w:r>
              <w:rPr>
                <w:color w:val="000000"/>
                <w:sz w:val="18"/>
                <w:szCs w:val="18"/>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18"/>
                <w:szCs w:val="18"/>
              </w:rPr>
            </w:pPr>
            <w:r>
              <w:rPr>
                <w:color w:val="000000"/>
                <w:sz w:val="18"/>
                <w:szCs w:val="18"/>
              </w:rPr>
              <w:t>2,320,501</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Liabilities and stockholders’ equity</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b/>
                <w:bCs/>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Interest-bearing liabilities:</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Deposits:</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ind w:left="180"/>
              <w:rPr>
                <w:color w:val="000000"/>
                <w:sz w:val="18"/>
                <w:szCs w:val="18"/>
              </w:rPr>
            </w:pPr>
            <w:r>
              <w:rPr>
                <w:color w:val="000000"/>
                <w:sz w:val="18"/>
                <w:szCs w:val="18"/>
              </w:rPr>
              <w:t>Interest-bearing demand deposits</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901,146</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599</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0.26</w:t>
            </w:r>
          </w:p>
        </w:tc>
        <w:tc>
          <w:tcPr>
            <w:tcW w:w="50" w:type="pct"/>
            <w:noWrap/>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854,504</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701</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0.33</w:t>
            </w:r>
          </w:p>
        </w:tc>
        <w:tc>
          <w:tcPr>
            <w:tcW w:w="50" w:type="pct"/>
            <w:noWrap/>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627,715</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755</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0.48</w:t>
            </w:r>
          </w:p>
        </w:tc>
        <w:tc>
          <w:tcPr>
            <w:tcW w:w="50" w:type="pct"/>
            <w:noWrap/>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w:t>
            </w:r>
          </w:p>
        </w:tc>
      </w:tr>
      <w:tr w:rsidR="0048389A">
        <w:tc>
          <w:tcPr>
            <w:tcW w:w="0" w:type="auto"/>
            <w:tcMar>
              <w:top w:w="5" w:type="dxa"/>
              <w:left w:w="5" w:type="dxa"/>
              <w:bottom w:w="5" w:type="dxa"/>
              <w:right w:w="5" w:type="dxa"/>
            </w:tcMar>
            <w:vAlign w:val="bottom"/>
            <w:hideMark/>
          </w:tcPr>
          <w:p w:rsidR="0048389A" w:rsidRDefault="006A750F">
            <w:pPr>
              <w:ind w:left="180"/>
              <w:rPr>
                <w:color w:val="000000"/>
                <w:sz w:val="18"/>
                <w:szCs w:val="18"/>
              </w:rPr>
            </w:pPr>
            <w:r>
              <w:rPr>
                <w:color w:val="000000"/>
                <w:sz w:val="18"/>
                <w:szCs w:val="18"/>
              </w:rPr>
              <w:t>Brokered deposits</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112,601</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264</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0.93</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97,245</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240</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0.99</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r>
      <w:tr w:rsidR="0048389A">
        <w:tc>
          <w:tcPr>
            <w:tcW w:w="0" w:type="auto"/>
            <w:tcMar>
              <w:top w:w="5" w:type="dxa"/>
              <w:left w:w="5" w:type="dxa"/>
              <w:bottom w:w="5" w:type="dxa"/>
              <w:right w:w="5" w:type="dxa"/>
            </w:tcMar>
            <w:vAlign w:val="bottom"/>
            <w:hideMark/>
          </w:tcPr>
          <w:p w:rsidR="0048389A" w:rsidRDefault="006A750F">
            <w:pPr>
              <w:ind w:left="180"/>
              <w:rPr>
                <w:color w:val="000000"/>
                <w:sz w:val="18"/>
                <w:szCs w:val="18"/>
              </w:rPr>
            </w:pPr>
            <w:r>
              <w:rPr>
                <w:color w:val="000000"/>
                <w:sz w:val="18"/>
                <w:szCs w:val="18"/>
              </w:rPr>
              <w:t>Savings deposits</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173,971</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67</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0.15</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173,553</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71</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0.16</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133,701</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91</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0.27</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r>
      <w:tr w:rsidR="0048389A">
        <w:tc>
          <w:tcPr>
            <w:tcW w:w="0" w:type="auto"/>
            <w:tcMar>
              <w:top w:w="5" w:type="dxa"/>
              <w:left w:w="5" w:type="dxa"/>
              <w:bottom w:w="5" w:type="dxa"/>
              <w:right w:w="5" w:type="dxa"/>
            </w:tcMar>
            <w:vAlign w:val="bottom"/>
            <w:hideMark/>
          </w:tcPr>
          <w:p w:rsidR="0048389A" w:rsidRDefault="006A750F">
            <w:pPr>
              <w:ind w:left="180"/>
              <w:rPr>
                <w:color w:val="000000"/>
                <w:sz w:val="18"/>
                <w:szCs w:val="18"/>
              </w:rPr>
            </w:pPr>
            <w:r>
              <w:rPr>
                <w:color w:val="000000"/>
                <w:sz w:val="18"/>
                <w:szCs w:val="18"/>
              </w:rPr>
              <w:t>Time deposits</w:t>
            </w: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503,600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924</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0.73</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552,169</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1,102</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0.80</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629,027</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2,558</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1.62</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Total interest-bearing deposits</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1,691,318</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1,854</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0.43</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1,677,471</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2,114</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0.51</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1,390,443</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3,404</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0.97</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Short-term borrowings</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9,136</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5</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0.21</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10,030</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5</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0.21</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95,316</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248</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1.03</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Long-term debt</w:t>
            </w: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129,786</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1,066</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3.26</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130,245</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1,063</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3.27</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127,290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1,036</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3.24</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Total interest-bearing liabilities</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1,830,240</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2,925</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0.63</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1,817,746</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3,182</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0.70</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1,613,049</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4,688</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1.16</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Noninterest-bearing deposits</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581,397</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559,431</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445,725</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Other liabilities</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20,459</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21,080</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 w:type="dxa"/>
              <w:right w:w="5" w:type="dxa"/>
            </w:tcMar>
            <w:vAlign w:val="bottom"/>
            <w:hideMark/>
          </w:tcPr>
          <w:p w:rsidR="0048389A" w:rsidRDefault="0048389A">
            <w:pPr>
              <w:rPr>
                <w:color w:val="000000"/>
                <w:sz w:val="18"/>
                <w:szCs w:val="18"/>
              </w:rPr>
            </w:pPr>
          </w:p>
        </w:tc>
        <w:tc>
          <w:tcPr>
            <w:tcW w:w="300" w:type="pct"/>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21,905</w:t>
            </w:r>
          </w:p>
        </w:tc>
        <w:tc>
          <w:tcPr>
            <w:tcW w:w="50" w:type="pct"/>
            <w:noWrap/>
            <w:tcMar>
              <w:top w:w="5" w:type="dxa"/>
              <w:left w:w="5" w:type="dxa"/>
              <w:bottom w:w="5"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Stockholders’ equity</w:t>
            </w: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254,616</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251,793</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18"/>
                <w:szCs w:val="18"/>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239,822</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18"/>
                <w:szCs w:val="18"/>
              </w:rPr>
            </w:pP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ind w:left="180"/>
              <w:rPr>
                <w:color w:val="000000"/>
                <w:sz w:val="18"/>
                <w:szCs w:val="18"/>
              </w:rPr>
            </w:pPr>
            <w:r>
              <w:rPr>
                <w:color w:val="000000"/>
                <w:sz w:val="18"/>
                <w:szCs w:val="18"/>
              </w:rPr>
              <w:t>Total liability and stockholders’ equity</w:t>
            </w:r>
          </w:p>
        </w:tc>
        <w:tc>
          <w:tcPr>
            <w:tcW w:w="50" w:type="pct"/>
            <w:tcMar>
              <w:top w:w="5" w:type="dxa"/>
              <w:left w:w="5" w:type="dxa"/>
              <w:bottom w:w="5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18"/>
                <w:szCs w:val="18"/>
              </w:rPr>
            </w:pPr>
            <w:r>
              <w:rPr>
                <w:color w:val="000000"/>
                <w:sz w:val="18"/>
                <w:szCs w:val="18"/>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18"/>
                <w:szCs w:val="18"/>
              </w:rPr>
            </w:pPr>
            <w:r>
              <w:rPr>
                <w:color w:val="000000"/>
                <w:sz w:val="18"/>
                <w:szCs w:val="18"/>
              </w:rPr>
              <w:t>2,686,712</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18"/>
                <w:szCs w:val="18"/>
              </w:rPr>
            </w:pPr>
          </w:p>
        </w:tc>
        <w:tc>
          <w:tcPr>
            <w:tcW w:w="0" w:type="auto"/>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rPr>
                <w:color w:val="000000"/>
                <w:sz w:val="18"/>
                <w:szCs w:val="18"/>
              </w:rPr>
            </w:pPr>
            <w:r>
              <w:rPr>
                <w:color w:val="000000"/>
                <w:sz w:val="18"/>
                <w:szCs w:val="18"/>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18"/>
                <w:szCs w:val="18"/>
              </w:rPr>
            </w:pPr>
            <w:r>
              <w:rPr>
                <w:color w:val="000000"/>
                <w:sz w:val="18"/>
                <w:szCs w:val="18"/>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18"/>
                <w:szCs w:val="18"/>
              </w:rPr>
            </w:pPr>
            <w:r>
              <w:rPr>
                <w:color w:val="000000"/>
                <w:sz w:val="18"/>
                <w:szCs w:val="18"/>
              </w:rPr>
              <w:t>2,650,050</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18"/>
                <w:szCs w:val="18"/>
              </w:rPr>
            </w:pPr>
          </w:p>
        </w:tc>
        <w:tc>
          <w:tcPr>
            <w:tcW w:w="0" w:type="auto"/>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rPr>
                <w:color w:val="000000"/>
                <w:sz w:val="18"/>
                <w:szCs w:val="18"/>
              </w:rPr>
            </w:pPr>
            <w:r>
              <w:rPr>
                <w:color w:val="000000"/>
                <w:sz w:val="18"/>
                <w:szCs w:val="18"/>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18"/>
                <w:szCs w:val="18"/>
              </w:rPr>
            </w:pPr>
            <w:r>
              <w:rPr>
                <w:color w:val="000000"/>
                <w:sz w:val="18"/>
                <w:szCs w:val="18"/>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18"/>
                <w:szCs w:val="18"/>
              </w:rPr>
            </w:pPr>
            <w:r>
              <w:rPr>
                <w:color w:val="000000"/>
                <w:sz w:val="18"/>
                <w:szCs w:val="18"/>
              </w:rPr>
              <w:t>2,320,501</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18"/>
                <w:szCs w:val="18"/>
              </w:rPr>
            </w:pPr>
          </w:p>
        </w:tc>
        <w:tc>
          <w:tcPr>
            <w:tcW w:w="0" w:type="auto"/>
            <w:tcMar>
              <w:top w:w="5" w:type="dxa"/>
              <w:left w:w="5" w:type="dxa"/>
              <w:bottom w:w="20" w:type="dxa"/>
              <w:right w:w="5" w:type="dxa"/>
            </w:tcMar>
            <w:vAlign w:val="bottom"/>
            <w:hideMark/>
          </w:tcPr>
          <w:p w:rsidR="0048389A" w:rsidRDefault="006A750F">
            <w:pPr>
              <w:rPr>
                <w:color w:val="000000"/>
                <w:sz w:val="18"/>
                <w:szCs w:val="18"/>
              </w:rPr>
            </w:pPr>
            <w:r>
              <w:rPr>
                <w:color w:val="000000"/>
                <w:sz w:val="18"/>
                <w:szCs w:val="18"/>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rPr>
                <w:color w:val="000000"/>
                <w:sz w:val="18"/>
                <w:szCs w:val="18"/>
              </w:rPr>
            </w:pPr>
            <w:r>
              <w:rPr>
                <w:color w:val="000000"/>
                <w:sz w:val="18"/>
                <w:szCs w:val="18"/>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r>
      <w:tr w:rsidR="0048389A">
        <w:tc>
          <w:tcPr>
            <w:tcW w:w="0" w:type="auto"/>
            <w:tcMar>
              <w:top w:w="5" w:type="dxa"/>
              <w:left w:w="5" w:type="dxa"/>
              <w:bottom w:w="5" w:type="dxa"/>
              <w:right w:w="5" w:type="dxa"/>
            </w:tcMar>
            <w:vAlign w:val="bottom"/>
            <w:hideMark/>
          </w:tcPr>
          <w:p w:rsidR="0048389A" w:rsidRDefault="006A750F">
            <w:pPr>
              <w:ind w:left="360"/>
              <w:rPr>
                <w:color w:val="000000"/>
                <w:sz w:val="18"/>
                <w:szCs w:val="18"/>
              </w:rPr>
            </w:pPr>
            <w:r>
              <w:rPr>
                <w:color w:val="000000"/>
                <w:sz w:val="18"/>
                <w:szCs w:val="18"/>
              </w:rPr>
              <w:t>Net interest income/net interest margin</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18"/>
                <w:szCs w:val="18"/>
              </w:rPr>
            </w:pPr>
            <w:r>
              <w:rPr>
                <w:color w:val="000000"/>
                <w:sz w:val="18"/>
                <w:szCs w:val="18"/>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18"/>
                <w:szCs w:val="18"/>
              </w:rPr>
            </w:pPr>
            <w:r>
              <w:rPr>
                <w:color w:val="000000"/>
                <w:sz w:val="18"/>
                <w:szCs w:val="18"/>
              </w:rPr>
              <w:t>21,548</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18"/>
                <w:szCs w:val="18"/>
              </w:rPr>
            </w:pPr>
          </w:p>
        </w:tc>
        <w:tc>
          <w:tcPr>
            <w:tcW w:w="50" w:type="pct"/>
            <w:tcMar>
              <w:top w:w="5" w:type="dxa"/>
              <w:left w:w="5" w:type="dxa"/>
              <w:bottom w:w="5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18"/>
                <w:szCs w:val="18"/>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18"/>
                <w:szCs w:val="18"/>
              </w:rPr>
            </w:pPr>
            <w:r>
              <w:rPr>
                <w:color w:val="000000"/>
                <w:sz w:val="18"/>
                <w:szCs w:val="18"/>
              </w:rPr>
              <w:t>3.44</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18"/>
                <w:szCs w:val="18"/>
              </w:rPr>
            </w:pPr>
            <w:r>
              <w:rPr>
                <w:color w:val="000000"/>
                <w:sz w:val="18"/>
                <w:szCs w:val="18"/>
              </w:rPr>
              <w:t>%</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18"/>
                <w:szCs w:val="18"/>
              </w:rPr>
            </w:pPr>
            <w:r>
              <w:rPr>
                <w:color w:val="000000"/>
                <w:sz w:val="18"/>
                <w:szCs w:val="18"/>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18"/>
                <w:szCs w:val="18"/>
              </w:rPr>
            </w:pPr>
            <w:r>
              <w:rPr>
                <w:color w:val="000000"/>
                <w:sz w:val="18"/>
                <w:szCs w:val="18"/>
              </w:rPr>
              <w:t>21,165</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18"/>
                <w:szCs w:val="18"/>
              </w:rPr>
            </w:pPr>
          </w:p>
        </w:tc>
        <w:tc>
          <w:tcPr>
            <w:tcW w:w="50" w:type="pct"/>
            <w:tcMar>
              <w:top w:w="5" w:type="dxa"/>
              <w:left w:w="5" w:type="dxa"/>
              <w:bottom w:w="5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18"/>
                <w:szCs w:val="18"/>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18"/>
                <w:szCs w:val="18"/>
              </w:rPr>
            </w:pPr>
            <w:r>
              <w:rPr>
                <w:color w:val="000000"/>
                <w:sz w:val="18"/>
                <w:szCs w:val="18"/>
              </w:rPr>
              <w:t>3.48</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18"/>
                <w:szCs w:val="18"/>
              </w:rPr>
            </w:pPr>
            <w:r>
              <w:rPr>
                <w:color w:val="000000"/>
                <w:sz w:val="18"/>
                <w:szCs w:val="18"/>
              </w:rPr>
              <w:t>%</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jc w:val="right"/>
              <w:rPr>
                <w:color w:val="000000"/>
                <w:sz w:val="18"/>
                <w:szCs w:val="18"/>
              </w:rPr>
            </w:pPr>
            <w:r>
              <w:rPr>
                <w:color w:val="000000"/>
                <w:sz w:val="18"/>
                <w:szCs w:val="18"/>
              </w:rPr>
              <w:t> </w:t>
            </w:r>
          </w:p>
        </w:tc>
        <w:tc>
          <w:tcPr>
            <w:tcW w:w="0" w:type="auto"/>
            <w:tcMar>
              <w:top w:w="5" w:type="dxa"/>
              <w:left w:w="5" w:type="dxa"/>
              <w:bottom w:w="5" w:type="dxa"/>
              <w:right w:w="5" w:type="dxa"/>
            </w:tcMar>
            <w:vAlign w:val="bottom"/>
            <w:hideMark/>
          </w:tcPr>
          <w:p w:rsidR="0048389A" w:rsidRDefault="006A750F">
            <w:pPr>
              <w:rPr>
                <w:color w:val="000000"/>
                <w:sz w:val="18"/>
                <w:szCs w:val="18"/>
              </w:rPr>
            </w:pPr>
            <w:r>
              <w:rPr>
                <w:color w:val="000000"/>
                <w:sz w:val="18"/>
                <w:szCs w:val="18"/>
              </w:rPr>
              <w:t> </w:t>
            </w:r>
          </w:p>
        </w:tc>
        <w:tc>
          <w:tcPr>
            <w:tcW w:w="50" w:type="pct"/>
            <w:tcMar>
              <w:top w:w="5" w:type="dxa"/>
              <w:left w:w="5" w:type="dxa"/>
              <w:bottom w:w="5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18"/>
                <w:szCs w:val="18"/>
              </w:rPr>
            </w:pPr>
            <w:r>
              <w:rPr>
                <w:color w:val="000000"/>
                <w:sz w:val="18"/>
                <w:szCs w:val="18"/>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18"/>
                <w:szCs w:val="18"/>
              </w:rPr>
            </w:pPr>
            <w:r>
              <w:rPr>
                <w:color w:val="000000"/>
                <w:sz w:val="18"/>
                <w:szCs w:val="18"/>
              </w:rPr>
              <w:t>18,706</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18"/>
                <w:szCs w:val="18"/>
              </w:rPr>
            </w:pPr>
          </w:p>
        </w:tc>
        <w:tc>
          <w:tcPr>
            <w:tcW w:w="50" w:type="pct"/>
            <w:tcMar>
              <w:top w:w="5" w:type="dxa"/>
              <w:left w:w="5" w:type="dxa"/>
              <w:bottom w:w="50" w:type="dxa"/>
              <w:right w:w="5" w:type="dxa"/>
            </w:tcMar>
            <w:vAlign w:val="bottom"/>
            <w:hideMark/>
          </w:tcPr>
          <w:p w:rsidR="0048389A" w:rsidRDefault="006A750F">
            <w:pPr>
              <w:rPr>
                <w:color w:val="000000"/>
                <w:sz w:val="18"/>
                <w:szCs w:val="18"/>
              </w:rPr>
            </w:pPr>
            <w:r>
              <w:rPr>
                <w:color w:val="000000"/>
                <w:sz w:val="18"/>
                <w:szCs w:val="18"/>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18"/>
                <w:szCs w:val="18"/>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18"/>
                <w:szCs w:val="18"/>
              </w:rPr>
            </w:pPr>
            <w:r>
              <w:rPr>
                <w:color w:val="000000"/>
                <w:sz w:val="18"/>
                <w:szCs w:val="18"/>
              </w:rPr>
              <w:t>3.46</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18"/>
                <w:szCs w:val="18"/>
              </w:rPr>
            </w:pPr>
            <w:r>
              <w:rPr>
                <w:color w:val="000000"/>
                <w:sz w:val="18"/>
                <w:szCs w:val="18"/>
              </w:rPr>
              <w:t>%</w:t>
            </w:r>
          </w:p>
        </w:tc>
      </w:tr>
    </w:tbl>
    <w:p w:rsidR="0048389A" w:rsidRDefault="006A750F">
      <w:pPr>
        <w:ind w:left="144" w:right="144"/>
        <w:rPr>
          <w:sz w:val="20"/>
          <w:szCs w:val="20"/>
        </w:rPr>
      </w:pPr>
      <w:r>
        <w:rPr>
          <w:sz w:val="20"/>
          <w:szCs w:val="20"/>
        </w:rPr>
        <w:t> </w:t>
      </w:r>
    </w:p>
    <w:p w:rsidR="0048389A" w:rsidRDefault="006A750F">
      <w:pPr>
        <w:ind w:left="144" w:right="144"/>
        <w:jc w:val="center"/>
        <w:rPr>
          <w:sz w:val="20"/>
          <w:szCs w:val="20"/>
        </w:rPr>
      </w:pPr>
      <w:r>
        <w:rPr>
          <w:sz w:val="20"/>
          <w:szCs w:val="20"/>
        </w:rPr>
        <w:t> </w:t>
      </w:r>
    </w:p>
    <w:p w:rsidR="0048389A" w:rsidRDefault="006A750F">
      <w:pPr>
        <w:ind w:left="144" w:right="144"/>
        <w:rPr>
          <w:sz w:val="20"/>
          <w:szCs w:val="20"/>
        </w:rPr>
      </w:pPr>
      <w:r>
        <w:rPr>
          <w:sz w:val="20"/>
          <w:szCs w:val="20"/>
        </w:rPr>
        <w:br w:type="page"/>
      </w:r>
      <w:r w:rsidR="00406AA0">
        <w:rPr>
          <w:sz w:val="20"/>
          <w:szCs w:val="20"/>
        </w:rPr>
        <w:lastRenderedPageBreak/>
        <w:tab/>
      </w:r>
    </w:p>
    <w:tbl>
      <w:tblPr>
        <w:tblW w:w="5000" w:type="pct"/>
        <w:tblInd w:w="149" w:type="dxa"/>
        <w:tblCellMar>
          <w:left w:w="0" w:type="dxa"/>
          <w:right w:w="0" w:type="dxa"/>
        </w:tblCellMar>
        <w:tblLook w:val="04A0" w:firstRow="1" w:lastRow="0" w:firstColumn="1" w:lastColumn="0" w:noHBand="0" w:noVBand="1"/>
      </w:tblPr>
      <w:tblGrid>
        <w:gridCol w:w="10680"/>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48389A" w:rsidTr="00C44726">
        <w:tc>
          <w:tcPr>
            <w:tcW w:w="4944" w:type="pct"/>
            <w:tcMar>
              <w:top w:w="5" w:type="dxa"/>
              <w:left w:w="5" w:type="dxa"/>
              <w:bottom w:w="5" w:type="dxa"/>
              <w:right w:w="5" w:type="dxa"/>
            </w:tcMar>
            <w:vAlign w:val="center"/>
            <w:hideMark/>
          </w:tcPr>
          <w:p w:rsidR="0048389A" w:rsidRDefault="006A750F">
            <w:pPr>
              <w:jc w:val="center"/>
              <w:rPr>
                <w:color w:val="000000"/>
                <w:sz w:val="20"/>
                <w:szCs w:val="20"/>
              </w:rPr>
            </w:pPr>
            <w:r>
              <w:rPr>
                <w:sz w:val="20"/>
                <w:szCs w:val="20"/>
              </w:rPr>
              <w:t> </w:t>
            </w:r>
            <w:r>
              <w:rPr>
                <w:b/>
                <w:bCs/>
                <w:color w:val="000000"/>
                <w:sz w:val="20"/>
                <w:szCs w:val="20"/>
              </w:rPr>
              <w:t>INVESTAR HOLDING CORPORATION</w:t>
            </w: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r>
      <w:tr w:rsidR="0048389A" w:rsidTr="00C44726">
        <w:tc>
          <w:tcPr>
            <w:tcW w:w="5000" w:type="pct"/>
            <w:gridSpan w:val="21"/>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RECONCILIATION OF NON-GAAP FINANCIAL MEASURES</w:t>
            </w:r>
          </w:p>
        </w:tc>
      </w:tr>
      <w:tr w:rsidR="0048389A" w:rsidTr="00C44726">
        <w:tc>
          <w:tcPr>
            <w:tcW w:w="5000" w:type="pct"/>
            <w:gridSpan w:val="21"/>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INTEREST EARNED AND YIELD ANALYSIS ADJUSTED FOR PPP LOANS</w:t>
            </w:r>
          </w:p>
        </w:tc>
      </w:tr>
      <w:tr w:rsidR="0048389A">
        <w:tc>
          <w:tcPr>
            <w:tcW w:w="0" w:type="auto"/>
            <w:tcMar>
              <w:top w:w="5" w:type="dxa"/>
              <w:left w:w="5" w:type="dxa"/>
              <w:bottom w:w="5" w:type="dxa"/>
              <w:right w:w="5" w:type="dxa"/>
            </w:tcMar>
            <w:vAlign w:val="center"/>
            <w:hideMark/>
          </w:tcPr>
          <w:p w:rsidR="0048389A" w:rsidRDefault="006A750F">
            <w:pPr>
              <w:jc w:val="center"/>
              <w:rPr>
                <w:color w:val="000000"/>
                <w:sz w:val="20"/>
                <w:szCs w:val="20"/>
              </w:rPr>
            </w:pPr>
            <w:r>
              <w:rPr>
                <w:b/>
                <w:bCs/>
                <w:color w:val="000000"/>
                <w:sz w:val="20"/>
                <w:szCs w:val="20"/>
              </w:rPr>
              <w:t>(Amounts in thousands)</w:t>
            </w: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r>
      <w:tr w:rsidR="0048389A">
        <w:tc>
          <w:tcPr>
            <w:tcW w:w="0" w:type="auto"/>
            <w:tcMar>
              <w:top w:w="5" w:type="dxa"/>
              <w:left w:w="5" w:type="dxa"/>
              <w:bottom w:w="5" w:type="dxa"/>
              <w:right w:w="5" w:type="dxa"/>
            </w:tcMar>
            <w:vAlign w:val="center"/>
            <w:hideMark/>
          </w:tcPr>
          <w:p w:rsidR="0048389A" w:rsidRDefault="006A750F">
            <w:pPr>
              <w:jc w:val="center"/>
              <w:rPr>
                <w:color w:val="000000"/>
                <w:sz w:val="20"/>
                <w:szCs w:val="20"/>
              </w:rPr>
            </w:pPr>
            <w:r>
              <w:rPr>
                <w:b/>
                <w:bCs/>
                <w:color w:val="000000"/>
                <w:sz w:val="20"/>
                <w:szCs w:val="20"/>
              </w:rPr>
              <w:t>(Unaudited)</w:t>
            </w: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c>
          <w:tcPr>
            <w:tcW w:w="0" w:type="auto"/>
            <w:vAlign w:val="center"/>
            <w:hideMark/>
          </w:tcPr>
          <w:p w:rsidR="0048389A" w:rsidRDefault="0048389A">
            <w:pPr>
              <w:rPr>
                <w:b/>
                <w:bCs/>
                <w:color w:val="000000"/>
                <w:sz w:val="20"/>
                <w:szCs w:val="20"/>
              </w:rPr>
            </w:pPr>
          </w:p>
        </w:tc>
      </w:tr>
    </w:tbl>
    <w:p w:rsidR="0048389A" w:rsidRDefault="006A750F">
      <w:pPr>
        <w:ind w:left="144" w:right="144"/>
        <w:rPr>
          <w:sz w:val="20"/>
          <w:szCs w:val="20"/>
        </w:rPr>
      </w:pPr>
      <w:r>
        <w:rPr>
          <w:sz w:val="20"/>
          <w:szCs w:val="20"/>
        </w:rPr>
        <w:t> </w:t>
      </w:r>
    </w:p>
    <w:tbl>
      <w:tblPr>
        <w:tblStyle w:val="finTable"/>
        <w:tblW w:w="5000" w:type="pct"/>
        <w:tblInd w:w="149" w:type="dxa"/>
        <w:tblCellMar>
          <w:left w:w="0" w:type="dxa"/>
          <w:right w:w="0" w:type="dxa"/>
        </w:tblCellMar>
        <w:tblLook w:val="05E0" w:firstRow="1" w:lastRow="1" w:firstColumn="1" w:lastColumn="1" w:noHBand="0" w:noVBand="1"/>
      </w:tblPr>
      <w:tblGrid>
        <w:gridCol w:w="2023"/>
        <w:gridCol w:w="79"/>
        <w:gridCol w:w="110"/>
        <w:gridCol w:w="810"/>
        <w:gridCol w:w="79"/>
        <w:gridCol w:w="79"/>
        <w:gridCol w:w="113"/>
        <w:gridCol w:w="619"/>
        <w:gridCol w:w="79"/>
        <w:gridCol w:w="79"/>
        <w:gridCol w:w="79"/>
        <w:gridCol w:w="619"/>
        <w:gridCol w:w="177"/>
        <w:gridCol w:w="79"/>
        <w:gridCol w:w="110"/>
        <w:gridCol w:w="810"/>
        <w:gridCol w:w="79"/>
        <w:gridCol w:w="79"/>
        <w:gridCol w:w="113"/>
        <w:gridCol w:w="619"/>
        <w:gridCol w:w="79"/>
        <w:gridCol w:w="80"/>
        <w:gridCol w:w="80"/>
        <w:gridCol w:w="620"/>
        <w:gridCol w:w="177"/>
        <w:gridCol w:w="80"/>
        <w:gridCol w:w="110"/>
        <w:gridCol w:w="810"/>
        <w:gridCol w:w="80"/>
        <w:gridCol w:w="80"/>
        <w:gridCol w:w="113"/>
        <w:gridCol w:w="620"/>
        <w:gridCol w:w="80"/>
        <w:gridCol w:w="80"/>
        <w:gridCol w:w="80"/>
        <w:gridCol w:w="620"/>
        <w:gridCol w:w="177"/>
      </w:tblGrid>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650" w:type="pct"/>
            <w:gridSpan w:val="34"/>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For the three months ended</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r>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950" w:type="pct"/>
            <w:gridSpan w:val="10"/>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September 30, 2021</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950" w:type="pct"/>
            <w:gridSpan w:val="10"/>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June 30, 2021</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950" w:type="pct"/>
            <w:gridSpan w:val="10"/>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September 30, 2020</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r>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Interest</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Interest</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Interest</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Average</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Income/</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Average</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Income/</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Average</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Income/</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Balance</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Expense</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Yield/ Rate</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Balance</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Expense</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Yield/ Rate</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Balance</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Expense</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Yield/ Rate</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r>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Interest-earning assets: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Loans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1,923,960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23,220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4.79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1,940,513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23,135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4.78</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1,816,014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21,866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4.79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Adjustments: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950" w:type="pct"/>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PPP loans</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58,481</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1,309</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8.88</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96,045</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1,237</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5.17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114,679</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818</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2.84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Adjusted loans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1,865,479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21,911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4.66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1,844,468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21,898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4.76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1,701,335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21,048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4.92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Securities: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950" w:type="pct"/>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Taxable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262,751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892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283,318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860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262,088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1,199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950" w:type="pct"/>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Tax-exempt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18,499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22,061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149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22,504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Interest-bearing balances with banks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276,860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232</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0.33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195,476</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203</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0.42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49,340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172</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Adjusted interest-earning assets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2,423,589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23,164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3.79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2,345,323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23,110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3.95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2,035,267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22,576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4.41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interest-bearing liabilities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1,830,240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2,925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0.63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1,817,746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3,182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0.70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1,613,049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4,688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30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30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30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950" w:type="pct"/>
            <w:tcMar>
              <w:top w:w="5" w:type="dxa"/>
              <w:left w:w="5" w:type="dxa"/>
              <w:bottom w:w="5" w:type="dxa"/>
              <w:right w:w="5" w:type="dxa"/>
            </w:tcMar>
            <w:vAlign w:val="bottom"/>
            <w:hideMark/>
          </w:tcPr>
          <w:p w:rsidR="0048389A" w:rsidRDefault="006A750F">
            <w:pPr>
              <w:ind w:left="360"/>
              <w:rPr>
                <w:color w:val="000000"/>
                <w:sz w:val="20"/>
                <w:szCs w:val="20"/>
              </w:rPr>
            </w:pPr>
            <w:r>
              <w:rPr>
                <w:color w:val="000000"/>
                <w:sz w:val="20"/>
                <w:szCs w:val="20"/>
              </w:rPr>
              <w:t>Adjusted net interest income/adjusted net interest margin</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20,239</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3.31</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19,928</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3.41</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17,888</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3.50</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r>
    </w:tbl>
    <w:p w:rsidR="0048389A" w:rsidRDefault="006A750F">
      <w:pPr>
        <w:ind w:left="144" w:right="144"/>
        <w:rPr>
          <w:sz w:val="20"/>
          <w:szCs w:val="20"/>
        </w:rPr>
      </w:pPr>
      <w:r>
        <w:rPr>
          <w:sz w:val="20"/>
          <w:szCs w:val="20"/>
        </w:rPr>
        <w:t> </w:t>
      </w:r>
    </w:p>
    <w:p w:rsidR="0048389A" w:rsidRDefault="006A750F">
      <w:pPr>
        <w:ind w:left="144" w:right="144"/>
        <w:jc w:val="center"/>
        <w:rPr>
          <w:sz w:val="20"/>
          <w:szCs w:val="20"/>
        </w:rPr>
      </w:pPr>
      <w:r>
        <w:rPr>
          <w:sz w:val="20"/>
          <w:szCs w:val="20"/>
        </w:rPr>
        <w:t> </w:t>
      </w:r>
    </w:p>
    <w:p w:rsidR="0048389A" w:rsidRDefault="006A750F">
      <w:pPr>
        <w:ind w:left="144" w:right="144"/>
        <w:rPr>
          <w:sz w:val="20"/>
          <w:szCs w:val="20"/>
        </w:rPr>
      </w:pPr>
      <w:r>
        <w:rPr>
          <w:sz w:val="20"/>
          <w:szCs w:val="20"/>
        </w:rPr>
        <w:br w:type="page"/>
      </w:r>
      <w:r>
        <w:rPr>
          <w:sz w:val="20"/>
          <w:szCs w:val="20"/>
        </w:rPr>
        <w:lastRenderedPageBreak/>
        <w:t> </w:t>
      </w:r>
    </w:p>
    <w:tbl>
      <w:tblPr>
        <w:tblW w:w="5000" w:type="pct"/>
        <w:tblInd w:w="149" w:type="dxa"/>
        <w:tblCellMar>
          <w:left w:w="0" w:type="dxa"/>
          <w:right w:w="0" w:type="dxa"/>
        </w:tblCellMar>
        <w:tblLook w:val="04A0" w:firstRow="1" w:lastRow="0" w:firstColumn="1" w:lastColumn="0" w:noHBand="0" w:noVBand="1"/>
      </w:tblPr>
      <w:tblGrid>
        <w:gridCol w:w="10800"/>
      </w:tblGrid>
      <w:tr w:rsidR="0048389A">
        <w:tc>
          <w:tcPr>
            <w:tcW w:w="5000" w:type="pct"/>
            <w:tcMar>
              <w:top w:w="5" w:type="dxa"/>
              <w:left w:w="5" w:type="dxa"/>
              <w:bottom w:w="5" w:type="dxa"/>
              <w:right w:w="5" w:type="dxa"/>
            </w:tcMar>
            <w:vAlign w:val="center"/>
            <w:hideMark/>
          </w:tcPr>
          <w:p w:rsidR="0048389A" w:rsidRDefault="006A750F">
            <w:pPr>
              <w:jc w:val="center"/>
              <w:rPr>
                <w:color w:val="000000"/>
                <w:sz w:val="20"/>
                <w:szCs w:val="20"/>
              </w:rPr>
            </w:pPr>
            <w:r>
              <w:rPr>
                <w:b/>
                <w:bCs/>
                <w:color w:val="000000"/>
                <w:sz w:val="20"/>
                <w:szCs w:val="20"/>
              </w:rPr>
              <w:t>INVESTAR HOLDING CORPORATION</w:t>
            </w:r>
          </w:p>
        </w:tc>
      </w:tr>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RECONCILIATION OF NON-GAAP FINANCIAL MEASURES</w:t>
            </w:r>
          </w:p>
        </w:tc>
      </w:tr>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INTEREST EARNED AND YIELD ANALYSIS ADJUSTED FOR INTEREST ACCRETION, RECOVERIES AND ACCELERATED PPP INCOME</w:t>
            </w:r>
          </w:p>
        </w:tc>
      </w:tr>
      <w:tr w:rsidR="0048389A">
        <w:tc>
          <w:tcPr>
            <w:tcW w:w="0" w:type="auto"/>
            <w:tcMar>
              <w:top w:w="5" w:type="dxa"/>
              <w:left w:w="5" w:type="dxa"/>
              <w:bottom w:w="5" w:type="dxa"/>
              <w:right w:w="5" w:type="dxa"/>
            </w:tcMar>
            <w:vAlign w:val="center"/>
            <w:hideMark/>
          </w:tcPr>
          <w:p w:rsidR="0048389A" w:rsidRDefault="006A750F">
            <w:pPr>
              <w:jc w:val="center"/>
              <w:rPr>
                <w:color w:val="000000"/>
                <w:sz w:val="20"/>
                <w:szCs w:val="20"/>
              </w:rPr>
            </w:pPr>
            <w:r>
              <w:rPr>
                <w:b/>
                <w:bCs/>
                <w:color w:val="000000"/>
                <w:sz w:val="20"/>
                <w:szCs w:val="20"/>
              </w:rPr>
              <w:t>(Amounts in thousands)</w:t>
            </w:r>
          </w:p>
        </w:tc>
      </w:tr>
      <w:tr w:rsidR="0048389A">
        <w:tc>
          <w:tcPr>
            <w:tcW w:w="0" w:type="auto"/>
            <w:tcMar>
              <w:top w:w="5" w:type="dxa"/>
              <w:left w:w="5" w:type="dxa"/>
              <w:bottom w:w="5" w:type="dxa"/>
              <w:right w:w="5" w:type="dxa"/>
            </w:tcMar>
            <w:vAlign w:val="center"/>
            <w:hideMark/>
          </w:tcPr>
          <w:p w:rsidR="0048389A" w:rsidRDefault="006A750F">
            <w:pPr>
              <w:jc w:val="center"/>
              <w:rPr>
                <w:color w:val="000000"/>
                <w:sz w:val="20"/>
                <w:szCs w:val="20"/>
              </w:rPr>
            </w:pPr>
            <w:r>
              <w:rPr>
                <w:b/>
                <w:bCs/>
                <w:color w:val="000000"/>
                <w:sz w:val="20"/>
                <w:szCs w:val="20"/>
              </w:rPr>
              <w:t>(Unaudited)</w:t>
            </w:r>
          </w:p>
        </w:tc>
      </w:tr>
    </w:tbl>
    <w:p w:rsidR="0048389A" w:rsidRDefault="006A750F">
      <w:pPr>
        <w:ind w:left="144" w:right="144"/>
        <w:rPr>
          <w:sz w:val="20"/>
          <w:szCs w:val="20"/>
        </w:rPr>
      </w:pPr>
      <w:r>
        <w:rPr>
          <w:sz w:val="20"/>
          <w:szCs w:val="20"/>
        </w:rPr>
        <w:t> </w:t>
      </w:r>
    </w:p>
    <w:tbl>
      <w:tblPr>
        <w:tblStyle w:val="finTable"/>
        <w:tblW w:w="5000" w:type="pct"/>
        <w:tblInd w:w="149" w:type="dxa"/>
        <w:tblCellMar>
          <w:left w:w="0" w:type="dxa"/>
          <w:right w:w="0" w:type="dxa"/>
        </w:tblCellMar>
        <w:tblLook w:val="05E0" w:firstRow="1" w:lastRow="1" w:firstColumn="1" w:lastColumn="1" w:noHBand="0" w:noVBand="1"/>
      </w:tblPr>
      <w:tblGrid>
        <w:gridCol w:w="1993"/>
        <w:gridCol w:w="82"/>
        <w:gridCol w:w="110"/>
        <w:gridCol w:w="810"/>
        <w:gridCol w:w="83"/>
        <w:gridCol w:w="83"/>
        <w:gridCol w:w="113"/>
        <w:gridCol w:w="618"/>
        <w:gridCol w:w="79"/>
        <w:gridCol w:w="83"/>
        <w:gridCol w:w="83"/>
        <w:gridCol w:w="614"/>
        <w:gridCol w:w="177"/>
        <w:gridCol w:w="83"/>
        <w:gridCol w:w="110"/>
        <w:gridCol w:w="810"/>
        <w:gridCol w:w="83"/>
        <w:gridCol w:w="83"/>
        <w:gridCol w:w="113"/>
        <w:gridCol w:w="618"/>
        <w:gridCol w:w="79"/>
        <w:gridCol w:w="83"/>
        <w:gridCol w:w="83"/>
        <w:gridCol w:w="614"/>
        <w:gridCol w:w="177"/>
        <w:gridCol w:w="83"/>
        <w:gridCol w:w="110"/>
        <w:gridCol w:w="810"/>
        <w:gridCol w:w="83"/>
        <w:gridCol w:w="83"/>
        <w:gridCol w:w="113"/>
        <w:gridCol w:w="618"/>
        <w:gridCol w:w="79"/>
        <w:gridCol w:w="83"/>
        <w:gridCol w:w="83"/>
        <w:gridCol w:w="614"/>
        <w:gridCol w:w="177"/>
      </w:tblGrid>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34"/>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For the three months ended</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10"/>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September 30, 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10"/>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June 30, 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10"/>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September 30, 2020</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Interest</w:t>
            </w:r>
          </w:p>
        </w:tc>
        <w:tc>
          <w:tcPr>
            <w:tcW w:w="0" w:type="auto"/>
            <w:tcMar>
              <w:top w:w="5" w:type="dxa"/>
              <w:left w:w="5" w:type="dxa"/>
              <w:bottom w:w="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Interest</w:t>
            </w:r>
          </w:p>
        </w:tc>
        <w:tc>
          <w:tcPr>
            <w:tcW w:w="0" w:type="auto"/>
            <w:tcMar>
              <w:top w:w="5" w:type="dxa"/>
              <w:left w:w="5" w:type="dxa"/>
              <w:bottom w:w="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1515" w:type="dxa"/>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Interest</w:t>
            </w:r>
          </w:p>
        </w:tc>
        <w:tc>
          <w:tcPr>
            <w:tcW w:w="0" w:type="auto"/>
            <w:tcMar>
              <w:top w:w="5" w:type="dxa"/>
              <w:left w:w="5" w:type="dxa"/>
              <w:bottom w:w="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Average</w:t>
            </w:r>
          </w:p>
        </w:tc>
        <w:tc>
          <w:tcPr>
            <w:tcW w:w="0" w:type="auto"/>
            <w:tcMar>
              <w:top w:w="5" w:type="dxa"/>
              <w:left w:w="5" w:type="dxa"/>
              <w:bottom w:w="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Income/</w:t>
            </w:r>
          </w:p>
        </w:tc>
        <w:tc>
          <w:tcPr>
            <w:tcW w:w="0" w:type="auto"/>
            <w:tcMar>
              <w:top w:w="5" w:type="dxa"/>
              <w:left w:w="5" w:type="dxa"/>
              <w:bottom w:w="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Average</w:t>
            </w:r>
          </w:p>
        </w:tc>
        <w:tc>
          <w:tcPr>
            <w:tcW w:w="0" w:type="auto"/>
            <w:tcMar>
              <w:top w:w="5" w:type="dxa"/>
              <w:left w:w="5" w:type="dxa"/>
              <w:bottom w:w="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Income/</w:t>
            </w:r>
          </w:p>
        </w:tc>
        <w:tc>
          <w:tcPr>
            <w:tcW w:w="0" w:type="auto"/>
            <w:tcMar>
              <w:top w:w="5" w:type="dxa"/>
              <w:left w:w="5" w:type="dxa"/>
              <w:bottom w:w="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Average</w:t>
            </w:r>
          </w:p>
        </w:tc>
        <w:tc>
          <w:tcPr>
            <w:tcW w:w="0" w:type="auto"/>
            <w:tcMar>
              <w:top w:w="5" w:type="dxa"/>
              <w:left w:w="5" w:type="dxa"/>
              <w:bottom w:w="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Income/</w:t>
            </w:r>
          </w:p>
        </w:tc>
        <w:tc>
          <w:tcPr>
            <w:tcW w:w="0" w:type="auto"/>
            <w:tcMar>
              <w:top w:w="5" w:type="dxa"/>
              <w:left w:w="5" w:type="dxa"/>
              <w:bottom w:w="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cente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Balance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Expense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Yield/ Rate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Balance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Expense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Yield/ Rate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Balance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Expense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Yield/ Rate</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r>
      <w:tr w:rsidR="0048389A">
        <w:tc>
          <w:tcPr>
            <w:tcW w:w="9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Interest-earning assets: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151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Loans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1,923,960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23,220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4.79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1,940,513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23,135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4.78</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1515" w:type="dxa"/>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1,816,014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21,866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4.79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Adjustments: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151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Accelerated fee income for forgiven or paid off PPP loans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1,001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556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151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Interest recoveries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1515" w:type="dxa"/>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Accretion</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298</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532</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1515" w:type="dxa"/>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200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Adjusted Loans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1,923,960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21,734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4.48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1,940,513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22,022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4.55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Mar>
              <w:top w:w="5" w:type="dxa"/>
              <w:left w:w="5" w:type="dxa"/>
              <w:bottom w:w="5" w:type="dxa"/>
              <w:right w:w="5" w:type="dxa"/>
            </w:tcMar>
            <w:vAlign w:val="bottom"/>
            <w:hideMark/>
          </w:tcPr>
          <w:p w:rsidR="0048389A" w:rsidRDefault="0048389A">
            <w:pPr>
              <w:rPr>
                <w:color w:val="000000"/>
                <w:sz w:val="20"/>
                <w:szCs w:val="20"/>
              </w:rPr>
            </w:pPr>
          </w:p>
        </w:tc>
        <w:tc>
          <w:tcPr>
            <w:tcW w:w="1515" w:type="dxa"/>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1,816,014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21,593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4.73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Securities: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151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Taxable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262,751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892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283,318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860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Mar>
              <w:top w:w="5" w:type="dxa"/>
              <w:left w:w="5" w:type="dxa"/>
              <w:bottom w:w="5" w:type="dxa"/>
              <w:right w:w="5" w:type="dxa"/>
            </w:tcMar>
            <w:vAlign w:val="bottom"/>
            <w:hideMark/>
          </w:tcPr>
          <w:p w:rsidR="0048389A" w:rsidRDefault="0048389A">
            <w:pPr>
              <w:rPr>
                <w:color w:val="000000"/>
                <w:sz w:val="20"/>
                <w:szCs w:val="20"/>
              </w:rPr>
            </w:pPr>
          </w:p>
        </w:tc>
        <w:tc>
          <w:tcPr>
            <w:tcW w:w="1515" w:type="dxa"/>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262,088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1,199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ind w:left="180"/>
              <w:rPr>
                <w:color w:val="000000"/>
                <w:sz w:val="20"/>
                <w:szCs w:val="20"/>
              </w:rPr>
            </w:pPr>
            <w:r>
              <w:rPr>
                <w:color w:val="000000"/>
                <w:sz w:val="20"/>
                <w:szCs w:val="20"/>
              </w:rPr>
              <w:t>Tax-exempt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18,499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129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22,061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149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Mar>
              <w:top w:w="5" w:type="dxa"/>
              <w:left w:w="5" w:type="dxa"/>
              <w:bottom w:w="5" w:type="dxa"/>
              <w:right w:w="5" w:type="dxa"/>
            </w:tcMar>
            <w:vAlign w:val="bottom"/>
            <w:hideMark/>
          </w:tcPr>
          <w:p w:rsidR="0048389A" w:rsidRDefault="0048389A">
            <w:pPr>
              <w:rPr>
                <w:color w:val="000000"/>
                <w:sz w:val="20"/>
                <w:szCs w:val="20"/>
              </w:rPr>
            </w:pPr>
          </w:p>
        </w:tc>
        <w:tc>
          <w:tcPr>
            <w:tcW w:w="1515" w:type="dxa"/>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22,504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2.77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Interest-bearing balances with banks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276,860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232</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0.33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195,476</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203</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0.42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1515" w:type="dxa"/>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49,340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3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172</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Adjusted interest-earning assets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2,482,070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22,987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3.67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2,441,368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23,234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3.82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Mar>
              <w:top w:w="5" w:type="dxa"/>
              <w:left w:w="5" w:type="dxa"/>
              <w:bottom w:w="5" w:type="dxa"/>
              <w:right w:w="5" w:type="dxa"/>
            </w:tcMar>
            <w:vAlign w:val="bottom"/>
            <w:hideMark/>
          </w:tcPr>
          <w:p w:rsidR="0048389A" w:rsidRDefault="0048389A">
            <w:pPr>
              <w:rPr>
                <w:color w:val="000000"/>
                <w:sz w:val="20"/>
                <w:szCs w:val="20"/>
              </w:rPr>
            </w:pPr>
          </w:p>
        </w:tc>
        <w:tc>
          <w:tcPr>
            <w:tcW w:w="1515" w:type="dxa"/>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2,149,946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23,121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4.28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151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interest-bearing liabilities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1,830,240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2,925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0.63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1,817,746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3,182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0.70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Mar>
              <w:top w:w="5" w:type="dxa"/>
              <w:left w:w="5" w:type="dxa"/>
              <w:bottom w:w="5" w:type="dxa"/>
              <w:right w:w="5" w:type="dxa"/>
            </w:tcMar>
            <w:vAlign w:val="bottom"/>
            <w:hideMark/>
          </w:tcPr>
          <w:p w:rsidR="0048389A" w:rsidRDefault="0048389A">
            <w:pPr>
              <w:rPr>
                <w:color w:val="000000"/>
                <w:sz w:val="20"/>
                <w:szCs w:val="20"/>
              </w:rPr>
            </w:pPr>
          </w:p>
        </w:tc>
        <w:tc>
          <w:tcPr>
            <w:tcW w:w="1515" w:type="dxa"/>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1,613,049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4,688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3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1.16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151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0" w:type="auto"/>
            <w:tcBorders>
              <w:bottom w:val="single" w:sz="6" w:space="0" w:color="000000"/>
            </w:tcBorders>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ind w:left="360"/>
              <w:rPr>
                <w:color w:val="000000"/>
                <w:sz w:val="20"/>
                <w:szCs w:val="20"/>
              </w:rPr>
            </w:pPr>
            <w:r>
              <w:rPr>
                <w:color w:val="000000"/>
                <w:sz w:val="20"/>
                <w:szCs w:val="20"/>
              </w:rPr>
              <w:t>Adjusted net interest income/adjusted net interest margin</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20,062</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3.21</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20,052</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3.29</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1515" w:type="dxa"/>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18,433</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48389A">
            <w:pPr>
              <w:rPr>
                <w:color w:val="000000"/>
                <w:sz w:val="20"/>
                <w:szCs w:val="20"/>
              </w:rPr>
            </w:pPr>
          </w:p>
        </w:tc>
        <w:tc>
          <w:tcPr>
            <w:tcW w:w="3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3.41</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25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1515" w:type="dxa"/>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bl>
    <w:p w:rsidR="0048389A" w:rsidRDefault="006A750F">
      <w:pPr>
        <w:ind w:left="144" w:right="144"/>
        <w:rPr>
          <w:sz w:val="20"/>
          <w:szCs w:val="20"/>
        </w:rPr>
      </w:pPr>
      <w:r>
        <w:rPr>
          <w:sz w:val="20"/>
          <w:szCs w:val="20"/>
        </w:rPr>
        <w:t> </w:t>
      </w:r>
    </w:p>
    <w:p w:rsidR="0048389A" w:rsidRDefault="006A750F">
      <w:pPr>
        <w:ind w:left="144" w:right="144"/>
        <w:jc w:val="center"/>
        <w:rPr>
          <w:sz w:val="20"/>
          <w:szCs w:val="20"/>
        </w:rPr>
      </w:pPr>
      <w:r>
        <w:rPr>
          <w:sz w:val="20"/>
          <w:szCs w:val="20"/>
        </w:rPr>
        <w:t> </w:t>
      </w:r>
    </w:p>
    <w:p w:rsidR="0048389A" w:rsidRDefault="006A750F">
      <w:pPr>
        <w:ind w:left="144" w:right="144"/>
        <w:rPr>
          <w:sz w:val="20"/>
          <w:szCs w:val="20"/>
        </w:rPr>
      </w:pPr>
      <w:r>
        <w:rPr>
          <w:sz w:val="20"/>
          <w:szCs w:val="20"/>
        </w:rPr>
        <w:br w:type="page"/>
      </w:r>
      <w:r>
        <w:rPr>
          <w:sz w:val="20"/>
          <w:szCs w:val="20"/>
        </w:rPr>
        <w:lastRenderedPageBreak/>
        <w:t> </w:t>
      </w:r>
    </w:p>
    <w:tbl>
      <w:tblPr>
        <w:tblW w:w="5000" w:type="pct"/>
        <w:tblInd w:w="149" w:type="dxa"/>
        <w:tblCellMar>
          <w:left w:w="0" w:type="dxa"/>
          <w:right w:w="0" w:type="dxa"/>
        </w:tblCellMar>
        <w:tblLook w:val="04A0" w:firstRow="1" w:lastRow="0" w:firstColumn="1" w:lastColumn="0" w:noHBand="0" w:noVBand="1"/>
      </w:tblPr>
      <w:tblGrid>
        <w:gridCol w:w="10800"/>
      </w:tblGrid>
      <w:tr w:rsidR="0048389A" w:rsidTr="00C44726">
        <w:tc>
          <w:tcPr>
            <w:tcW w:w="5000" w:type="pct"/>
            <w:tcMar>
              <w:top w:w="5" w:type="dxa"/>
              <w:left w:w="5" w:type="dxa"/>
              <w:bottom w:w="5" w:type="dxa"/>
              <w:right w:w="5" w:type="dxa"/>
            </w:tcMar>
            <w:vAlign w:val="bottom"/>
            <w:hideMark/>
          </w:tcPr>
          <w:p w:rsidR="0048389A" w:rsidRDefault="006A750F">
            <w:pPr>
              <w:jc w:val="center"/>
              <w:rPr>
                <w:color w:val="000000"/>
                <w:sz w:val="20"/>
                <w:szCs w:val="20"/>
              </w:rPr>
            </w:pPr>
            <w:r>
              <w:rPr>
                <w:sz w:val="20"/>
                <w:szCs w:val="20"/>
              </w:rPr>
              <w:t> </w:t>
            </w:r>
            <w:r>
              <w:rPr>
                <w:b/>
                <w:bCs/>
                <w:color w:val="000000"/>
                <w:sz w:val="20"/>
                <w:szCs w:val="20"/>
              </w:rPr>
              <w:t>INVESTAR HOLDING CORPORATION</w:t>
            </w:r>
          </w:p>
        </w:tc>
      </w:tr>
      <w:tr w:rsidR="0048389A" w:rsidTr="00C44726">
        <w:tc>
          <w:tcPr>
            <w:tcW w:w="500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RECONCILIATION OF NON-GAAP FINANCIAL MEASURES</w:t>
            </w:r>
          </w:p>
        </w:tc>
      </w:tr>
      <w:tr w:rsidR="0048389A" w:rsidTr="00C44726">
        <w:tc>
          <w:tcPr>
            <w:tcW w:w="500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(Amounts in thousands, except share data)</w:t>
            </w:r>
          </w:p>
        </w:tc>
      </w:tr>
      <w:tr w:rsidR="0048389A" w:rsidTr="00C44726">
        <w:tc>
          <w:tcPr>
            <w:tcW w:w="500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(Unaudited)</w:t>
            </w:r>
          </w:p>
        </w:tc>
      </w:tr>
    </w:tbl>
    <w:p w:rsidR="0048389A" w:rsidRDefault="006A750F">
      <w:pPr>
        <w:ind w:left="144" w:right="144"/>
        <w:rPr>
          <w:sz w:val="20"/>
          <w:szCs w:val="20"/>
        </w:rPr>
      </w:pPr>
      <w:r>
        <w:rPr>
          <w:sz w:val="20"/>
          <w:szCs w:val="20"/>
        </w:rPr>
        <w:t> </w:t>
      </w:r>
    </w:p>
    <w:tbl>
      <w:tblPr>
        <w:tblStyle w:val="finTable"/>
        <w:tblW w:w="5000" w:type="pct"/>
        <w:tblInd w:w="149" w:type="dxa"/>
        <w:tblCellMar>
          <w:left w:w="0" w:type="dxa"/>
          <w:right w:w="0" w:type="dxa"/>
        </w:tblCellMar>
        <w:tblLook w:val="05E0" w:firstRow="1" w:lastRow="1" w:firstColumn="1" w:lastColumn="1" w:noHBand="0" w:noVBand="1"/>
      </w:tblPr>
      <w:tblGrid>
        <w:gridCol w:w="5909"/>
        <w:gridCol w:w="77"/>
        <w:gridCol w:w="110"/>
        <w:gridCol w:w="1265"/>
        <w:gridCol w:w="177"/>
        <w:gridCol w:w="78"/>
        <w:gridCol w:w="110"/>
        <w:gridCol w:w="1266"/>
        <w:gridCol w:w="177"/>
        <w:gridCol w:w="78"/>
        <w:gridCol w:w="110"/>
        <w:gridCol w:w="1266"/>
        <w:gridCol w:w="177"/>
      </w:tblGrid>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September 30, 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June 30, 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September 30, 2020</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r>
      <w:tr w:rsidR="0048389A">
        <w:tc>
          <w:tcPr>
            <w:tcW w:w="2750" w:type="pct"/>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Tangible common equity</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stockholders’ equity</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236,324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250,715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237,267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Adjustments: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Goodwill</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40,088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39,527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28,144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Core deposit intangible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4,095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4,346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4,227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Trademark intangible</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100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100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100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Tangible common equity</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192,041</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206,742</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204,796</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Tangible assets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b/>
                <w:bCs/>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assets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2,696,048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2,672,907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2,323,245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Adjustments: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Goodwill</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40,088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39,527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28,144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Core deposit intangible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4,095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4,346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4,227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Trademark intangible</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100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100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100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Tangible assets</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2,651,765</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2,628,934</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2,290,774</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Common shares outstanding</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10,343,416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10,413,390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10,629,586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Tangible equity to tangible assets</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7.24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7.86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8.94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Book value per common share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22.85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24.08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22.32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Tangible book value per common share</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18.57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19.85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19.27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bl>
    <w:p w:rsidR="0048389A" w:rsidRDefault="006A750F">
      <w:pPr>
        <w:ind w:left="144" w:right="144"/>
        <w:rPr>
          <w:sz w:val="20"/>
          <w:szCs w:val="20"/>
        </w:rPr>
      </w:pPr>
      <w:r>
        <w:rPr>
          <w:sz w:val="20"/>
          <w:szCs w:val="20"/>
        </w:rPr>
        <w:t> </w:t>
      </w:r>
    </w:p>
    <w:p w:rsidR="0048389A" w:rsidRDefault="006A750F">
      <w:pPr>
        <w:ind w:left="144" w:right="144"/>
        <w:jc w:val="center"/>
        <w:rPr>
          <w:sz w:val="20"/>
          <w:szCs w:val="20"/>
        </w:rPr>
      </w:pPr>
      <w:r>
        <w:rPr>
          <w:sz w:val="20"/>
          <w:szCs w:val="20"/>
        </w:rPr>
        <w:t> </w:t>
      </w:r>
    </w:p>
    <w:p w:rsidR="0048389A" w:rsidRDefault="006A750F">
      <w:pPr>
        <w:ind w:left="144" w:right="144"/>
        <w:rPr>
          <w:sz w:val="20"/>
          <w:szCs w:val="20"/>
        </w:rPr>
      </w:pPr>
      <w:r>
        <w:rPr>
          <w:sz w:val="20"/>
          <w:szCs w:val="20"/>
        </w:rPr>
        <w:br w:type="page"/>
      </w:r>
      <w:r>
        <w:rPr>
          <w:sz w:val="20"/>
          <w:szCs w:val="20"/>
        </w:rPr>
        <w:lastRenderedPageBreak/>
        <w:t>  </w:t>
      </w:r>
    </w:p>
    <w:tbl>
      <w:tblPr>
        <w:tblW w:w="5000" w:type="pct"/>
        <w:tblInd w:w="149" w:type="dxa"/>
        <w:tblCellMar>
          <w:left w:w="0" w:type="dxa"/>
          <w:right w:w="0" w:type="dxa"/>
        </w:tblCellMar>
        <w:tblLook w:val="04A0" w:firstRow="1" w:lastRow="0" w:firstColumn="1" w:lastColumn="0" w:noHBand="0" w:noVBand="1"/>
      </w:tblPr>
      <w:tblGrid>
        <w:gridCol w:w="10800"/>
      </w:tblGrid>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INVESTAR HOLDING CORPORATION</w:t>
            </w:r>
          </w:p>
        </w:tc>
      </w:tr>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RECONCILIATION OF NON-GAAP FINANCIAL MEASURES</w:t>
            </w:r>
          </w:p>
        </w:tc>
      </w:tr>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(Amounts in thousands, except share data)</w:t>
            </w:r>
          </w:p>
        </w:tc>
      </w:tr>
      <w:tr w:rsidR="0048389A">
        <w:tc>
          <w:tcPr>
            <w:tcW w:w="0" w:type="pct"/>
            <w:tcMar>
              <w:top w:w="5" w:type="dxa"/>
              <w:left w:w="5" w:type="dxa"/>
              <w:bottom w:w="5" w:type="dxa"/>
              <w:right w:w="5" w:type="dxa"/>
            </w:tcMar>
            <w:vAlign w:val="bottom"/>
            <w:hideMark/>
          </w:tcPr>
          <w:p w:rsidR="0048389A" w:rsidRDefault="006A750F">
            <w:pPr>
              <w:jc w:val="center"/>
              <w:rPr>
                <w:color w:val="000000"/>
                <w:sz w:val="20"/>
                <w:szCs w:val="20"/>
              </w:rPr>
            </w:pPr>
            <w:r>
              <w:rPr>
                <w:b/>
                <w:bCs/>
                <w:color w:val="000000"/>
                <w:sz w:val="20"/>
                <w:szCs w:val="20"/>
              </w:rPr>
              <w:t>(Unaudited)</w:t>
            </w:r>
          </w:p>
        </w:tc>
      </w:tr>
    </w:tbl>
    <w:p w:rsidR="0048389A" w:rsidRDefault="006A750F">
      <w:pPr>
        <w:ind w:left="144" w:right="144"/>
        <w:rPr>
          <w:sz w:val="20"/>
          <w:szCs w:val="20"/>
        </w:rPr>
      </w:pPr>
      <w:r>
        <w:rPr>
          <w:sz w:val="20"/>
          <w:szCs w:val="20"/>
        </w:rPr>
        <w:t> </w:t>
      </w:r>
    </w:p>
    <w:tbl>
      <w:tblPr>
        <w:tblStyle w:val="finTable"/>
        <w:tblW w:w="5000" w:type="pct"/>
        <w:tblInd w:w="149" w:type="dxa"/>
        <w:tblCellMar>
          <w:left w:w="0" w:type="dxa"/>
          <w:right w:w="0" w:type="dxa"/>
        </w:tblCellMar>
        <w:tblLook w:val="05E0" w:firstRow="1" w:lastRow="1" w:firstColumn="1" w:lastColumn="1" w:noHBand="0" w:noVBand="1"/>
      </w:tblPr>
      <w:tblGrid>
        <w:gridCol w:w="4847"/>
        <w:gridCol w:w="1023"/>
        <w:gridCol w:w="73"/>
        <w:gridCol w:w="110"/>
        <w:gridCol w:w="1261"/>
        <w:gridCol w:w="244"/>
        <w:gridCol w:w="73"/>
        <w:gridCol w:w="110"/>
        <w:gridCol w:w="1261"/>
        <w:gridCol w:w="177"/>
        <w:gridCol w:w="73"/>
        <w:gridCol w:w="110"/>
        <w:gridCol w:w="1261"/>
        <w:gridCol w:w="177"/>
      </w:tblGrid>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10"/>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Three months ended</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9/30/2021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6/30/2021</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0" w:type="auto"/>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0" w:type="auto"/>
            <w:gridSpan w:val="2"/>
            <w:tcBorders>
              <w:bottom w:val="single" w:sz="6" w:space="0" w:color="000000"/>
            </w:tcBorders>
            <w:tcMar>
              <w:top w:w="5" w:type="dxa"/>
              <w:left w:w="5" w:type="dxa"/>
              <w:bottom w:w="8" w:type="dxa"/>
              <w:right w:w="5" w:type="dxa"/>
            </w:tcMar>
            <w:vAlign w:val="bottom"/>
            <w:hideMark/>
          </w:tcPr>
          <w:p w:rsidR="0048389A" w:rsidRDefault="006A750F">
            <w:pPr>
              <w:jc w:val="center"/>
              <w:rPr>
                <w:color w:val="000000"/>
                <w:sz w:val="20"/>
                <w:szCs w:val="20"/>
              </w:rPr>
            </w:pPr>
            <w:r>
              <w:rPr>
                <w:b/>
                <w:bCs/>
                <w:color w:val="000000"/>
                <w:sz w:val="20"/>
                <w:szCs w:val="20"/>
              </w:rPr>
              <w:t>9/30/2020</w:t>
            </w:r>
          </w:p>
        </w:tc>
        <w:tc>
          <w:tcPr>
            <w:tcW w:w="0" w:type="auto"/>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r>
      <w:tr w:rsidR="0048389A">
        <w:tc>
          <w:tcPr>
            <w:tcW w:w="226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Net interest income</w:t>
            </w:r>
          </w:p>
        </w:tc>
        <w:tc>
          <w:tcPr>
            <w:tcW w:w="49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(a)</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21,548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21,165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18,706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Provision for loan losses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21,713</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114</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2,500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Net interest (loss) income after provision for loan losses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21,051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16,206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Noninterest income</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(b)</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3,914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4,082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3,401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Gain on sale of investment securities, net</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(1,721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(939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Loss on sale of other real estate owned, net</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Loss on sale of fixed assets, net</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Swap termination fees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(1,835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Change in the fair value of equity securities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(48</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(91</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31</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Core noninterest income</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(d)</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2,031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2,275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2,498</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Core earnings before noninterest expense</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1,866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23,326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18,704</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noninterest expense</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(c)</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16,381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17,960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14,051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Acquisition expense</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(446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(1,641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(52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Severance</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(98</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(10</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Core noninterest expense</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(f)</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15,837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16,319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13,989</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Core (loss) earnings before income tax expense</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(13,971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7,007</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4,715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xml:space="preserve">Core income tax (benefit) </w:t>
            </w:r>
            <w:proofErr w:type="gramStart"/>
            <w:r>
              <w:rPr>
                <w:color w:val="000000"/>
                <w:sz w:val="20"/>
                <w:szCs w:val="20"/>
              </w:rPr>
              <w:t>expense</w:t>
            </w:r>
            <w:r>
              <w:rPr>
                <w:color w:val="000000"/>
                <w:sz w:val="25"/>
                <w:szCs w:val="25"/>
                <w:vertAlign w:val="superscript"/>
              </w:rPr>
              <w:t>(</w:t>
            </w:r>
            <w:proofErr w:type="gramEnd"/>
            <w:r>
              <w:rPr>
                <w:color w:val="000000"/>
                <w:sz w:val="25"/>
                <w:szCs w:val="25"/>
                <w:vertAlign w:val="superscript"/>
              </w:rPr>
              <w:t>1)</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(2,934</w:t>
            </w:r>
          </w:p>
        </w:tc>
        <w:tc>
          <w:tcPr>
            <w:tcW w:w="50" w:type="pct"/>
            <w:tcBorders>
              <w:bottom w:val="single" w:sz="6" w:space="0" w:color="000000"/>
            </w:tcBorders>
            <w:noWrap/>
            <w:tcMar>
              <w:top w:w="5" w:type="dxa"/>
              <w:left w:w="5" w:type="dxa"/>
              <w:bottom w:w="8"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1,450</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924</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Core (loss) earnings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(11,037</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5,557</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3,791</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Core basic (loss) earnings per common share</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(1.06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0.53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0.35</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Diluted (loss) earnings per common share (GAAP)</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(0.95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0.53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0.41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Gain on sale of investment securities, net</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(0.12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(0.07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Loss on sale of other real estate owned, net</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Loss on sale of fixed assets, net</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Swap termination fees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(0.14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Change in the fair value of equity securities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(0.01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(0.01</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Acquisition expense</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0.03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0.13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0.01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Severance</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0.01</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c>
          <w:tcPr>
            <w:tcW w:w="50" w:type="pct"/>
            <w:tcMar>
              <w:top w:w="5" w:type="dxa"/>
              <w:left w:w="5" w:type="dxa"/>
              <w:bottom w:w="2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single" w:sz="6" w:space="0" w:color="000000"/>
            </w:tcBorders>
            <w:tcMar>
              <w:top w:w="5" w:type="dxa"/>
              <w:left w:w="5" w:type="dxa"/>
              <w:bottom w:w="8" w:type="dxa"/>
              <w:right w:w="5" w:type="dxa"/>
            </w:tcMar>
            <w:vAlign w:val="bottom"/>
            <w:hideMark/>
          </w:tcPr>
          <w:p w:rsidR="0048389A" w:rsidRDefault="0048389A">
            <w:pPr>
              <w:rPr>
                <w:color w:val="000000"/>
                <w:sz w:val="20"/>
                <w:szCs w:val="20"/>
              </w:rPr>
            </w:pPr>
          </w:p>
        </w:tc>
        <w:tc>
          <w:tcPr>
            <w:tcW w:w="600" w:type="pct"/>
            <w:tcBorders>
              <w:bottom w:val="single" w:sz="6" w:space="0" w:color="000000"/>
            </w:tcBorders>
            <w:tcMar>
              <w:top w:w="5" w:type="dxa"/>
              <w:left w:w="5" w:type="dxa"/>
              <w:bottom w:w="8" w:type="dxa"/>
              <w:right w:w="5" w:type="dxa"/>
            </w:tcMar>
            <w:vAlign w:val="bottom"/>
            <w:hideMark/>
          </w:tcPr>
          <w:p w:rsidR="0048389A" w:rsidRDefault="006A750F">
            <w:pPr>
              <w:jc w:val="right"/>
              <w:rPr>
                <w:color w:val="000000"/>
                <w:sz w:val="20"/>
                <w:szCs w:val="20"/>
              </w:rPr>
            </w:pPr>
            <w:r>
              <w:rPr>
                <w:color w:val="000000"/>
                <w:sz w:val="20"/>
                <w:szCs w:val="20"/>
              </w:rPr>
              <w:t>—</w:t>
            </w:r>
          </w:p>
        </w:tc>
        <w:tc>
          <w:tcPr>
            <w:tcW w:w="50" w:type="pct"/>
            <w:tcBorders>
              <w:bottom w:val="single" w:sz="6" w:space="0" w:color="000000"/>
            </w:tcBorders>
            <w:noWrap/>
            <w:tcMar>
              <w:top w:w="5" w:type="dxa"/>
              <w:left w:w="5" w:type="dxa"/>
              <w:bottom w:w="8"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Core diluted (loss) earnings per common share</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(1.06</w:t>
            </w:r>
          </w:p>
        </w:tc>
        <w:tc>
          <w:tcPr>
            <w:tcW w:w="50" w:type="pct"/>
            <w:tcBorders>
              <w:bottom w:val="double" w:sz="6" w:space="0" w:color="000000"/>
            </w:tcBorders>
            <w:noWrap/>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0.53</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c>
          <w:tcPr>
            <w:tcW w:w="50" w:type="pct"/>
            <w:tcMar>
              <w:top w:w="5" w:type="dxa"/>
              <w:left w:w="5" w:type="dxa"/>
              <w:bottom w:w="50" w:type="dxa"/>
              <w:right w:w="5" w:type="dxa"/>
            </w:tcMar>
            <w:vAlign w:val="bottom"/>
            <w:hideMark/>
          </w:tcPr>
          <w:p w:rsidR="0048389A" w:rsidRDefault="006A750F">
            <w:pPr>
              <w:rPr>
                <w:color w:val="000000"/>
                <w:sz w:val="20"/>
                <w:szCs w:val="20"/>
              </w:rPr>
            </w:pPr>
            <w:r>
              <w:rPr>
                <w:color w:val="000000"/>
                <w:sz w:val="20"/>
                <w:szCs w:val="20"/>
              </w:rPr>
              <w:t> </w:t>
            </w:r>
          </w:p>
        </w:tc>
        <w:tc>
          <w:tcPr>
            <w:tcW w:w="50" w:type="pct"/>
            <w:tcBorders>
              <w:bottom w:val="double" w:sz="6" w:space="0" w:color="000000"/>
            </w:tcBorders>
            <w:tcMar>
              <w:top w:w="5" w:type="dxa"/>
              <w:left w:w="5" w:type="dxa"/>
              <w:bottom w:w="22" w:type="dxa"/>
              <w:right w:w="5" w:type="dxa"/>
            </w:tcMar>
            <w:vAlign w:val="bottom"/>
            <w:hideMark/>
          </w:tcPr>
          <w:p w:rsidR="0048389A" w:rsidRDefault="006A750F">
            <w:pPr>
              <w:rPr>
                <w:color w:val="000000"/>
                <w:sz w:val="20"/>
                <w:szCs w:val="20"/>
              </w:rPr>
            </w:pPr>
            <w:r>
              <w:rPr>
                <w:color w:val="000000"/>
                <w:sz w:val="20"/>
                <w:szCs w:val="20"/>
              </w:rPr>
              <w:t>$</w:t>
            </w:r>
          </w:p>
        </w:tc>
        <w:tc>
          <w:tcPr>
            <w:tcW w:w="600" w:type="pct"/>
            <w:tcBorders>
              <w:bottom w:val="double" w:sz="6" w:space="0" w:color="000000"/>
            </w:tcBorders>
            <w:tcMar>
              <w:top w:w="5" w:type="dxa"/>
              <w:left w:w="5" w:type="dxa"/>
              <w:bottom w:w="22" w:type="dxa"/>
              <w:right w:w="5" w:type="dxa"/>
            </w:tcMar>
            <w:vAlign w:val="bottom"/>
            <w:hideMark/>
          </w:tcPr>
          <w:p w:rsidR="0048389A" w:rsidRDefault="006A750F">
            <w:pPr>
              <w:jc w:val="right"/>
              <w:rPr>
                <w:color w:val="000000"/>
                <w:sz w:val="20"/>
                <w:szCs w:val="20"/>
              </w:rPr>
            </w:pPr>
            <w:r>
              <w:rPr>
                <w:color w:val="000000"/>
                <w:sz w:val="20"/>
                <w:szCs w:val="20"/>
              </w:rPr>
              <w:t>0.35</w:t>
            </w:r>
          </w:p>
        </w:tc>
        <w:tc>
          <w:tcPr>
            <w:tcW w:w="50" w:type="pct"/>
            <w:tcBorders>
              <w:bottom w:val="double" w:sz="6" w:space="0" w:color="000000"/>
            </w:tcBorders>
            <w:noWrap/>
            <w:tcMar>
              <w:top w:w="5" w:type="dxa"/>
              <w:left w:w="5" w:type="dxa"/>
              <w:bottom w:w="22"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Efficiency ratio</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(c) / (</w:t>
            </w:r>
            <w:proofErr w:type="spellStart"/>
            <w:r>
              <w:rPr>
                <w:color w:val="000000"/>
                <w:sz w:val="20"/>
                <w:szCs w:val="20"/>
              </w:rPr>
              <w:t>a+b</w:t>
            </w:r>
            <w:proofErr w:type="spellEnd"/>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64.33</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71.14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63.56</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Core efficiency ratio</w:t>
            </w:r>
          </w:p>
        </w:tc>
        <w:tc>
          <w:tcPr>
            <w:tcW w:w="0" w:type="auto"/>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(f) / (</w:t>
            </w:r>
            <w:proofErr w:type="spellStart"/>
            <w:r>
              <w:rPr>
                <w:color w:val="000000"/>
                <w:sz w:val="20"/>
                <w:szCs w:val="20"/>
              </w:rPr>
              <w:t>a+d</w:t>
            </w:r>
            <w:proofErr w:type="spellEnd"/>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67.17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69.62</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65.97</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xml:space="preserve">Core return on average </w:t>
            </w:r>
            <w:proofErr w:type="gramStart"/>
            <w:r>
              <w:rPr>
                <w:color w:val="000000"/>
                <w:sz w:val="20"/>
                <w:szCs w:val="20"/>
              </w:rPr>
              <w:t>assets</w:t>
            </w:r>
            <w:r>
              <w:rPr>
                <w:color w:val="000000"/>
                <w:sz w:val="25"/>
                <w:szCs w:val="25"/>
                <w:vertAlign w:val="superscript"/>
              </w:rPr>
              <w:t>(</w:t>
            </w:r>
            <w:proofErr w:type="gramEnd"/>
            <w:r>
              <w:rPr>
                <w:color w:val="000000"/>
                <w:sz w:val="25"/>
                <w:szCs w:val="25"/>
                <w:vertAlign w:val="superscript"/>
              </w:rPr>
              <w:t>2)</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(1.63</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0.84</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0.65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xml:space="preserve">Core return on average </w:t>
            </w:r>
            <w:proofErr w:type="gramStart"/>
            <w:r>
              <w:rPr>
                <w:color w:val="000000"/>
                <w:sz w:val="20"/>
                <w:szCs w:val="20"/>
              </w:rPr>
              <w:t>equity</w:t>
            </w:r>
            <w:r>
              <w:rPr>
                <w:color w:val="000000"/>
                <w:sz w:val="25"/>
                <w:szCs w:val="25"/>
                <w:vertAlign w:val="superscript"/>
              </w:rPr>
              <w:t>(</w:t>
            </w:r>
            <w:proofErr w:type="gramEnd"/>
            <w:r>
              <w:rPr>
                <w:color w:val="000000"/>
                <w:sz w:val="25"/>
                <w:szCs w:val="25"/>
                <w:vertAlign w:val="superscript"/>
              </w:rPr>
              <w:t>2)</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(17.20</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8.85</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6.29</w:t>
            </w:r>
          </w:p>
        </w:tc>
        <w:tc>
          <w:tcPr>
            <w:tcW w:w="50" w:type="pct"/>
            <w:noWrap/>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average assets</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2,686,712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2,650,050</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w:t>
            </w: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2,320,501</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r w:rsidR="0048389A">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Total average stockholders’ equity</w:t>
            </w:r>
          </w:p>
        </w:tc>
        <w:tc>
          <w:tcPr>
            <w:tcW w:w="0" w:type="auto"/>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254,616</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251,793</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c>
          <w:tcPr>
            <w:tcW w:w="50" w:type="pct"/>
            <w:tcMar>
              <w:top w:w="5" w:type="dxa"/>
              <w:left w:w="5" w:type="dxa"/>
              <w:bottom w:w="5" w:type="dxa"/>
              <w:right w:w="5" w:type="dxa"/>
            </w:tcMar>
            <w:vAlign w:val="bottom"/>
            <w:hideMark/>
          </w:tcPr>
          <w:p w:rsidR="0048389A" w:rsidRDefault="006A750F">
            <w:pPr>
              <w:rPr>
                <w:color w:val="000000"/>
                <w:sz w:val="20"/>
                <w:szCs w:val="20"/>
              </w:rPr>
            </w:pPr>
            <w:r>
              <w:rPr>
                <w:color w:val="000000"/>
                <w:sz w:val="20"/>
                <w:szCs w:val="20"/>
              </w:rPr>
              <w:t> </w:t>
            </w:r>
          </w:p>
        </w:tc>
        <w:tc>
          <w:tcPr>
            <w:tcW w:w="50" w:type="pct"/>
            <w:tcMar>
              <w:top w:w="5" w:type="dxa"/>
              <w:left w:w="5" w:type="dxa"/>
              <w:bottom w:w="5" w:type="dxa"/>
              <w:right w:w="5" w:type="dxa"/>
            </w:tcMar>
            <w:vAlign w:val="bottom"/>
            <w:hideMark/>
          </w:tcPr>
          <w:p w:rsidR="0048389A" w:rsidRDefault="0048389A">
            <w:pPr>
              <w:rPr>
                <w:color w:val="000000"/>
                <w:sz w:val="20"/>
                <w:szCs w:val="20"/>
              </w:rPr>
            </w:pPr>
          </w:p>
        </w:tc>
        <w:tc>
          <w:tcPr>
            <w:tcW w:w="600" w:type="pct"/>
            <w:tcMar>
              <w:top w:w="5" w:type="dxa"/>
              <w:left w:w="5" w:type="dxa"/>
              <w:bottom w:w="5" w:type="dxa"/>
              <w:right w:w="5" w:type="dxa"/>
            </w:tcMar>
            <w:vAlign w:val="bottom"/>
            <w:hideMark/>
          </w:tcPr>
          <w:p w:rsidR="0048389A" w:rsidRDefault="006A750F">
            <w:pPr>
              <w:jc w:val="right"/>
              <w:rPr>
                <w:color w:val="000000"/>
                <w:sz w:val="20"/>
                <w:szCs w:val="20"/>
              </w:rPr>
            </w:pPr>
            <w:r>
              <w:rPr>
                <w:color w:val="000000"/>
                <w:sz w:val="20"/>
                <w:szCs w:val="20"/>
              </w:rPr>
              <w:t>239,822</w:t>
            </w:r>
          </w:p>
        </w:tc>
        <w:tc>
          <w:tcPr>
            <w:tcW w:w="50" w:type="pct"/>
            <w:noWrap/>
            <w:tcMar>
              <w:top w:w="5" w:type="dxa"/>
              <w:left w:w="5" w:type="dxa"/>
              <w:bottom w:w="5" w:type="dxa"/>
              <w:right w:w="5" w:type="dxa"/>
            </w:tcMar>
            <w:vAlign w:val="bottom"/>
            <w:hideMark/>
          </w:tcPr>
          <w:p w:rsidR="0048389A" w:rsidRDefault="0048389A">
            <w:pPr>
              <w:rPr>
                <w:color w:val="000000"/>
                <w:sz w:val="20"/>
                <w:szCs w:val="20"/>
              </w:rPr>
            </w:pPr>
          </w:p>
        </w:tc>
      </w:tr>
    </w:tbl>
    <w:p w:rsidR="0048389A" w:rsidRDefault="006A750F">
      <w:pPr>
        <w:ind w:left="144" w:right="144"/>
        <w:rPr>
          <w:sz w:val="20"/>
          <w:szCs w:val="20"/>
        </w:rPr>
      </w:pPr>
      <w:r>
        <w:rPr>
          <w:sz w:val="20"/>
          <w:szCs w:val="20"/>
        </w:rPr>
        <w:t> </w:t>
      </w:r>
    </w:p>
    <w:tbl>
      <w:tblPr>
        <w:tblW w:w="5000" w:type="pct"/>
        <w:tblInd w:w="149" w:type="dxa"/>
        <w:tblCellMar>
          <w:left w:w="0" w:type="dxa"/>
          <w:right w:w="0" w:type="dxa"/>
        </w:tblCellMar>
        <w:tblLook w:val="04A0" w:firstRow="1" w:lastRow="0" w:firstColumn="1" w:lastColumn="0" w:noHBand="0" w:noVBand="1"/>
      </w:tblPr>
      <w:tblGrid>
        <w:gridCol w:w="10800"/>
      </w:tblGrid>
      <w:tr w:rsidR="0048389A">
        <w:tc>
          <w:tcPr>
            <w:tcW w:w="0" w:type="pct"/>
            <w:tcMar>
              <w:top w:w="5" w:type="dxa"/>
              <w:left w:w="5" w:type="dxa"/>
              <w:bottom w:w="5" w:type="dxa"/>
              <w:right w:w="5" w:type="dxa"/>
            </w:tcMar>
            <w:vAlign w:val="bottom"/>
            <w:hideMark/>
          </w:tcPr>
          <w:p w:rsidR="0048389A" w:rsidRDefault="006A750F">
            <w:pPr>
              <w:jc w:val="both"/>
              <w:rPr>
                <w:color w:val="000000"/>
                <w:sz w:val="20"/>
                <w:szCs w:val="20"/>
              </w:rPr>
            </w:pPr>
            <w:r>
              <w:rPr>
                <w:color w:val="000000"/>
                <w:sz w:val="17"/>
                <w:szCs w:val="17"/>
              </w:rPr>
              <w:t>(1)</w:t>
            </w:r>
            <w:r>
              <w:rPr>
                <w:color w:val="000000"/>
                <w:sz w:val="20"/>
                <w:szCs w:val="20"/>
              </w:rPr>
              <w:t xml:space="preserve"> Core income tax (benefit) expense is calculated using the effective tax rates of </w:t>
            </w:r>
            <w:bookmarkStart w:id="178" w:name="led126282F20215231624466149368"/>
            <w:r>
              <w:rPr>
                <w:color w:val="000000"/>
                <w:sz w:val="20"/>
                <w:szCs w:val="20"/>
              </w:rPr>
              <w:t>21.0%</w:t>
            </w:r>
            <w:bookmarkEnd w:id="178"/>
            <w:r>
              <w:rPr>
                <w:color w:val="000000"/>
                <w:sz w:val="20"/>
                <w:szCs w:val="20"/>
              </w:rPr>
              <w:t>, </w:t>
            </w:r>
            <w:bookmarkStart w:id="179" w:name="led126282F20215231624466160786"/>
            <w:r>
              <w:rPr>
                <w:color w:val="000000"/>
                <w:sz w:val="20"/>
                <w:szCs w:val="20"/>
              </w:rPr>
              <w:t>20.7%</w:t>
            </w:r>
            <w:bookmarkEnd w:id="179"/>
            <w:r>
              <w:rPr>
                <w:color w:val="000000"/>
                <w:sz w:val="20"/>
                <w:szCs w:val="20"/>
              </w:rPr>
              <w:t xml:space="preserve"> and </w:t>
            </w:r>
            <w:bookmarkStart w:id="180" w:name="led126282F20215231624466174520"/>
            <w:r>
              <w:rPr>
                <w:color w:val="000000"/>
                <w:sz w:val="20"/>
                <w:szCs w:val="20"/>
              </w:rPr>
              <w:t>19.6%</w:t>
            </w:r>
            <w:bookmarkEnd w:id="180"/>
            <w:r>
              <w:rPr>
                <w:color w:val="000000"/>
                <w:sz w:val="20"/>
                <w:szCs w:val="20"/>
              </w:rPr>
              <w:t> for the quarters ended September 30, 2021</w:t>
            </w:r>
            <w:bookmarkEnd w:id="2"/>
            <w:r>
              <w:rPr>
                <w:color w:val="000000"/>
                <w:sz w:val="20"/>
                <w:szCs w:val="20"/>
              </w:rPr>
              <w:t>, June 30, 2021</w:t>
            </w:r>
            <w:bookmarkEnd w:id="9"/>
            <w:r>
              <w:rPr>
                <w:color w:val="000000"/>
                <w:sz w:val="20"/>
                <w:szCs w:val="20"/>
              </w:rPr>
              <w:t xml:space="preserve"> and September 30, 2020</w:t>
            </w:r>
            <w:bookmarkEnd w:id="12"/>
            <w:r>
              <w:rPr>
                <w:color w:val="000000"/>
                <w:sz w:val="20"/>
                <w:szCs w:val="20"/>
              </w:rPr>
              <w:t>, respectively.</w:t>
            </w:r>
          </w:p>
        </w:tc>
      </w:tr>
      <w:tr w:rsidR="0048389A">
        <w:tc>
          <w:tcPr>
            <w:tcW w:w="0" w:type="pct"/>
            <w:tcMar>
              <w:top w:w="5" w:type="dxa"/>
              <w:left w:w="5" w:type="dxa"/>
              <w:bottom w:w="5" w:type="dxa"/>
              <w:right w:w="5" w:type="dxa"/>
            </w:tcMar>
            <w:vAlign w:val="bottom"/>
            <w:hideMark/>
          </w:tcPr>
          <w:p w:rsidR="0048389A" w:rsidRDefault="006A750F">
            <w:pPr>
              <w:jc w:val="both"/>
              <w:rPr>
                <w:color w:val="000000"/>
                <w:sz w:val="20"/>
                <w:szCs w:val="20"/>
              </w:rPr>
            </w:pPr>
            <w:r>
              <w:rPr>
                <w:color w:val="000000"/>
                <w:sz w:val="17"/>
                <w:szCs w:val="17"/>
              </w:rPr>
              <w:t>(2)</w:t>
            </w:r>
            <w:r>
              <w:rPr>
                <w:color w:val="000000"/>
                <w:sz w:val="20"/>
                <w:szCs w:val="20"/>
              </w:rPr>
              <w:t xml:space="preserve"> Core (loss) earnings used in calculation. No adjustments were made to average assets or average equity.</w:t>
            </w:r>
          </w:p>
        </w:tc>
      </w:tr>
    </w:tbl>
    <w:p w:rsidR="0048389A" w:rsidRDefault="006A750F">
      <w:pPr>
        <w:ind w:left="144" w:right="144"/>
        <w:rPr>
          <w:sz w:val="20"/>
          <w:szCs w:val="20"/>
        </w:rPr>
      </w:pPr>
      <w:r>
        <w:rPr>
          <w:sz w:val="20"/>
          <w:szCs w:val="20"/>
        </w:rPr>
        <w:t> </w:t>
      </w:r>
    </w:p>
    <w:p w:rsidR="0048389A" w:rsidRDefault="006A750F">
      <w:pPr>
        <w:ind w:left="144" w:right="144"/>
        <w:rPr>
          <w:sz w:val="20"/>
          <w:szCs w:val="20"/>
        </w:rPr>
      </w:pPr>
      <w:r>
        <w:rPr>
          <w:sz w:val="20"/>
          <w:szCs w:val="20"/>
        </w:rPr>
        <w:t> </w:t>
      </w:r>
    </w:p>
    <w:sectPr w:rsidR="0048389A">
      <w:pgSz w:w="12240" w:h="15840"/>
      <w:pgMar w:top="576" w:right="720" w:bottom="576" w:left="720" w:header="144"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01FB" w:rsidRDefault="001001FB" w:rsidP="00C44726">
      <w:r>
        <w:separator/>
      </w:r>
    </w:p>
  </w:endnote>
  <w:endnote w:type="continuationSeparator" w:id="0">
    <w:p w:rsidR="001001FB" w:rsidRDefault="001001FB" w:rsidP="00C44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01FB" w:rsidRDefault="001001FB" w:rsidP="00C44726">
      <w:r>
        <w:separator/>
      </w:r>
    </w:p>
  </w:footnote>
  <w:footnote w:type="continuationSeparator" w:id="0">
    <w:p w:rsidR="001001FB" w:rsidRDefault="001001FB" w:rsidP="00C447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89A"/>
    <w:rsid w:val="000021C0"/>
    <w:rsid w:val="001001FB"/>
    <w:rsid w:val="00406AA0"/>
    <w:rsid w:val="0048389A"/>
    <w:rsid w:val="006A750F"/>
    <w:rsid w:val="00C44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BFEDC"/>
  <w15:docId w15:val="{B22F9935-C27B-45DC-A548-8187B006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finTable">
    <w:name w:val="finTable"/>
    <w:basedOn w:val="TableNormal"/>
    <w:tblPr/>
  </w:style>
  <w:style w:type="paragraph" w:styleId="Header">
    <w:name w:val="header"/>
    <w:basedOn w:val="Normal"/>
    <w:link w:val="HeaderChar"/>
    <w:uiPriority w:val="99"/>
    <w:unhideWhenUsed/>
    <w:rsid w:val="00C44726"/>
    <w:pPr>
      <w:tabs>
        <w:tab w:val="center" w:pos="4680"/>
        <w:tab w:val="right" w:pos="9360"/>
      </w:tabs>
    </w:pPr>
  </w:style>
  <w:style w:type="character" w:customStyle="1" w:styleId="HeaderChar">
    <w:name w:val="Header Char"/>
    <w:basedOn w:val="DefaultParagraphFont"/>
    <w:link w:val="Header"/>
    <w:uiPriority w:val="99"/>
    <w:rsid w:val="00C44726"/>
    <w:rPr>
      <w:sz w:val="24"/>
      <w:szCs w:val="24"/>
    </w:rPr>
  </w:style>
  <w:style w:type="paragraph" w:styleId="Footer">
    <w:name w:val="footer"/>
    <w:basedOn w:val="Normal"/>
    <w:link w:val="FooterChar"/>
    <w:uiPriority w:val="99"/>
    <w:unhideWhenUsed/>
    <w:rsid w:val="00C44726"/>
    <w:pPr>
      <w:tabs>
        <w:tab w:val="center" w:pos="4680"/>
        <w:tab w:val="right" w:pos="9360"/>
      </w:tabs>
    </w:pPr>
  </w:style>
  <w:style w:type="character" w:customStyle="1" w:styleId="FooterChar">
    <w:name w:val="Footer Char"/>
    <w:basedOn w:val="DefaultParagraphFont"/>
    <w:link w:val="Footer"/>
    <w:uiPriority w:val="99"/>
    <w:rsid w:val="00C4472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17</Pages>
  <Words>8401</Words>
  <Characters>47890</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ex_282962.htm</vt:lpstr>
    </vt:vector>
  </TitlesOfParts>
  <Company/>
  <LinksUpToDate>false</LinksUpToDate>
  <CharactersWithSpaces>56179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ex_282962.htm</dc:title>
  <dc:creator>Joey L. Tyrney</dc:creator>
  <cp:lastModifiedBy>Joey L. Tyrney</cp:lastModifiedBy>
  <cp:revision>4</cp:revision>
  <dcterms:created xsi:type="dcterms:W3CDTF">2021-10-20T21:21:00Z</dcterms:created>
  <dcterms:modified xsi:type="dcterms:W3CDTF">2021-10-21T16:29:00Z</dcterms:modified>
</cp:coreProperties>
</file>