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07A4E" w14:textId="77777777" w:rsidR="00A96F1B" w:rsidRDefault="00A96F1B" w:rsidP="00081499">
      <w:pPr>
        <w:spacing w:after="0" w:line="240" w:lineRule="auto"/>
        <w:jc w:val="center"/>
        <w:rPr>
          <w:rFonts w:ascii="Arial" w:eastAsia="Arial" w:hAnsi="Arial" w:cs="Arial"/>
          <w:i/>
          <w:sz w:val="32"/>
          <w:szCs w:val="32"/>
        </w:rPr>
      </w:pPr>
      <w:r w:rsidRPr="00A96F1B">
        <w:rPr>
          <w:rFonts w:ascii="Arial" w:eastAsia="Arial" w:hAnsi="Arial" w:cs="Arial"/>
          <w:sz w:val="32"/>
          <w:szCs w:val="32"/>
        </w:rPr>
        <w:t>SNL Solunet Becomes an Identillect Distributor in Mexico</w:t>
      </w:r>
      <w:r w:rsidRPr="00A96F1B">
        <w:rPr>
          <w:rFonts w:ascii="Arial" w:eastAsia="Arial" w:hAnsi="Arial" w:cs="Arial"/>
          <w:i/>
          <w:sz w:val="32"/>
          <w:szCs w:val="32"/>
        </w:rPr>
        <w:t xml:space="preserve"> </w:t>
      </w:r>
      <w:r>
        <w:rPr>
          <w:rFonts w:ascii="Arial" w:eastAsia="Arial" w:hAnsi="Arial" w:cs="Arial"/>
          <w:i/>
          <w:sz w:val="32"/>
          <w:szCs w:val="32"/>
        </w:rPr>
        <w:br/>
      </w:r>
    </w:p>
    <w:p w14:paraId="5189FF1E" w14:textId="77777777" w:rsidR="00F808DF" w:rsidRPr="00F808DF" w:rsidRDefault="00F808DF" w:rsidP="00F808DF">
      <w:pPr>
        <w:spacing w:after="0" w:line="240" w:lineRule="auto"/>
        <w:jc w:val="center"/>
        <w:rPr>
          <w:rFonts w:ascii="Arial" w:eastAsiaTheme="minorEastAsia" w:hAnsi="Arial" w:cs="Arial"/>
          <w:i/>
          <w:sz w:val="24"/>
          <w:szCs w:val="24"/>
          <w:lang w:eastAsia="ja-JP"/>
        </w:rPr>
      </w:pPr>
      <w:r w:rsidRPr="00F808DF">
        <w:rPr>
          <w:rFonts w:ascii="Arial" w:eastAsiaTheme="minorEastAsia" w:hAnsi="Arial" w:cs="Arial"/>
          <w:i/>
          <w:sz w:val="24"/>
          <w:szCs w:val="24"/>
          <w:lang w:eastAsia="ja-JP"/>
        </w:rPr>
        <w:t xml:space="preserve">Experts in Cybersecurity and Data Centers, </w:t>
      </w:r>
    </w:p>
    <w:p w14:paraId="266D0E33" w14:textId="2C758413" w:rsidR="00081499" w:rsidRPr="00F808DF" w:rsidRDefault="00F808DF" w:rsidP="00F808DF">
      <w:pPr>
        <w:spacing w:after="0" w:line="240" w:lineRule="auto"/>
        <w:jc w:val="center"/>
        <w:rPr>
          <w:rFonts w:ascii="Arial" w:eastAsiaTheme="minorEastAsia" w:hAnsi="Arial" w:cs="Arial"/>
          <w:i/>
          <w:sz w:val="24"/>
          <w:szCs w:val="24"/>
          <w:lang w:eastAsia="ja-JP"/>
        </w:rPr>
      </w:pPr>
      <w:r w:rsidRPr="00F808DF">
        <w:rPr>
          <w:rFonts w:ascii="Arial" w:eastAsiaTheme="minorEastAsia" w:hAnsi="Arial" w:cs="Arial"/>
          <w:i/>
          <w:sz w:val="24"/>
          <w:szCs w:val="24"/>
          <w:lang w:eastAsia="ja-JP"/>
        </w:rPr>
        <w:t>SNL Solunet has Chosen Identillect’s Delivery Trust</w:t>
      </w:r>
      <w:r w:rsidRPr="00045B7E">
        <w:rPr>
          <w:rFonts w:ascii="Arial" w:eastAsiaTheme="minorEastAsia" w:hAnsi="Arial" w:cs="Arial"/>
          <w:i/>
          <w:sz w:val="24"/>
          <w:szCs w:val="24"/>
          <w:vertAlign w:val="superscript"/>
          <w:lang w:eastAsia="ja-JP"/>
        </w:rPr>
        <w:t>®</w:t>
      </w:r>
      <w:r w:rsidRPr="00F808DF">
        <w:rPr>
          <w:rFonts w:ascii="Arial" w:eastAsiaTheme="minorEastAsia" w:hAnsi="Arial" w:cs="Arial"/>
          <w:i/>
          <w:sz w:val="24"/>
          <w:szCs w:val="24"/>
          <w:lang w:eastAsia="ja-JP"/>
        </w:rPr>
        <w:t xml:space="preserve"> for Secure Email Systems</w:t>
      </w:r>
    </w:p>
    <w:p w14:paraId="33588C5E" w14:textId="77777777" w:rsidR="00F808DF" w:rsidRPr="00081499" w:rsidRDefault="00F808DF" w:rsidP="00F808DF">
      <w:pPr>
        <w:spacing w:after="0" w:line="240" w:lineRule="auto"/>
        <w:jc w:val="center"/>
        <w:rPr>
          <w:rFonts w:asciiTheme="majorHAnsi" w:eastAsiaTheme="minorEastAsia" w:hAnsiTheme="majorHAnsi" w:cs="Times New Roman"/>
          <w:i/>
          <w:sz w:val="24"/>
          <w:szCs w:val="24"/>
          <w:lang w:eastAsia="ja-JP"/>
        </w:rPr>
      </w:pPr>
    </w:p>
    <w:p w14:paraId="2AB23ED7" w14:textId="17B51E50" w:rsidR="00A96F1B" w:rsidRPr="00A96F1B" w:rsidRDefault="00630621" w:rsidP="00A96F1B">
      <w:pPr>
        <w:jc w:val="both"/>
        <w:rPr>
          <w:rFonts w:ascii="Arial" w:eastAsiaTheme="minorEastAsia" w:hAnsi="Arial" w:cs="Arial"/>
          <w:lang w:eastAsia="ja-JP"/>
        </w:rPr>
      </w:pPr>
      <w:r w:rsidRPr="00A96F1B">
        <w:rPr>
          <w:rFonts w:ascii="Arial" w:eastAsia="Arial" w:hAnsi="Arial" w:cs="Arial"/>
          <w:b/>
        </w:rPr>
        <w:t>Dana Point</w:t>
      </w:r>
      <w:r w:rsidR="00852C10" w:rsidRPr="00A96F1B">
        <w:rPr>
          <w:rFonts w:ascii="Arial" w:eastAsia="Arial" w:hAnsi="Arial" w:cs="Arial"/>
          <w:b/>
        </w:rPr>
        <w:t>, CA </w:t>
      </w:r>
      <w:r w:rsidR="00852C10" w:rsidRPr="00A96F1B">
        <w:rPr>
          <w:rFonts w:ascii="Arial" w:eastAsia="Arial" w:hAnsi="Arial" w:cs="Arial"/>
        </w:rPr>
        <w:t xml:space="preserve">– </w:t>
      </w:r>
      <w:r w:rsidR="009D63F7" w:rsidRPr="00A96F1B">
        <w:rPr>
          <w:rFonts w:ascii="Arial" w:eastAsia="Arial" w:hAnsi="Arial" w:cs="Arial"/>
        </w:rPr>
        <w:t>April</w:t>
      </w:r>
      <w:r w:rsidR="00852C10" w:rsidRPr="00A96F1B">
        <w:rPr>
          <w:rFonts w:ascii="Arial" w:eastAsia="Arial" w:hAnsi="Arial" w:cs="Arial"/>
        </w:rPr>
        <w:t xml:space="preserve"> </w:t>
      </w:r>
      <w:r w:rsidR="00A96F1B" w:rsidRPr="00A96F1B">
        <w:rPr>
          <w:rFonts w:ascii="Arial" w:eastAsia="Arial" w:hAnsi="Arial" w:cs="Arial"/>
        </w:rPr>
        <w:t>2</w:t>
      </w:r>
      <w:r w:rsidR="00AD6C77">
        <w:rPr>
          <w:rFonts w:ascii="Arial" w:eastAsia="Arial" w:hAnsi="Arial" w:cs="Arial"/>
        </w:rPr>
        <w:t>6</w:t>
      </w:r>
      <w:r w:rsidR="00FC2F18" w:rsidRPr="00A96F1B">
        <w:rPr>
          <w:rFonts w:ascii="Arial" w:eastAsia="Arial" w:hAnsi="Arial" w:cs="Arial"/>
        </w:rPr>
        <w:t xml:space="preserve">, </w:t>
      </w:r>
      <w:r w:rsidR="00852C10" w:rsidRPr="00A96F1B">
        <w:rPr>
          <w:rFonts w:ascii="Arial" w:eastAsia="Arial" w:hAnsi="Arial" w:cs="Arial"/>
        </w:rPr>
        <w:t>20</w:t>
      </w:r>
      <w:r w:rsidRPr="00A96F1B">
        <w:rPr>
          <w:rFonts w:ascii="Arial" w:eastAsia="Arial" w:hAnsi="Arial" w:cs="Arial"/>
        </w:rPr>
        <w:t>2</w:t>
      </w:r>
      <w:r w:rsidR="00C042BA" w:rsidRPr="00A96F1B">
        <w:rPr>
          <w:rFonts w:ascii="Arial" w:eastAsia="Arial" w:hAnsi="Arial" w:cs="Arial"/>
        </w:rPr>
        <w:t>2</w:t>
      </w:r>
      <w:r w:rsidR="00852C10" w:rsidRPr="00A96F1B">
        <w:rPr>
          <w:rFonts w:ascii="Arial" w:eastAsia="Arial" w:hAnsi="Arial" w:cs="Arial"/>
        </w:rPr>
        <w:t xml:space="preserve"> – </w:t>
      </w:r>
      <w:hyperlink r:id="rId10" w:history="1">
        <w:r w:rsidR="00A96F1B" w:rsidRPr="00A96F1B">
          <w:rPr>
            <w:rFonts w:ascii="Arial" w:eastAsiaTheme="minorEastAsia" w:hAnsi="Arial" w:cs="Arial"/>
            <w:color w:val="0000FF" w:themeColor="hyperlink"/>
            <w:u w:val="single"/>
            <w:lang w:eastAsia="ja-JP"/>
          </w:rPr>
          <w:t>Identillect Technologies Corp</w:t>
        </w:r>
      </w:hyperlink>
      <w:r w:rsidR="00A96F1B" w:rsidRPr="00A96F1B">
        <w:rPr>
          <w:rFonts w:ascii="Arial" w:eastAsiaTheme="minorEastAsia" w:hAnsi="Arial" w:cs="Arial"/>
          <w:lang w:eastAsia="ja-JP"/>
        </w:rPr>
        <w:t xml:space="preserve">. (TSXV:ID), an industry leader in email security, has been selected by Baja Mexico-based </w:t>
      </w:r>
      <w:hyperlink r:id="rId11" w:history="1">
        <w:r w:rsidR="00A96F1B" w:rsidRPr="00A96F1B">
          <w:rPr>
            <w:rFonts w:ascii="Arial" w:eastAsiaTheme="minorEastAsia" w:hAnsi="Arial" w:cs="Arial"/>
            <w:color w:val="0000FF" w:themeColor="hyperlink"/>
            <w:u w:val="single"/>
            <w:lang w:eastAsia="ja-JP"/>
          </w:rPr>
          <w:t>SNL Solunet</w:t>
        </w:r>
      </w:hyperlink>
      <w:r w:rsidR="00A96F1B" w:rsidRPr="00A96F1B">
        <w:rPr>
          <w:rFonts w:ascii="Arial" w:eastAsiaTheme="minorEastAsia" w:hAnsi="Arial" w:cs="Arial"/>
          <w:lang w:eastAsia="ja-JP"/>
        </w:rPr>
        <w:t xml:space="preserve"> to provide secure email services for its clients.  Founded 16 years ago, SNL Solunet provides both data security – such as risk analysis, digital forensics, vulnerability, and penetration testing – as well as physical security such as fire protection solutions, for a wide range of enterprise clients.  SNL Solunet is the first signed distributor in Identillect’s recently announced </w:t>
      </w:r>
      <w:hyperlink r:id="rId12" w:history="1">
        <w:r w:rsidR="00A96F1B" w:rsidRPr="00A96F1B">
          <w:rPr>
            <w:rFonts w:ascii="Arial" w:eastAsiaTheme="minorEastAsia" w:hAnsi="Arial" w:cs="Arial"/>
            <w:color w:val="0000FF" w:themeColor="hyperlink"/>
            <w:u w:val="single"/>
            <w:lang w:eastAsia="ja-JP"/>
          </w:rPr>
          <w:t>expansion into Mexico</w:t>
        </w:r>
      </w:hyperlink>
      <w:r w:rsidR="00A96F1B" w:rsidRPr="00A96F1B">
        <w:rPr>
          <w:rFonts w:ascii="Arial" w:eastAsiaTheme="minorEastAsia" w:hAnsi="Arial" w:cs="Arial"/>
          <w:lang w:eastAsia="ja-JP"/>
        </w:rPr>
        <w:t xml:space="preserve">. </w:t>
      </w:r>
    </w:p>
    <w:p w14:paraId="0AFCEE85" w14:textId="77777777" w:rsidR="00A96F1B" w:rsidRPr="00A96F1B" w:rsidRDefault="00A96F1B" w:rsidP="00A96F1B">
      <w:pPr>
        <w:spacing w:after="0" w:line="240" w:lineRule="auto"/>
        <w:jc w:val="both"/>
        <w:rPr>
          <w:rFonts w:ascii="Arial" w:eastAsiaTheme="minorEastAsia" w:hAnsi="Arial" w:cs="Arial"/>
          <w:lang w:eastAsia="ja-JP"/>
        </w:rPr>
      </w:pPr>
      <w:r w:rsidRPr="00A96F1B">
        <w:rPr>
          <w:rFonts w:ascii="Arial" w:eastAsiaTheme="minorEastAsia" w:hAnsi="Arial" w:cs="Arial"/>
          <w:lang w:eastAsia="ja-JP"/>
        </w:rPr>
        <w:t>Identillect’s Delivery Trust</w:t>
      </w:r>
      <w:r w:rsidRPr="00045B7E">
        <w:rPr>
          <w:rFonts w:ascii="Arial" w:eastAsiaTheme="minorEastAsia" w:hAnsi="Arial" w:cs="Arial"/>
          <w:vertAlign w:val="superscript"/>
          <w:lang w:eastAsia="ja-JP"/>
        </w:rPr>
        <w:t>®</w:t>
      </w:r>
      <w:r w:rsidRPr="00A96F1B">
        <w:rPr>
          <w:rFonts w:ascii="Arial" w:eastAsiaTheme="minorEastAsia" w:hAnsi="Arial" w:cs="Arial"/>
          <w:lang w:eastAsia="ja-JP"/>
        </w:rPr>
        <w:t xml:space="preserve"> secure email system is based on the Ethereum blockchain, making it distinct from other encryption services and uniquely secure.  An additional benefit of Delivery Trust</w:t>
      </w:r>
      <w:r w:rsidRPr="00045B7E">
        <w:rPr>
          <w:rFonts w:ascii="Arial" w:eastAsiaTheme="minorEastAsia" w:hAnsi="Arial" w:cs="Arial"/>
          <w:vertAlign w:val="superscript"/>
          <w:lang w:eastAsia="ja-JP"/>
        </w:rPr>
        <w:t>®</w:t>
      </w:r>
      <w:r w:rsidRPr="00A96F1B">
        <w:rPr>
          <w:rFonts w:ascii="Arial" w:eastAsiaTheme="minorEastAsia" w:hAnsi="Arial" w:cs="Arial"/>
          <w:lang w:eastAsia="ja-JP"/>
        </w:rPr>
        <w:t xml:space="preserve"> is its ease of installation, which allows employees to continue with the same email platforms they’re comfortable with such as Gmail, Outlook and O365.  </w:t>
      </w:r>
    </w:p>
    <w:p w14:paraId="24572222" w14:textId="77777777" w:rsidR="00A96F1B" w:rsidRPr="00A96F1B" w:rsidRDefault="00A96F1B" w:rsidP="00A96F1B">
      <w:pPr>
        <w:spacing w:after="0" w:line="240" w:lineRule="auto"/>
        <w:jc w:val="both"/>
        <w:rPr>
          <w:rFonts w:ascii="Arial" w:eastAsiaTheme="minorEastAsia" w:hAnsi="Arial" w:cs="Arial"/>
          <w:lang w:eastAsia="ja-JP"/>
        </w:rPr>
      </w:pPr>
    </w:p>
    <w:p w14:paraId="3DC54692" w14:textId="7C1030F2" w:rsidR="00A96F1B" w:rsidRPr="00A96F1B" w:rsidRDefault="00A96F1B" w:rsidP="00A96F1B">
      <w:pPr>
        <w:spacing w:after="0" w:line="240" w:lineRule="auto"/>
        <w:jc w:val="both"/>
        <w:rPr>
          <w:rFonts w:ascii="Arial" w:eastAsiaTheme="minorEastAsia" w:hAnsi="Arial" w:cs="Arial"/>
          <w:lang w:eastAsia="ja-JP"/>
        </w:rPr>
      </w:pPr>
      <w:r w:rsidRPr="00A96F1B">
        <w:rPr>
          <w:rFonts w:ascii="Arial" w:eastAsiaTheme="minorEastAsia" w:hAnsi="Arial" w:cs="Arial"/>
          <w:lang w:eastAsia="ja-JP"/>
        </w:rPr>
        <w:t xml:space="preserve">“Our clients rely on us for all their cybersecurity needs,” said SNL Solunet CEO Luis Raul Garcia.  “As security experts, we recognized Identillect’s Delivery Trust to be one of the most trustworthy systems on the market.  Its quick installation and flexibility are definite advantages.  Having a cybersecurity strategy implemented in organizations is vital, since it allows a collaborative and integrated global vision for the business while defending against possible threats </w:t>
      </w:r>
      <w:r w:rsidR="00D55BA1">
        <w:rPr>
          <w:rFonts w:ascii="Arial" w:eastAsiaTheme="minorEastAsia" w:hAnsi="Arial" w:cs="Arial"/>
          <w:lang w:eastAsia="ja-JP"/>
        </w:rPr>
        <w:t xml:space="preserve">that </w:t>
      </w:r>
      <w:r w:rsidRPr="00A96F1B">
        <w:rPr>
          <w:rFonts w:ascii="Arial" w:eastAsiaTheme="minorEastAsia" w:hAnsi="Arial" w:cs="Arial"/>
          <w:lang w:eastAsia="ja-JP"/>
        </w:rPr>
        <w:t xml:space="preserve">may affect not only operations but significant loss of revenue.” </w:t>
      </w:r>
    </w:p>
    <w:p w14:paraId="54312F2C" w14:textId="77777777" w:rsidR="00A96F1B" w:rsidRPr="00A96F1B" w:rsidRDefault="00A96F1B" w:rsidP="00A96F1B">
      <w:pPr>
        <w:spacing w:after="0" w:line="240" w:lineRule="auto"/>
        <w:jc w:val="both"/>
        <w:rPr>
          <w:rFonts w:ascii="Arial" w:eastAsiaTheme="minorEastAsia" w:hAnsi="Arial" w:cs="Arial"/>
          <w:lang w:eastAsia="ja-JP"/>
        </w:rPr>
      </w:pPr>
    </w:p>
    <w:p w14:paraId="7DEB868B" w14:textId="1432BE9C" w:rsidR="00A96F1B" w:rsidRPr="00A96F1B" w:rsidRDefault="00A96F1B" w:rsidP="00A96F1B">
      <w:pPr>
        <w:spacing w:after="0" w:line="240" w:lineRule="auto"/>
        <w:jc w:val="both"/>
        <w:rPr>
          <w:rFonts w:ascii="Arial" w:eastAsiaTheme="minorEastAsia" w:hAnsi="Arial" w:cs="Arial"/>
          <w:lang w:eastAsia="ja-JP"/>
        </w:rPr>
      </w:pPr>
      <w:r w:rsidRPr="00A96F1B">
        <w:rPr>
          <w:rFonts w:ascii="Arial" w:eastAsiaTheme="minorEastAsia" w:hAnsi="Arial" w:cs="Arial"/>
          <w:lang w:eastAsia="ja-JP"/>
        </w:rPr>
        <w:t xml:space="preserve">“We are pleased to be a part of SNL Solunet’s suite of security tools and </w:t>
      </w:r>
      <w:r w:rsidR="00662758">
        <w:rPr>
          <w:rFonts w:ascii="Arial" w:eastAsiaTheme="minorEastAsia" w:hAnsi="Arial" w:cs="Arial"/>
          <w:lang w:eastAsia="ja-JP"/>
        </w:rPr>
        <w:t xml:space="preserve">for SNL Solunet to be part of </w:t>
      </w:r>
      <w:r w:rsidRPr="00A96F1B">
        <w:rPr>
          <w:rFonts w:ascii="Arial" w:eastAsiaTheme="minorEastAsia" w:hAnsi="Arial" w:cs="Arial"/>
          <w:lang w:eastAsia="ja-JP"/>
        </w:rPr>
        <w:t xml:space="preserve">our progressive inroads to Mexico,” said Todd Sexton, Identillect CEO.  “Ranked </w:t>
      </w:r>
      <w:hyperlink r:id="rId13" w:history="1">
        <w:r w:rsidRPr="00A96F1B">
          <w:rPr>
            <w:rFonts w:ascii="Arial" w:eastAsiaTheme="minorEastAsia" w:hAnsi="Arial" w:cs="Arial"/>
            <w:color w:val="0000FF" w:themeColor="hyperlink"/>
            <w:u w:val="single"/>
            <w:lang w:eastAsia="ja-JP"/>
          </w:rPr>
          <w:t>second in Latin America</w:t>
        </w:r>
      </w:hyperlink>
      <w:r w:rsidRPr="00A96F1B">
        <w:rPr>
          <w:rFonts w:ascii="Arial" w:eastAsiaTheme="minorEastAsia" w:hAnsi="Arial" w:cs="Arial"/>
          <w:lang w:eastAsia="ja-JP"/>
        </w:rPr>
        <w:t xml:space="preserve"> for cyber-attacks, Mexico is a prime </w:t>
      </w:r>
      <w:r w:rsidR="00C112E9">
        <w:rPr>
          <w:rFonts w:ascii="Arial" w:eastAsiaTheme="minorEastAsia" w:hAnsi="Arial" w:cs="Arial"/>
          <w:lang w:eastAsia="ja-JP"/>
        </w:rPr>
        <w:t xml:space="preserve">market </w:t>
      </w:r>
      <w:r w:rsidRPr="00A96F1B">
        <w:rPr>
          <w:rFonts w:ascii="Arial" w:eastAsiaTheme="minorEastAsia" w:hAnsi="Arial" w:cs="Arial"/>
          <w:lang w:eastAsia="ja-JP"/>
        </w:rPr>
        <w:t xml:space="preserve">opportunity for companies </w:t>
      </w:r>
      <w:r w:rsidR="001C5C92">
        <w:rPr>
          <w:rFonts w:ascii="Arial" w:eastAsiaTheme="minorEastAsia" w:hAnsi="Arial" w:cs="Arial"/>
          <w:lang w:eastAsia="ja-JP"/>
        </w:rPr>
        <w:t>with businesses t</w:t>
      </w:r>
      <w:r w:rsidR="00C112E9">
        <w:rPr>
          <w:rFonts w:ascii="Arial" w:eastAsiaTheme="minorEastAsia" w:hAnsi="Arial" w:cs="Arial"/>
          <w:lang w:eastAsia="ja-JP"/>
        </w:rPr>
        <w:t xml:space="preserve">here </w:t>
      </w:r>
      <w:r w:rsidRPr="00A96F1B">
        <w:rPr>
          <w:rFonts w:ascii="Arial" w:eastAsiaTheme="minorEastAsia" w:hAnsi="Arial" w:cs="Arial"/>
          <w:lang w:eastAsia="ja-JP"/>
        </w:rPr>
        <w:t>to implement the advanced security solutions of Delivery Trust.”</w:t>
      </w:r>
    </w:p>
    <w:p w14:paraId="4F958159" w14:textId="77777777" w:rsidR="00A96F1B" w:rsidRPr="00A96F1B" w:rsidRDefault="00A96F1B" w:rsidP="00A96F1B">
      <w:pPr>
        <w:spacing w:after="0" w:line="240" w:lineRule="auto"/>
        <w:jc w:val="both"/>
        <w:rPr>
          <w:rFonts w:ascii="Arial" w:eastAsiaTheme="minorEastAsia" w:hAnsi="Arial" w:cs="Arial"/>
          <w:lang w:eastAsia="ja-JP"/>
        </w:rPr>
      </w:pPr>
    </w:p>
    <w:p w14:paraId="3590211A" w14:textId="77777777" w:rsidR="00A96F1B" w:rsidRPr="00A96F1B" w:rsidRDefault="00A96F1B" w:rsidP="00A96F1B">
      <w:pPr>
        <w:spacing w:after="0" w:line="240" w:lineRule="auto"/>
        <w:jc w:val="both"/>
        <w:rPr>
          <w:rFonts w:ascii="Arial" w:eastAsiaTheme="minorEastAsia" w:hAnsi="Arial" w:cs="Arial"/>
          <w:lang w:eastAsia="ja-JP"/>
        </w:rPr>
      </w:pPr>
      <w:r w:rsidRPr="00A96F1B">
        <w:rPr>
          <w:rFonts w:ascii="Arial" w:eastAsiaTheme="minorEastAsia" w:hAnsi="Arial" w:cs="Arial"/>
          <w:lang w:eastAsia="ja-JP"/>
        </w:rPr>
        <w:t xml:space="preserve">Experts estimate that Mexico experiences 78,000 cyberattacks every hour, with an average of USD $2 Million lost in each successful incursion.  In fact, due to its increased focus on security, the U.S. Department of Commerce </w:t>
      </w:r>
      <w:hyperlink r:id="rId14" w:history="1">
        <w:r w:rsidRPr="00A96F1B">
          <w:rPr>
            <w:rFonts w:ascii="Arial" w:eastAsiaTheme="minorEastAsia" w:hAnsi="Arial" w:cs="Arial"/>
            <w:color w:val="0000FF" w:themeColor="hyperlink"/>
            <w:u w:val="single"/>
            <w:lang w:eastAsia="ja-JP"/>
          </w:rPr>
          <w:t>announced recently</w:t>
        </w:r>
      </w:hyperlink>
      <w:r w:rsidRPr="00A96F1B">
        <w:rPr>
          <w:rFonts w:ascii="Arial" w:eastAsiaTheme="minorEastAsia" w:hAnsi="Arial" w:cs="Arial"/>
          <w:lang w:eastAsia="ja-JP"/>
        </w:rPr>
        <w:t xml:space="preserve"> that “the sale of both safety and security equipment and services represent terrific opportunities in Mexico, making this a best prospect industry sector for U.S. exporters.”  </w:t>
      </w:r>
    </w:p>
    <w:p w14:paraId="5C392948" w14:textId="7552C041" w:rsidR="003809BA" w:rsidRPr="00A96F1B" w:rsidRDefault="003809BA" w:rsidP="00A96F1B">
      <w:pPr>
        <w:spacing w:after="0" w:line="240" w:lineRule="auto"/>
        <w:jc w:val="both"/>
        <w:rPr>
          <w:rFonts w:ascii="Arial" w:eastAsia="Arial" w:hAnsi="Arial" w:cs="Arial"/>
        </w:rPr>
      </w:pPr>
    </w:p>
    <w:p w14:paraId="566EB56D" w14:textId="02C55719" w:rsidR="00A96F1B" w:rsidRPr="00A96F1B" w:rsidRDefault="00A96F1B" w:rsidP="00A96F1B">
      <w:pPr>
        <w:spacing w:after="0" w:line="240" w:lineRule="auto"/>
        <w:rPr>
          <w:rFonts w:ascii="Arial" w:eastAsiaTheme="minorEastAsia" w:hAnsi="Arial" w:cs="Arial"/>
          <w:b/>
          <w:u w:val="single"/>
          <w:lang w:eastAsia="ja-JP"/>
        </w:rPr>
      </w:pPr>
      <w:r w:rsidRPr="00A96F1B">
        <w:rPr>
          <w:rFonts w:ascii="Arial" w:eastAsiaTheme="minorEastAsia" w:hAnsi="Arial" w:cs="Arial"/>
          <w:b/>
          <w:u w:val="single"/>
          <w:lang w:eastAsia="ja-JP"/>
        </w:rPr>
        <w:t>About SNL Solunet</w:t>
      </w:r>
    </w:p>
    <w:p w14:paraId="7032ECB0" w14:textId="77777777" w:rsidR="00A96F1B" w:rsidRPr="00A96F1B" w:rsidRDefault="00A96F1B" w:rsidP="00A96F1B">
      <w:pPr>
        <w:spacing w:after="0" w:line="240" w:lineRule="auto"/>
        <w:rPr>
          <w:rFonts w:ascii="Arial" w:eastAsiaTheme="minorEastAsia" w:hAnsi="Arial" w:cs="Arial"/>
          <w:bCs/>
          <w:lang w:eastAsia="ja-JP"/>
        </w:rPr>
      </w:pPr>
    </w:p>
    <w:p w14:paraId="6CAF10D3" w14:textId="77777777" w:rsidR="00A96F1B" w:rsidRPr="00A96F1B" w:rsidRDefault="00A96F1B" w:rsidP="00F808DF">
      <w:pPr>
        <w:spacing w:after="0" w:line="240" w:lineRule="auto"/>
        <w:jc w:val="both"/>
        <w:rPr>
          <w:rFonts w:ascii="Arial" w:eastAsiaTheme="minorEastAsia" w:hAnsi="Arial" w:cs="Arial"/>
          <w:bCs/>
          <w:lang w:eastAsia="ja-JP"/>
        </w:rPr>
      </w:pPr>
      <w:r w:rsidRPr="00A96F1B">
        <w:rPr>
          <w:rFonts w:ascii="Arial" w:eastAsiaTheme="minorEastAsia" w:hAnsi="Arial" w:cs="Arial"/>
          <w:bCs/>
          <w:lang w:eastAsia="ja-JP"/>
        </w:rPr>
        <w:t xml:space="preserve">SNL Solunet has more than 16 years of experience in the IT solutions market.  The company is made up of a team of incredible people who strive to design and implement the appropriate technological solution to support each of their clients' business processes.  Areas of expertise </w:t>
      </w:r>
      <w:r w:rsidRPr="00A96F1B">
        <w:rPr>
          <w:rFonts w:ascii="Arial" w:eastAsiaTheme="minorEastAsia" w:hAnsi="Arial" w:cs="Arial"/>
          <w:bCs/>
          <w:lang w:eastAsia="ja-JP"/>
        </w:rPr>
        <w:lastRenderedPageBreak/>
        <w:t xml:space="preserve">include: Hyperconvergence, Cyber Security, Data Center and Cloud, Communications, Robotic Process Automation, Smart RFID, Digital Workspace and Physical Security.  </w:t>
      </w:r>
    </w:p>
    <w:p w14:paraId="13255648" w14:textId="77777777" w:rsidR="00A96F1B" w:rsidRPr="00A96F1B" w:rsidRDefault="00A96F1B" w:rsidP="00A96F1B">
      <w:pPr>
        <w:spacing w:after="0" w:line="240" w:lineRule="auto"/>
        <w:rPr>
          <w:rFonts w:ascii="Arial" w:eastAsiaTheme="minorEastAsia" w:hAnsi="Arial" w:cs="Arial"/>
          <w:bCs/>
          <w:lang w:eastAsia="ja-JP"/>
        </w:rPr>
      </w:pPr>
    </w:p>
    <w:p w14:paraId="1A6BC3BA" w14:textId="77777777" w:rsidR="00A96F1B" w:rsidRPr="00A96F1B" w:rsidRDefault="00A96F1B" w:rsidP="00A96F1B">
      <w:pPr>
        <w:spacing w:after="0" w:line="240" w:lineRule="auto"/>
        <w:rPr>
          <w:rFonts w:ascii="Arial" w:eastAsiaTheme="minorEastAsia" w:hAnsi="Arial" w:cs="Arial"/>
          <w:b/>
          <w:u w:val="single"/>
          <w:lang w:eastAsia="ja-JP"/>
        </w:rPr>
      </w:pPr>
      <w:r w:rsidRPr="00A96F1B">
        <w:rPr>
          <w:rFonts w:ascii="Arial" w:eastAsiaTheme="minorEastAsia" w:hAnsi="Arial" w:cs="Arial"/>
          <w:bCs/>
          <w:lang w:eastAsia="ja-JP"/>
        </w:rPr>
        <w:t>More information at https://www.gn-corp.com.mx.</w:t>
      </w:r>
    </w:p>
    <w:p w14:paraId="3340798F" w14:textId="77777777" w:rsidR="00A96F1B" w:rsidRPr="00A96F1B" w:rsidRDefault="00A96F1B" w:rsidP="00A96F1B">
      <w:pPr>
        <w:spacing w:after="0" w:line="240" w:lineRule="auto"/>
        <w:rPr>
          <w:rFonts w:ascii="Arial" w:eastAsiaTheme="minorEastAsia" w:hAnsi="Arial" w:cs="Arial"/>
          <w:b/>
          <w:u w:val="single"/>
          <w:lang w:eastAsia="ja-JP"/>
        </w:rPr>
      </w:pPr>
    </w:p>
    <w:p w14:paraId="581FA367" w14:textId="1A9D6280" w:rsidR="009D63F7" w:rsidRPr="00A96F1B" w:rsidRDefault="009D63F7" w:rsidP="009D63F7">
      <w:pPr>
        <w:spacing w:line="240" w:lineRule="auto"/>
        <w:rPr>
          <w:rFonts w:ascii="Arial" w:eastAsia="Times New Roman" w:hAnsi="Arial" w:cs="Arial"/>
        </w:rPr>
      </w:pPr>
      <w:r w:rsidRPr="00A96F1B">
        <w:rPr>
          <w:rFonts w:ascii="Arial" w:eastAsia="Times New Roman" w:hAnsi="Arial" w:cs="Arial"/>
          <w:b/>
          <w:bCs/>
          <w:color w:val="000000"/>
        </w:rPr>
        <w:t>About Identillect</w:t>
      </w:r>
    </w:p>
    <w:p w14:paraId="50CC7CBC" w14:textId="77777777" w:rsidR="009D63F7" w:rsidRPr="00A96F1B" w:rsidRDefault="009D63F7" w:rsidP="009D63F7">
      <w:pPr>
        <w:spacing w:after="0" w:line="240" w:lineRule="auto"/>
        <w:jc w:val="both"/>
        <w:rPr>
          <w:rFonts w:ascii="Arial" w:eastAsia="Times New Roman" w:hAnsi="Arial" w:cs="Arial"/>
          <w:color w:val="000000"/>
        </w:rPr>
      </w:pPr>
      <w:r w:rsidRPr="00A96F1B">
        <w:rPr>
          <w:rFonts w:ascii="Arial" w:eastAsia="Times New Roman" w:hAnsi="Arial" w:cs="Arial"/>
          <w:color w:val="000000"/>
        </w:rPr>
        <w:t>Identillect Technologies is the leading provider of email encryption service Delivery Trust</w:t>
      </w:r>
      <w:r w:rsidRPr="00A96F1B">
        <w:rPr>
          <w:rFonts w:ascii="Arial" w:eastAsia="Times New Roman" w:hAnsi="Arial" w:cs="Arial"/>
          <w:color w:val="000000"/>
          <w:vertAlign w:val="superscript"/>
        </w:rPr>
        <w:t>®</w:t>
      </w:r>
      <w:r w:rsidRPr="00A96F1B">
        <w:rPr>
          <w:rFonts w:ascii="Arial" w:eastAsia="Times New Roman" w:hAnsi="Arial" w:cs="Arial"/>
          <w:color w:val="000000"/>
        </w:rPr>
        <w:t>, empowering enterprises of all sizes to protect their business and their client's critical information against cyber security attacks.</w:t>
      </w:r>
    </w:p>
    <w:p w14:paraId="4FDA1BBA" w14:textId="77777777" w:rsidR="009D63F7" w:rsidRPr="00A96F1B" w:rsidRDefault="009D63F7" w:rsidP="009D63F7">
      <w:pPr>
        <w:spacing w:after="0" w:line="240" w:lineRule="auto"/>
        <w:jc w:val="both"/>
        <w:rPr>
          <w:rFonts w:ascii="Arial" w:eastAsia="Times New Roman" w:hAnsi="Arial" w:cs="Arial"/>
          <w:color w:val="000000"/>
        </w:rPr>
      </w:pPr>
    </w:p>
    <w:p w14:paraId="7D6689D4" w14:textId="77777777" w:rsidR="009D63F7" w:rsidRPr="00A96F1B" w:rsidRDefault="009D63F7" w:rsidP="009D63F7">
      <w:pPr>
        <w:spacing w:after="0" w:line="240" w:lineRule="auto"/>
        <w:rPr>
          <w:rFonts w:ascii="Arial" w:eastAsia="Arial" w:hAnsi="Arial" w:cs="Arial"/>
        </w:rPr>
      </w:pPr>
      <w:r w:rsidRPr="00A96F1B">
        <w:rPr>
          <w:rFonts w:ascii="Arial" w:eastAsia="Arial" w:hAnsi="Arial" w:cs="Arial"/>
        </w:rPr>
        <w:t>For more information, or your free trial, please visit </w:t>
      </w:r>
      <w:hyperlink r:id="rId15" w:history="1">
        <w:r w:rsidRPr="00A96F1B">
          <w:rPr>
            <w:rFonts w:ascii="Arial" w:eastAsia="Arial" w:hAnsi="Arial" w:cs="Arial"/>
            <w:color w:val="000000"/>
            <w:u w:val="single"/>
          </w:rPr>
          <w:t>www.identillect.com</w:t>
        </w:r>
      </w:hyperlink>
    </w:p>
    <w:p w14:paraId="103DBDE7" w14:textId="77777777" w:rsidR="00F808DF" w:rsidRDefault="00F808DF" w:rsidP="00F808DF">
      <w:pPr>
        <w:spacing w:after="0" w:line="240" w:lineRule="auto"/>
        <w:rPr>
          <w:rFonts w:ascii="Arial" w:eastAsia="Arial" w:hAnsi="Arial" w:cs="Arial"/>
          <w:color w:val="000000"/>
        </w:rPr>
      </w:pPr>
    </w:p>
    <w:p w14:paraId="61C2935C" w14:textId="5C1E44AE" w:rsidR="009D63F7" w:rsidRPr="00A96F1B" w:rsidRDefault="009D63F7" w:rsidP="00F808DF">
      <w:pPr>
        <w:spacing w:after="0" w:line="240" w:lineRule="auto"/>
        <w:rPr>
          <w:rFonts w:ascii="Arial" w:eastAsia="Arial" w:hAnsi="Arial" w:cs="Arial"/>
          <w:color w:val="000000"/>
        </w:rPr>
      </w:pPr>
      <w:r w:rsidRPr="00A96F1B">
        <w:rPr>
          <w:rFonts w:ascii="Arial" w:eastAsia="Arial" w:hAnsi="Arial" w:cs="Arial"/>
          <w:color w:val="000000"/>
        </w:rPr>
        <w:t>On Behalf of the Board of Directors of:</w:t>
      </w:r>
    </w:p>
    <w:p w14:paraId="009C0851" w14:textId="77777777" w:rsidR="009D63F7" w:rsidRPr="00A96F1B" w:rsidRDefault="009D63F7" w:rsidP="009D63F7">
      <w:pPr>
        <w:spacing w:line="240" w:lineRule="auto"/>
        <w:rPr>
          <w:rFonts w:ascii="Arial" w:eastAsia="Arial" w:hAnsi="Arial" w:cs="Arial"/>
          <w:b/>
          <w:color w:val="000000"/>
        </w:rPr>
      </w:pPr>
      <w:r w:rsidRPr="00A96F1B">
        <w:rPr>
          <w:rFonts w:ascii="Arial" w:eastAsia="Arial" w:hAnsi="Arial" w:cs="Arial"/>
          <w:b/>
          <w:color w:val="000000"/>
        </w:rPr>
        <w:t xml:space="preserve">IDENTILLECT TECHNOLOGIES CORP. </w:t>
      </w:r>
    </w:p>
    <w:p w14:paraId="7CF7C15F" w14:textId="77777777" w:rsidR="009D63F7" w:rsidRPr="00A96F1B" w:rsidRDefault="009D63F7" w:rsidP="009D63F7">
      <w:pPr>
        <w:keepNext/>
        <w:keepLines/>
        <w:widowControl w:val="0"/>
        <w:spacing w:after="360" w:line="240" w:lineRule="auto"/>
        <w:rPr>
          <w:rFonts w:ascii="Arial" w:eastAsia="Times New Roman" w:hAnsi="Arial" w:cs="Arial"/>
          <w:b/>
          <w:color w:val="000000"/>
        </w:rPr>
      </w:pPr>
      <w:r w:rsidRPr="00A96F1B">
        <w:rPr>
          <w:rFonts w:ascii="Arial" w:eastAsia="Arial" w:hAnsi="Arial" w:cs="Arial"/>
          <w:color w:val="000000"/>
        </w:rPr>
        <w:t>Todd Sexton</w:t>
      </w:r>
      <w:r w:rsidRPr="00A96F1B">
        <w:rPr>
          <w:rFonts w:ascii="Arial" w:eastAsia="Arial" w:hAnsi="Arial" w:cs="Arial"/>
          <w:color w:val="000000"/>
        </w:rPr>
        <w:br/>
        <w:t>Chief Executive Officer</w:t>
      </w:r>
      <w:r w:rsidRPr="00A96F1B">
        <w:rPr>
          <w:rFonts w:ascii="Arial" w:eastAsia="Arial" w:hAnsi="Arial" w:cs="Arial"/>
          <w:color w:val="000000"/>
        </w:rPr>
        <w:br/>
        <w:t>Tel: (949) 468-7878</w:t>
      </w:r>
      <w:r w:rsidRPr="00A96F1B">
        <w:rPr>
          <w:rFonts w:ascii="Arial" w:eastAsia="Arial" w:hAnsi="Arial" w:cs="Arial"/>
          <w:color w:val="000000"/>
        </w:rPr>
        <w:br/>
        <w:t>Email: todd.sexton@identillect.com</w:t>
      </w:r>
    </w:p>
    <w:p w14:paraId="47C25153" w14:textId="77777777" w:rsidR="009D63F7" w:rsidRPr="00A96F1B" w:rsidRDefault="009D63F7" w:rsidP="009D63F7">
      <w:pPr>
        <w:spacing w:after="0" w:line="240" w:lineRule="auto"/>
        <w:jc w:val="both"/>
        <w:rPr>
          <w:rFonts w:ascii="Arial" w:hAnsi="Arial" w:cs="Arial"/>
          <w:i/>
          <w:iCs/>
          <w:sz w:val="18"/>
          <w:szCs w:val="18"/>
        </w:rPr>
      </w:pPr>
      <w:r w:rsidRPr="00A96F1B">
        <w:rPr>
          <w:rFonts w:ascii="Arial" w:hAnsi="Arial" w:cs="Arial"/>
          <w:i/>
          <w:iCs/>
          <w:sz w:val="18"/>
          <w:szCs w:val="18"/>
        </w:rPr>
        <w:t>Neither TSX Venture Exchange nor its Regulation Services Provider (as that term is defined in policies of the TSX Venture Exchange) accepts responsibility for the adequacy or accuracy of this release.</w:t>
      </w:r>
    </w:p>
    <w:p w14:paraId="04B6AD41" w14:textId="77777777" w:rsidR="009D63F7" w:rsidRPr="00A96F1B" w:rsidRDefault="009D63F7" w:rsidP="009D63F7">
      <w:pPr>
        <w:spacing w:after="0" w:line="240" w:lineRule="auto"/>
        <w:jc w:val="both"/>
        <w:rPr>
          <w:rFonts w:ascii="Arial" w:hAnsi="Arial" w:cs="Arial"/>
          <w:i/>
          <w:iCs/>
          <w:sz w:val="18"/>
          <w:szCs w:val="18"/>
        </w:rPr>
      </w:pPr>
      <w:r w:rsidRPr="00A96F1B">
        <w:rPr>
          <w:rFonts w:ascii="Arial" w:hAnsi="Arial" w:cs="Arial"/>
          <w:i/>
          <w:iCs/>
          <w:sz w:val="18"/>
          <w:szCs w:val="18"/>
        </w:rPr>
        <w:t xml:space="preserve"> </w:t>
      </w:r>
    </w:p>
    <w:p w14:paraId="6F2150C1" w14:textId="77777777" w:rsidR="009D63F7" w:rsidRPr="00A96F1B" w:rsidRDefault="009D63F7" w:rsidP="009D63F7">
      <w:pPr>
        <w:spacing w:after="240" w:line="240" w:lineRule="auto"/>
        <w:jc w:val="both"/>
        <w:rPr>
          <w:rFonts w:ascii="Arial" w:eastAsia="Times New Roman" w:hAnsi="Arial" w:cs="Arial"/>
          <w:szCs w:val="24"/>
          <w:lang w:val="en-CA"/>
        </w:rPr>
      </w:pPr>
      <w:r w:rsidRPr="00A96F1B">
        <w:rPr>
          <w:rFonts w:ascii="Arial" w:eastAsia="Times New Roman" w:hAnsi="Arial" w:cs="Arial"/>
          <w:i/>
          <w:iCs/>
          <w:sz w:val="18"/>
          <w:szCs w:val="18"/>
          <w:lang w:val="en-CA"/>
        </w:rPr>
        <w:t>This news release may include forward-looking statements that are subject to risks and uncertainties. All statements within, other than statements of historical fact, are to be considered forward looking.  Although the Company believes the expectations expressed in such forward-looking statements are based on reasonable assumptions, such statements are not guarantees of future performance and actual results or developments may differ materially from those in forward-looking statements.  Factors that could cause actual results to differ materially from those in forward-looking statements include market prices, exploitation and exploration successes, continued availability of capital and financing, and general economic, market or business conditions.  There can be no assurances that such statements will prove accurate and, therefore, readers are advised to rely on their own evaluation of such uncertainties.  We do not assume any obligation to update any forward-looking statements except as required under the applicable laws.</w:t>
      </w:r>
    </w:p>
    <w:p w14:paraId="36CB3D23" w14:textId="52F7C7B0" w:rsidR="00342757" w:rsidRPr="00A96F1B" w:rsidRDefault="00342757" w:rsidP="009D63F7">
      <w:pPr>
        <w:pBdr>
          <w:top w:val="nil"/>
          <w:left w:val="nil"/>
          <w:bottom w:val="nil"/>
          <w:right w:val="nil"/>
          <w:between w:val="nil"/>
        </w:pBdr>
        <w:spacing w:line="240" w:lineRule="auto"/>
        <w:rPr>
          <w:rFonts w:ascii="Arial" w:eastAsia="Times New Roman" w:hAnsi="Arial" w:cs="Arial"/>
          <w:b/>
          <w:color w:val="000000"/>
        </w:rPr>
      </w:pPr>
    </w:p>
    <w:sectPr w:rsidR="00342757" w:rsidRPr="00A96F1B" w:rsidSect="00A451D6">
      <w:headerReference w:type="default" r:id="rId16"/>
      <w:footerReference w:type="default" r:id="rId17"/>
      <w:pgSz w:w="12240" w:h="15840"/>
      <w:pgMar w:top="144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57BA6" w14:textId="77777777" w:rsidR="003F01B7" w:rsidRDefault="003F01B7">
      <w:pPr>
        <w:spacing w:after="0" w:line="240" w:lineRule="auto"/>
      </w:pPr>
      <w:r>
        <w:separator/>
      </w:r>
    </w:p>
  </w:endnote>
  <w:endnote w:type="continuationSeparator" w:id="0">
    <w:p w14:paraId="24F592BA" w14:textId="77777777" w:rsidR="003F01B7" w:rsidRDefault="003F0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01B0" w14:textId="77777777" w:rsidR="00342757" w:rsidRDefault="00852C1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6BC12827" wp14:editId="6C2E573A">
              <wp:simplePos x="0" y="0"/>
              <wp:positionH relativeFrom="column">
                <wp:posOffset>1</wp:posOffset>
              </wp:positionH>
              <wp:positionV relativeFrom="paragraph">
                <wp:posOffset>0</wp:posOffset>
              </wp:positionV>
              <wp:extent cx="5953125" cy="466725"/>
              <wp:effectExtent l="0" t="0" r="0" b="0"/>
              <wp:wrapNone/>
              <wp:docPr id="2" name="Rectangle 2"/>
              <wp:cNvGraphicFramePr/>
              <a:graphic xmlns:a="http://schemas.openxmlformats.org/drawingml/2006/main">
                <a:graphicData uri="http://schemas.microsoft.com/office/word/2010/wordprocessingShape">
                  <wps:wsp>
                    <wps:cNvSpPr/>
                    <wps:spPr>
                      <a:xfrm>
                        <a:off x="2374200" y="3551400"/>
                        <a:ext cx="5943600" cy="457200"/>
                      </a:xfrm>
                      <a:prstGeom prst="rect">
                        <a:avLst/>
                      </a:prstGeom>
                      <a:noFill/>
                      <a:ln>
                        <a:noFill/>
                      </a:ln>
                    </wps:spPr>
                    <wps:txbx>
                      <w:txbxContent>
                        <w:p w14:paraId="6C97667A" w14:textId="77777777" w:rsidR="00342757" w:rsidRDefault="00342757">
                          <w:pPr>
                            <w:spacing w:before="20" w:after="0" w:line="240" w:lineRule="auto"/>
                            <w:textDirection w:val="btLr"/>
                          </w:pPr>
                        </w:p>
                      </w:txbxContent>
                    </wps:txbx>
                    <wps:bodyPr spcFirstLastPara="1" wrap="square" lIns="0" tIns="0" rIns="0" bIns="182875" anchor="t" anchorCtr="0">
                      <a:noAutofit/>
                    </wps:bodyPr>
                  </wps:wsp>
                </a:graphicData>
              </a:graphic>
            </wp:anchor>
          </w:drawing>
        </mc:Choice>
        <mc:Fallback>
          <w:pict>
            <v:rect w14:anchorId="6BC12827" id="Rectangle 2" o:spid="_x0000_s1027" style="position:absolute;margin-left:0;margin-top:0;width:468.75pt;height:36.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" filled="f" stroked="f">
              <v:textbox inset="0,0,0,5.07986mm">
                <w:txbxContent>
                  <w:p w14:paraId="6C97667A" w14:textId="77777777" w:rsidR="00342757" w:rsidRDefault="00342757">
                    <w:pPr>
                      <w:spacing w:before="20" w:after="0" w:line="240"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D223E" w14:textId="77777777" w:rsidR="003F01B7" w:rsidRDefault="003F01B7">
      <w:pPr>
        <w:spacing w:after="0" w:line="240" w:lineRule="auto"/>
      </w:pPr>
      <w:r>
        <w:separator/>
      </w:r>
    </w:p>
  </w:footnote>
  <w:footnote w:type="continuationSeparator" w:id="0">
    <w:p w14:paraId="7049E2BB" w14:textId="77777777" w:rsidR="003F01B7" w:rsidRDefault="003F0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98F2B" w14:textId="4FAD5642" w:rsidR="00342757" w:rsidRDefault="00CE5259">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 </w:t>
    </w:r>
    <w:r w:rsidR="00852C10">
      <w:rPr>
        <w:noProof/>
        <w:color w:val="000000"/>
      </w:rPr>
      <w:drawing>
        <wp:inline distT="0" distB="0" distL="0" distR="0" wp14:anchorId="7D3EFF6B" wp14:editId="74D9AF24">
          <wp:extent cx="3162300" cy="762000"/>
          <wp:effectExtent l="0" t="0" r="0" b="0"/>
          <wp:docPr id="16" name="image1.png" descr="logo-identillect"/>
          <wp:cNvGraphicFramePr/>
          <a:graphic xmlns:a="http://schemas.openxmlformats.org/drawingml/2006/main">
            <a:graphicData uri="http://schemas.openxmlformats.org/drawingml/2006/picture">
              <pic:pic xmlns:pic="http://schemas.openxmlformats.org/drawingml/2006/picture">
                <pic:nvPicPr>
                  <pic:cNvPr id="0" name="image1.png" descr="logo-identillect"/>
                  <pic:cNvPicPr preferRelativeResize="0"/>
                </pic:nvPicPr>
                <pic:blipFill>
                  <a:blip r:embed="rId1"/>
                  <a:srcRect/>
                  <a:stretch>
                    <a:fillRect/>
                  </a:stretch>
                </pic:blipFill>
                <pic:spPr>
                  <a:xfrm>
                    <a:off x="0" y="0"/>
                    <a:ext cx="3162300" cy="762000"/>
                  </a:xfrm>
                  <a:prstGeom prst="rect">
                    <a:avLst/>
                  </a:prstGeom>
                  <a:ln/>
                </pic:spPr>
              </pic:pic>
            </a:graphicData>
          </a:graphic>
        </wp:inline>
      </w:drawing>
    </w:r>
  </w:p>
  <w:p w14:paraId="17663EEA" w14:textId="77777777" w:rsidR="00342757" w:rsidRDefault="00342757">
    <w:pPr>
      <w:pBdr>
        <w:top w:val="nil"/>
        <w:left w:val="nil"/>
        <w:bottom w:val="nil"/>
        <w:right w:val="nil"/>
        <w:between w:val="nil"/>
      </w:pBdr>
      <w:tabs>
        <w:tab w:val="left" w:pos="3555"/>
      </w:tabs>
      <w:spacing w:after="0" w:line="240" w:lineRule="auto"/>
      <w:jc w:val="center"/>
      <w:rPr>
        <w:rFonts w:ascii="Arial" w:eastAsia="Arial" w:hAnsi="Arial" w:cs="Arial"/>
        <w:b/>
        <w:color w:val="92D050"/>
        <w:sz w:val="48"/>
        <w:szCs w:val="48"/>
      </w:rPr>
    </w:pPr>
  </w:p>
  <w:p w14:paraId="488845C3" w14:textId="77777777" w:rsidR="00342757" w:rsidRDefault="00852C10">
    <w:pPr>
      <w:pBdr>
        <w:top w:val="nil"/>
        <w:left w:val="nil"/>
        <w:bottom w:val="nil"/>
        <w:right w:val="nil"/>
        <w:between w:val="nil"/>
      </w:pBdr>
      <w:tabs>
        <w:tab w:val="left" w:pos="3555"/>
      </w:tabs>
      <w:spacing w:after="0" w:line="240" w:lineRule="auto"/>
      <w:jc w:val="center"/>
      <w:rPr>
        <w:color w:val="000000"/>
      </w:rPr>
    </w:pPr>
    <w:r>
      <w:rPr>
        <w:rFonts w:ascii="Arial" w:eastAsia="Arial" w:hAnsi="Arial" w:cs="Arial"/>
        <w:b/>
        <w:color w:val="000000"/>
        <w:sz w:val="48"/>
        <w:szCs w:val="48"/>
      </w:rPr>
      <w:t>N e w s   R e l e a s e</w:t>
    </w:r>
    <w:r>
      <w:rPr>
        <w:rFonts w:ascii="Arial" w:eastAsia="Arial" w:hAnsi="Arial" w:cs="Arial"/>
        <w:b/>
        <w:color w:val="000000"/>
        <w:sz w:val="40"/>
        <w:szCs w:val="40"/>
      </w:rPr>
      <w:br/>
    </w:r>
    <w:r>
      <w:rPr>
        <w:noProof/>
      </w:rPr>
      <mc:AlternateContent>
        <mc:Choice Requires="wps">
          <w:drawing>
            <wp:anchor distT="0" distB="0" distL="114300" distR="114300" simplePos="0" relativeHeight="251658240" behindDoc="0" locked="0" layoutInCell="1" hidden="0" allowOverlap="1" wp14:anchorId="5E210145" wp14:editId="333AA463">
              <wp:simplePos x="0" y="0"/>
              <wp:positionH relativeFrom="column">
                <wp:posOffset>-12699</wp:posOffset>
              </wp:positionH>
              <wp:positionV relativeFrom="paragraph">
                <wp:posOffset>342900</wp:posOffset>
              </wp:positionV>
              <wp:extent cx="5654675" cy="71120"/>
              <wp:effectExtent l="0" t="0" r="0" b="0"/>
              <wp:wrapNone/>
              <wp:docPr id="1" name="Rectangle 1"/>
              <wp:cNvGraphicFramePr/>
              <a:graphic xmlns:a="http://schemas.openxmlformats.org/drawingml/2006/main">
                <a:graphicData uri="http://schemas.microsoft.com/office/word/2010/wordprocessingShape">
                  <wps:wsp>
                    <wps:cNvSpPr/>
                    <wps:spPr>
                      <a:xfrm rot="10800000" flipH="1">
                        <a:off x="2531363" y="3757140"/>
                        <a:ext cx="5629275" cy="45720"/>
                      </a:xfrm>
                      <a:prstGeom prst="rect">
                        <a:avLst/>
                      </a:prstGeom>
                      <a:solidFill>
                        <a:srgbClr val="92D050"/>
                      </a:solidFill>
                      <a:ln w="25400" cap="flat" cmpd="sng">
                        <a:solidFill>
                          <a:srgbClr val="395E89"/>
                        </a:solidFill>
                        <a:prstDash val="solid"/>
                        <a:round/>
                        <a:headEnd type="none" w="sm" len="sm"/>
                        <a:tailEnd type="none" w="sm" len="sm"/>
                      </a:ln>
                    </wps:spPr>
                    <wps:txbx>
                      <w:txbxContent>
                        <w:p w14:paraId="48D53E09" w14:textId="77777777" w:rsidR="00342757" w:rsidRDefault="003427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E210145" id="Rectangle 1" o:spid="_x0000_s1026" style="position:absolute;left:0;text-align:left;margin-left:-1pt;margin-top:27pt;width:445.25pt;height:5.6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" fillcolor="#92d050" strokecolor="#395e89" strokeweight="2pt">
              <v:stroke startarrowwidth="narrow" startarrowlength="short" endarrowwidth="narrow" endarrowlength="short" joinstyle="round"/>
              <v:textbox inset="2.53958mm,2.53958mm,2.53958mm,2.53958mm">
                <w:txbxContent>
                  <w:p w14:paraId="48D53E09" w14:textId="77777777" w:rsidR="00342757" w:rsidRDefault="00342757">
                    <w:pPr>
                      <w:spacing w:after="0" w:line="240" w:lineRule="auto"/>
                      <w:textDirection w:val="btLr"/>
                    </w:pPr>
                  </w:p>
                </w:txbxContent>
              </v:textbox>
            </v:rect>
          </w:pict>
        </mc:Fallback>
      </mc:AlternateContent>
    </w:r>
  </w:p>
  <w:p w14:paraId="2EE930DE" w14:textId="77777777" w:rsidR="00342757" w:rsidRDefault="00342757">
    <w:pPr>
      <w:pBdr>
        <w:top w:val="nil"/>
        <w:left w:val="nil"/>
        <w:bottom w:val="nil"/>
        <w:right w:val="nil"/>
        <w:between w:val="nil"/>
      </w:pBdr>
      <w:tabs>
        <w:tab w:val="center" w:pos="4680"/>
        <w:tab w:val="right" w:pos="9360"/>
      </w:tabs>
      <w:spacing w:after="0" w:line="240" w:lineRule="auto"/>
      <w:rPr>
        <w:color w:val="000000"/>
      </w:rPr>
    </w:pPr>
  </w:p>
  <w:p w14:paraId="4304851F" w14:textId="77777777" w:rsidR="00342757" w:rsidRDefault="0034275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452EF"/>
    <w:multiLevelType w:val="multilevel"/>
    <w:tmpl w:val="E964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9612AF"/>
    <w:multiLevelType w:val="hybridMultilevel"/>
    <w:tmpl w:val="3ED49E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2685593">
    <w:abstractNumId w:val="0"/>
  </w:num>
  <w:num w:numId="2" w16cid:durableId="16178295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757"/>
    <w:rsid w:val="00006C64"/>
    <w:rsid w:val="00045B7E"/>
    <w:rsid w:val="00053877"/>
    <w:rsid w:val="00081499"/>
    <w:rsid w:val="000E3A21"/>
    <w:rsid w:val="000F6BD2"/>
    <w:rsid w:val="00102E90"/>
    <w:rsid w:val="001079E6"/>
    <w:rsid w:val="00117D1D"/>
    <w:rsid w:val="001C5C92"/>
    <w:rsid w:val="00234C5C"/>
    <w:rsid w:val="00255BA4"/>
    <w:rsid w:val="002B04E8"/>
    <w:rsid w:val="002E42AC"/>
    <w:rsid w:val="003111D6"/>
    <w:rsid w:val="00342757"/>
    <w:rsid w:val="00352440"/>
    <w:rsid w:val="00355282"/>
    <w:rsid w:val="00375B3C"/>
    <w:rsid w:val="003809BA"/>
    <w:rsid w:val="003D6B56"/>
    <w:rsid w:val="003E1F21"/>
    <w:rsid w:val="003F01B7"/>
    <w:rsid w:val="00413A47"/>
    <w:rsid w:val="004227D7"/>
    <w:rsid w:val="004504DD"/>
    <w:rsid w:val="0046351B"/>
    <w:rsid w:val="00470994"/>
    <w:rsid w:val="00495F65"/>
    <w:rsid w:val="004A6347"/>
    <w:rsid w:val="004A72F9"/>
    <w:rsid w:val="004B686F"/>
    <w:rsid w:val="004C77FA"/>
    <w:rsid w:val="004F3C9B"/>
    <w:rsid w:val="00501E0F"/>
    <w:rsid w:val="00507FEB"/>
    <w:rsid w:val="00513245"/>
    <w:rsid w:val="005166A5"/>
    <w:rsid w:val="005732B4"/>
    <w:rsid w:val="005D642C"/>
    <w:rsid w:val="00606490"/>
    <w:rsid w:val="00613A17"/>
    <w:rsid w:val="0061749A"/>
    <w:rsid w:val="006255B7"/>
    <w:rsid w:val="00630621"/>
    <w:rsid w:val="0063129B"/>
    <w:rsid w:val="00662758"/>
    <w:rsid w:val="006818BB"/>
    <w:rsid w:val="006A55DF"/>
    <w:rsid w:val="007023C4"/>
    <w:rsid w:val="00734E76"/>
    <w:rsid w:val="007B345F"/>
    <w:rsid w:val="007E3A8D"/>
    <w:rsid w:val="007E6304"/>
    <w:rsid w:val="008110AC"/>
    <w:rsid w:val="00827319"/>
    <w:rsid w:val="00852C10"/>
    <w:rsid w:val="00883AC4"/>
    <w:rsid w:val="008A6389"/>
    <w:rsid w:val="009019B4"/>
    <w:rsid w:val="00901C23"/>
    <w:rsid w:val="00902B6D"/>
    <w:rsid w:val="009226A3"/>
    <w:rsid w:val="009D63F7"/>
    <w:rsid w:val="009D66A2"/>
    <w:rsid w:val="00A451D6"/>
    <w:rsid w:val="00A4622B"/>
    <w:rsid w:val="00A53F02"/>
    <w:rsid w:val="00A556E8"/>
    <w:rsid w:val="00A7173E"/>
    <w:rsid w:val="00A962AB"/>
    <w:rsid w:val="00A96F1B"/>
    <w:rsid w:val="00AB5F07"/>
    <w:rsid w:val="00AD6C77"/>
    <w:rsid w:val="00B17BB7"/>
    <w:rsid w:val="00B25BE3"/>
    <w:rsid w:val="00B27519"/>
    <w:rsid w:val="00B631C5"/>
    <w:rsid w:val="00B67221"/>
    <w:rsid w:val="00B74287"/>
    <w:rsid w:val="00BB0D82"/>
    <w:rsid w:val="00BF03FF"/>
    <w:rsid w:val="00C042BA"/>
    <w:rsid w:val="00C1086B"/>
    <w:rsid w:val="00C112E9"/>
    <w:rsid w:val="00C16D9B"/>
    <w:rsid w:val="00CE4627"/>
    <w:rsid w:val="00CE5259"/>
    <w:rsid w:val="00D55BA1"/>
    <w:rsid w:val="00D6299E"/>
    <w:rsid w:val="00D9476E"/>
    <w:rsid w:val="00DD7248"/>
    <w:rsid w:val="00E01572"/>
    <w:rsid w:val="00E043AD"/>
    <w:rsid w:val="00EC5834"/>
    <w:rsid w:val="00EC7C20"/>
    <w:rsid w:val="00ED644C"/>
    <w:rsid w:val="00EF01DD"/>
    <w:rsid w:val="00EF336A"/>
    <w:rsid w:val="00F05C0A"/>
    <w:rsid w:val="00F221C7"/>
    <w:rsid w:val="00F703CE"/>
    <w:rsid w:val="00F808DF"/>
    <w:rsid w:val="00FB3122"/>
    <w:rsid w:val="00FC05FD"/>
    <w:rsid w:val="00FC2F18"/>
    <w:rsid w:val="00FF5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6A88"/>
  <w15:docId w15:val="{747B4BA2-8D3C-4504-BB61-38E97F30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spacing w:before="240" w:after="60" w:line="240" w:lineRule="auto"/>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line="240" w:lineRule="auto"/>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E1F21"/>
    <w:rPr>
      <w:color w:val="0563C1"/>
      <w:u w:val="single"/>
    </w:rPr>
  </w:style>
  <w:style w:type="character" w:customStyle="1" w:styleId="UnresolvedMention1">
    <w:name w:val="Unresolved Mention1"/>
    <w:basedOn w:val="DefaultParagraphFont"/>
    <w:uiPriority w:val="99"/>
    <w:semiHidden/>
    <w:unhideWhenUsed/>
    <w:rsid w:val="00BF03FF"/>
    <w:rPr>
      <w:color w:val="605E5C"/>
      <w:shd w:val="clear" w:color="auto" w:fill="E1DFDD"/>
    </w:rPr>
  </w:style>
  <w:style w:type="character" w:styleId="UnresolvedMention">
    <w:name w:val="Unresolved Mention"/>
    <w:basedOn w:val="DefaultParagraphFont"/>
    <w:uiPriority w:val="99"/>
    <w:semiHidden/>
    <w:unhideWhenUsed/>
    <w:rsid w:val="00FC2F18"/>
    <w:rPr>
      <w:color w:val="605E5C"/>
      <w:shd w:val="clear" w:color="auto" w:fill="E1DFDD"/>
    </w:rPr>
  </w:style>
  <w:style w:type="paragraph" w:styleId="Revision">
    <w:name w:val="Revision"/>
    <w:hidden/>
    <w:uiPriority w:val="99"/>
    <w:semiHidden/>
    <w:rsid w:val="00CE5259"/>
    <w:pPr>
      <w:spacing w:after="0" w:line="240" w:lineRule="auto"/>
    </w:pPr>
  </w:style>
  <w:style w:type="paragraph" w:styleId="Header">
    <w:name w:val="header"/>
    <w:basedOn w:val="Normal"/>
    <w:link w:val="HeaderChar"/>
    <w:uiPriority w:val="99"/>
    <w:unhideWhenUsed/>
    <w:rsid w:val="00CE5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259"/>
  </w:style>
  <w:style w:type="paragraph" w:styleId="Footer">
    <w:name w:val="footer"/>
    <w:basedOn w:val="Normal"/>
    <w:link w:val="FooterChar"/>
    <w:uiPriority w:val="99"/>
    <w:unhideWhenUsed/>
    <w:rsid w:val="00CE5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259"/>
  </w:style>
  <w:style w:type="character" w:styleId="FollowedHyperlink">
    <w:name w:val="FollowedHyperlink"/>
    <w:basedOn w:val="DefaultParagraphFont"/>
    <w:uiPriority w:val="99"/>
    <w:semiHidden/>
    <w:unhideWhenUsed/>
    <w:rsid w:val="00D947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6026">
      <w:bodyDiv w:val="1"/>
      <w:marLeft w:val="0"/>
      <w:marRight w:val="0"/>
      <w:marTop w:val="0"/>
      <w:marBottom w:val="0"/>
      <w:divBdr>
        <w:top w:val="none" w:sz="0" w:space="0" w:color="auto"/>
        <w:left w:val="none" w:sz="0" w:space="0" w:color="auto"/>
        <w:bottom w:val="none" w:sz="0" w:space="0" w:color="auto"/>
        <w:right w:val="none" w:sz="0" w:space="0" w:color="auto"/>
      </w:divBdr>
    </w:div>
    <w:div w:id="665477108">
      <w:bodyDiv w:val="1"/>
      <w:marLeft w:val="0"/>
      <w:marRight w:val="0"/>
      <w:marTop w:val="0"/>
      <w:marBottom w:val="0"/>
      <w:divBdr>
        <w:top w:val="none" w:sz="0" w:space="0" w:color="auto"/>
        <w:left w:val="none" w:sz="0" w:space="0" w:color="auto"/>
        <w:bottom w:val="none" w:sz="0" w:space="0" w:color="auto"/>
        <w:right w:val="none" w:sz="0" w:space="0" w:color="auto"/>
      </w:divBdr>
    </w:div>
    <w:div w:id="672072144">
      <w:bodyDiv w:val="1"/>
      <w:marLeft w:val="0"/>
      <w:marRight w:val="0"/>
      <w:marTop w:val="0"/>
      <w:marBottom w:val="0"/>
      <w:divBdr>
        <w:top w:val="none" w:sz="0" w:space="0" w:color="auto"/>
        <w:left w:val="none" w:sz="0" w:space="0" w:color="auto"/>
        <w:bottom w:val="none" w:sz="0" w:space="0" w:color="auto"/>
        <w:right w:val="none" w:sz="0" w:space="0" w:color="auto"/>
      </w:divBdr>
      <w:divsChild>
        <w:div w:id="1402563434">
          <w:marLeft w:val="0"/>
          <w:marRight w:val="0"/>
          <w:marTop w:val="0"/>
          <w:marBottom w:val="0"/>
          <w:divBdr>
            <w:top w:val="none" w:sz="0" w:space="0" w:color="auto"/>
            <w:left w:val="none" w:sz="0" w:space="0" w:color="auto"/>
            <w:bottom w:val="none" w:sz="0" w:space="0" w:color="auto"/>
            <w:right w:val="none" w:sz="0" w:space="0" w:color="auto"/>
          </w:divBdr>
          <w:divsChild>
            <w:div w:id="1250651946">
              <w:marLeft w:val="0"/>
              <w:marRight w:val="0"/>
              <w:marTop w:val="0"/>
              <w:marBottom w:val="0"/>
              <w:divBdr>
                <w:top w:val="none" w:sz="0" w:space="0" w:color="auto"/>
                <w:left w:val="none" w:sz="0" w:space="0" w:color="auto"/>
                <w:bottom w:val="none" w:sz="0" w:space="0" w:color="auto"/>
                <w:right w:val="none" w:sz="0" w:space="0" w:color="auto"/>
              </w:divBdr>
              <w:divsChild>
                <w:div w:id="1927104819">
                  <w:marLeft w:val="0"/>
                  <w:marRight w:val="0"/>
                  <w:marTop w:val="0"/>
                  <w:marBottom w:val="0"/>
                  <w:divBdr>
                    <w:top w:val="none" w:sz="0" w:space="0" w:color="auto"/>
                    <w:left w:val="none" w:sz="0" w:space="0" w:color="auto"/>
                    <w:bottom w:val="none" w:sz="0" w:space="0" w:color="auto"/>
                    <w:right w:val="none" w:sz="0" w:space="0" w:color="auto"/>
                  </w:divBdr>
                  <w:divsChild>
                    <w:div w:id="1747877236">
                      <w:marLeft w:val="0"/>
                      <w:marRight w:val="0"/>
                      <w:marTop w:val="0"/>
                      <w:marBottom w:val="0"/>
                      <w:divBdr>
                        <w:top w:val="none" w:sz="0" w:space="0" w:color="auto"/>
                        <w:left w:val="none" w:sz="0" w:space="0" w:color="auto"/>
                        <w:bottom w:val="none" w:sz="0" w:space="0" w:color="auto"/>
                        <w:right w:val="none" w:sz="0" w:space="0" w:color="auto"/>
                      </w:divBdr>
                      <w:divsChild>
                        <w:div w:id="38433673">
                          <w:marLeft w:val="0"/>
                          <w:marRight w:val="0"/>
                          <w:marTop w:val="0"/>
                          <w:marBottom w:val="0"/>
                          <w:divBdr>
                            <w:top w:val="none" w:sz="0" w:space="0" w:color="auto"/>
                            <w:left w:val="none" w:sz="0" w:space="0" w:color="auto"/>
                            <w:bottom w:val="none" w:sz="0" w:space="0" w:color="auto"/>
                            <w:right w:val="none" w:sz="0" w:space="0" w:color="auto"/>
                          </w:divBdr>
                          <w:divsChild>
                            <w:div w:id="11228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478694">
      <w:bodyDiv w:val="1"/>
      <w:marLeft w:val="0"/>
      <w:marRight w:val="0"/>
      <w:marTop w:val="0"/>
      <w:marBottom w:val="0"/>
      <w:divBdr>
        <w:top w:val="none" w:sz="0" w:space="0" w:color="auto"/>
        <w:left w:val="none" w:sz="0" w:space="0" w:color="auto"/>
        <w:bottom w:val="none" w:sz="0" w:space="0" w:color="auto"/>
        <w:right w:val="none" w:sz="0" w:space="0" w:color="auto"/>
      </w:divBdr>
    </w:div>
    <w:div w:id="1498838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lsoncenter.org/publication/the-state-cybersecurity-mexico-overvie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igitaljournal.com/pr/identillect-technologies-expands-into-mexico-mark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n-corp.com.mx/" TargetMode="External"/><Relationship Id="rId5" Type="http://schemas.openxmlformats.org/officeDocument/2006/relationships/styles" Target="styles.xml"/><Relationship Id="rId15" Type="http://schemas.openxmlformats.org/officeDocument/2006/relationships/hyperlink" Target="http://www.identillect.com/" TargetMode="External"/><Relationship Id="rId10" Type="http://schemas.openxmlformats.org/officeDocument/2006/relationships/hyperlink" Target="https://identillect.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rade.gov/country-commercial-guides/mexico-safety-and-secur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9198FCF835145BBF69CE51FAAE163" ma:contentTypeVersion="13" ma:contentTypeDescription="Create a new document." ma:contentTypeScope="" ma:versionID="57d8fb3aeacc58ceffd52c9f4dd8ffa2">
  <xsd:schema xmlns:xsd="http://www.w3.org/2001/XMLSchema" xmlns:xs="http://www.w3.org/2001/XMLSchema" xmlns:p="http://schemas.microsoft.com/office/2006/metadata/properties" xmlns:ns2="4dad6f2f-1fb8-4d7e-ac72-3399b9e615ac" xmlns:ns3="26f5f1a3-2f78-4bf0-9c76-0ecfbba102bc" targetNamespace="http://schemas.microsoft.com/office/2006/metadata/properties" ma:root="true" ma:fieldsID="24d81cf96b34dbd5d8d4990d945fcb4d" ns2:_="" ns3:_="">
    <xsd:import namespace="4dad6f2f-1fb8-4d7e-ac72-3399b9e615ac"/>
    <xsd:import namespace="26f5f1a3-2f78-4bf0-9c76-0ecfbba102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d6f2f-1fb8-4d7e-ac72-3399b9e61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f5f1a3-2f78-4bf0-9c76-0ecfbba102b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3DF3E9-EF08-418E-B2D2-08445CABBAA3}"/>
</file>

<file path=customXml/itemProps2.xml><?xml version="1.0" encoding="utf-8"?>
<ds:datastoreItem xmlns:ds="http://schemas.openxmlformats.org/officeDocument/2006/customXml" ds:itemID="{14292C57-73C3-4849-863E-07080C0755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4E569D-A0C0-45C0-A218-3C4382534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Identillect Technologies</dc:creator>
  <cp:keywords/>
  <dc:description/>
  <cp:lastModifiedBy>Scott Ackerman</cp:lastModifiedBy>
  <cp:revision>3</cp:revision>
  <dcterms:created xsi:type="dcterms:W3CDTF">2022-04-25T22:03:00Z</dcterms:created>
  <dcterms:modified xsi:type="dcterms:W3CDTF">2022-04-25T22:03:00Z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0x01010092F9198FCF835145BBF69CE51FAAE163</vt:lpwstr>
  </property>
</Properties>
</file>