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3E" w:rsidRDefault="00D34B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88" w:lineRule="auto"/>
        <w:outlineLvl w:val="0"/>
        <w:rPr>
          <w:rFonts w:ascii="Trade Gothic" w:eastAsia="Trade Gothic" w:hAnsi="Trade Gothic" w:cs="Trade Gothic"/>
          <w:b/>
        </w:rPr>
      </w:pPr>
      <w:bookmarkStart w:id="0" w:name="Section1"/>
      <w:bookmarkStart w:id="1" w:name="_GoBack"/>
      <w:bookmarkEnd w:id="0"/>
      <w:bookmarkEnd w:id="1"/>
      <w:proofErr w:type="spellStart"/>
      <w:r>
        <w:rPr>
          <w:rFonts w:ascii="Trade Gothic" w:eastAsia="Trade Gothic" w:hAnsi="Trade Gothic" w:cs="Trade Gothic"/>
          <w:b/>
        </w:rPr>
        <w:t>Sebastián</w:t>
      </w:r>
      <w:proofErr w:type="spellEnd"/>
      <w:r>
        <w:rPr>
          <w:rFonts w:ascii="Trade Gothic" w:eastAsia="Trade Gothic" w:hAnsi="Trade Gothic" w:cs="Trade Gothic"/>
          <w:b/>
        </w:rPr>
        <w:t xml:space="preserve"> </w:t>
      </w:r>
      <w:proofErr w:type="spellStart"/>
      <w:r>
        <w:rPr>
          <w:rFonts w:ascii="Trade Gothic" w:eastAsia="Trade Gothic" w:hAnsi="Trade Gothic" w:cs="Trade Gothic"/>
          <w:b/>
        </w:rPr>
        <w:t>Martí</w:t>
      </w:r>
      <w:proofErr w:type="spellEnd"/>
    </w:p>
    <w:p w:rsidR="00A77B3E" w:rsidRDefault="00D34B61">
      <w:pPr>
        <w:spacing w:line="288" w:lineRule="auto"/>
        <w:rPr>
          <w:rFonts w:ascii="Trade Gothic" w:eastAsia="Trade Gothic" w:hAnsi="Trade Gothic" w:cs="Trade Gothic"/>
          <w:b/>
        </w:rPr>
      </w:pPr>
      <w:r>
        <w:rPr>
          <w:rFonts w:ascii="Trade Gothic" w:eastAsia="Trade Gothic" w:hAnsi="Trade Gothic" w:cs="Trade Gothic"/>
          <w:b/>
        </w:rPr>
        <w:t>Ternium - Investor Relations</w:t>
      </w:r>
    </w:p>
    <w:p w:rsidR="00A77B3E" w:rsidRDefault="00D34B61">
      <w:pPr>
        <w:spacing w:line="288" w:lineRule="auto"/>
        <w:rPr>
          <w:rFonts w:ascii="Trade Gothic" w:eastAsia="Trade Gothic" w:hAnsi="Trade Gothic" w:cs="Trade Gothic"/>
          <w:sz w:val="19"/>
        </w:rPr>
      </w:pPr>
      <w:r>
        <w:rPr>
          <w:rFonts w:ascii="Trade Gothic" w:eastAsia="Trade Gothic" w:hAnsi="Trade Gothic" w:cs="Trade Gothic"/>
          <w:sz w:val="19"/>
        </w:rPr>
        <w:t>+1   (866) 890 0443</w:t>
      </w:r>
    </w:p>
    <w:p w:rsidR="00A77B3E" w:rsidRDefault="00D34B61">
      <w:pPr>
        <w:spacing w:line="288" w:lineRule="auto"/>
        <w:rPr>
          <w:rFonts w:ascii="Trade Gothic" w:eastAsia="Trade Gothic" w:hAnsi="Trade Gothic" w:cs="Trade Gothic"/>
          <w:sz w:val="19"/>
        </w:rPr>
      </w:pPr>
      <w:r>
        <w:rPr>
          <w:rFonts w:ascii="Trade Gothic" w:eastAsia="Trade Gothic" w:hAnsi="Trade Gothic" w:cs="Trade Gothic"/>
          <w:sz w:val="19"/>
        </w:rPr>
        <w:t>+54 (11) 4018 8389</w:t>
      </w:r>
    </w:p>
    <w:p w:rsidR="00A77B3E" w:rsidRDefault="00D34B61">
      <w:pPr>
        <w:spacing w:line="288" w:lineRule="auto"/>
        <w:rPr>
          <w:rFonts w:ascii="Trade Gothic" w:eastAsia="Trade Gothic" w:hAnsi="Trade Gothic" w:cs="Trade Gothic"/>
          <w:sz w:val="19"/>
        </w:rPr>
      </w:pPr>
      <w:r>
        <w:rPr>
          <w:rFonts w:ascii="Trade Gothic" w:eastAsia="Trade Gothic" w:hAnsi="Trade Gothic" w:cs="Trade Gothic"/>
          <w:sz w:val="19"/>
        </w:rPr>
        <w:t>www.ternium.com</w:t>
      </w:r>
    </w:p>
    <w:p w:rsidR="00A77B3E" w:rsidRDefault="00A77B3E">
      <w:pPr>
        <w:spacing w:line="288" w:lineRule="auto"/>
        <w:rPr>
          <w:sz w:val="20"/>
        </w:rPr>
      </w:pPr>
    </w:p>
    <w:p w:rsidR="00A77B3E" w:rsidRDefault="00D34B61">
      <w:pPr>
        <w:spacing w:line="247" w:lineRule="auto"/>
        <w:rPr>
          <w:color w:val="FF3300"/>
        </w:rPr>
      </w:pPr>
      <w:r>
        <w:rPr>
          <w:rFonts w:ascii="Trade Gothic" w:eastAsia="Trade Gothic" w:hAnsi="Trade Gothic" w:cs="Trade Gothic"/>
          <w:b/>
          <w:color w:val="FF3300"/>
          <w:sz w:val="32"/>
        </w:rPr>
        <w:t xml:space="preserve">Shareholders Approve all Resolutions on the Agenda of </w:t>
      </w:r>
      <w:proofErr w:type="spellStart"/>
      <w:r>
        <w:rPr>
          <w:rFonts w:ascii="Trade Gothic" w:eastAsia="Trade Gothic" w:hAnsi="Trade Gothic" w:cs="Trade Gothic"/>
          <w:b/>
          <w:color w:val="FF3300"/>
          <w:sz w:val="32"/>
        </w:rPr>
        <w:t>Ternium’s</w:t>
      </w:r>
      <w:proofErr w:type="spellEnd"/>
      <w:r>
        <w:rPr>
          <w:rFonts w:ascii="Trade Gothic" w:eastAsia="Trade Gothic" w:hAnsi="Trade Gothic" w:cs="Trade Gothic"/>
          <w:b/>
          <w:color w:val="FF3300"/>
          <w:sz w:val="32"/>
        </w:rPr>
        <w:t xml:space="preserve"> Annual General Meeting</w:t>
      </w:r>
    </w:p>
    <w:p w:rsidR="00A77B3E" w:rsidRDefault="00A77B3E">
      <w:pPr>
        <w:spacing w:line="247" w:lineRule="auto"/>
        <w:rPr>
          <w:rFonts w:ascii="Trade Gothic" w:eastAsia="Trade Gothic" w:hAnsi="Trade Gothic" w:cs="Trade Gothic"/>
          <w:b/>
          <w:color w:val="FF3300"/>
          <w:sz w:val="32"/>
        </w:rPr>
      </w:pPr>
    </w:p>
    <w:p w:rsidR="00A77B3E" w:rsidRDefault="00D34B61">
      <w:pPr>
        <w:spacing w:line="247" w:lineRule="auto"/>
        <w:jc w:val="both"/>
        <w:rPr>
          <w:rFonts w:ascii="Sabon MT Pro" w:eastAsia="Sabon MT Pro" w:hAnsi="Sabon MT Pro" w:cs="Sabon MT Pro"/>
        </w:rPr>
      </w:pPr>
      <w:r>
        <w:rPr>
          <w:rFonts w:ascii="Sabon MT Pro" w:eastAsia="Sabon MT Pro" w:hAnsi="Sabon MT Pro" w:cs="Sabon MT Pro"/>
          <w:b/>
        </w:rPr>
        <w:t xml:space="preserve">Luxembourg, May 3, 2022 </w:t>
      </w:r>
      <w:r>
        <w:rPr>
          <w:rFonts w:ascii="Sabon MT Pro" w:eastAsia="Sabon MT Pro" w:hAnsi="Sabon MT Pro" w:cs="Sabon MT Pro"/>
        </w:rPr>
        <w:t xml:space="preserve">– Ternium S.A. (NYSE: TX) announced that </w:t>
      </w:r>
      <w:r>
        <w:rPr>
          <w:rFonts w:ascii="Sabon MT Pro" w:eastAsia="Sabon MT Pro" w:hAnsi="Sabon MT Pro" w:cs="Sabon MT Pro"/>
        </w:rPr>
        <w:t>its annual general meeting of shareholders held on May 3, 2022, approved all resolutions on its agenda.</w:t>
      </w:r>
    </w:p>
    <w:p w:rsidR="00A77B3E" w:rsidRDefault="00A77B3E">
      <w:pPr>
        <w:spacing w:line="288" w:lineRule="auto"/>
        <w:jc w:val="both"/>
        <w:rPr>
          <w:rFonts w:ascii="Sabon MT Pro" w:eastAsia="Sabon MT Pro" w:hAnsi="Sabon MT Pro" w:cs="Sabon MT Pro"/>
        </w:rPr>
      </w:pPr>
    </w:p>
    <w:p w:rsidR="00A77B3E" w:rsidRDefault="00D34B61">
      <w:pPr>
        <w:spacing w:line="288" w:lineRule="auto"/>
        <w:jc w:val="both"/>
        <w:rPr>
          <w:rFonts w:ascii="Sabon MT Pro" w:eastAsia="Sabon MT Pro" w:hAnsi="Sabon MT Pro" w:cs="Sabon MT Pro"/>
        </w:rPr>
      </w:pPr>
      <w:r>
        <w:rPr>
          <w:rFonts w:ascii="Sabon MT Pro" w:eastAsia="Sabon MT Pro" w:hAnsi="Sabon MT Pro" w:cs="Sabon MT Pro"/>
        </w:rPr>
        <w:t xml:space="preserve">Among other resolutions adopted, the shareholders approved the consolidated financial statements and unconsolidated annual accounts for the year ended </w:t>
      </w:r>
      <w:r>
        <w:rPr>
          <w:rFonts w:ascii="Sabon MT Pro" w:eastAsia="Sabon MT Pro" w:hAnsi="Sabon MT Pro" w:cs="Sabon MT Pro"/>
        </w:rPr>
        <w:t>December 31, 2021, and the proposed annual dividend of $0.26 per share ($2.60 per ADS). The annual dividend include the interim dividend of $0.08 per share ($0.80 per ADS) paid in November 2021. A net dividend of $0.18 per share ($1.80 per ADS) will be pai</w:t>
      </w:r>
      <w:r>
        <w:rPr>
          <w:rFonts w:ascii="Sabon MT Pro" w:eastAsia="Sabon MT Pro" w:hAnsi="Sabon MT Pro" w:cs="Sabon MT Pro"/>
        </w:rPr>
        <w:t>d on May 11, 2022, to all shareholders of record as of May 6, 2022.</w:t>
      </w:r>
    </w:p>
    <w:p w:rsidR="00A77B3E" w:rsidRDefault="00A77B3E">
      <w:pPr>
        <w:spacing w:line="288" w:lineRule="auto"/>
        <w:jc w:val="both"/>
        <w:rPr>
          <w:rFonts w:ascii="Sabon MT Pro" w:eastAsia="Sabon MT Pro" w:hAnsi="Sabon MT Pro" w:cs="Sabon MT Pro"/>
        </w:rPr>
      </w:pPr>
    </w:p>
    <w:p w:rsidR="00A77B3E" w:rsidRDefault="00D34B61">
      <w:pPr>
        <w:spacing w:line="288" w:lineRule="auto"/>
        <w:jc w:val="both"/>
        <w:rPr>
          <w:rFonts w:ascii="Sabon MT Pro" w:eastAsia="Sabon MT Pro" w:hAnsi="Sabon MT Pro" w:cs="Sabon MT Pro"/>
          <w:shd w:val="clear" w:color="auto" w:fill="FFFF00"/>
        </w:rPr>
      </w:pPr>
      <w:r>
        <w:rPr>
          <w:rFonts w:ascii="Sabon MT Pro" w:eastAsia="Sabon MT Pro" w:hAnsi="Sabon MT Pro" w:cs="Sabon MT Pro"/>
        </w:rPr>
        <w:t xml:space="preserve">The annual general meeting resolved to increase the number of directors to nine, approved the re-election of the eight current members of the board of directors, Mr. Roberto Bonatti, Mr. </w:t>
      </w:r>
      <w:r>
        <w:rPr>
          <w:rFonts w:ascii="Sabon MT Pro" w:eastAsia="Sabon MT Pro" w:hAnsi="Sabon MT Pro" w:cs="Sabon MT Pro"/>
        </w:rPr>
        <w:t xml:space="preserve">Carlos Alberto </w:t>
      </w:r>
      <w:proofErr w:type="spellStart"/>
      <w:r>
        <w:rPr>
          <w:rFonts w:ascii="Sabon MT Pro" w:eastAsia="Sabon MT Pro" w:hAnsi="Sabon MT Pro" w:cs="Sabon MT Pro"/>
        </w:rPr>
        <w:t>Condorelli</w:t>
      </w:r>
      <w:proofErr w:type="spellEnd"/>
      <w:r>
        <w:rPr>
          <w:rFonts w:ascii="Sabon MT Pro" w:eastAsia="Sabon MT Pro" w:hAnsi="Sabon MT Pro" w:cs="Sabon MT Pro"/>
        </w:rPr>
        <w:t xml:space="preserve">, Mr. Vincent Robert Gilles </w:t>
      </w:r>
      <w:proofErr w:type="spellStart"/>
      <w:r>
        <w:rPr>
          <w:rFonts w:ascii="Sabon MT Pro" w:eastAsia="Sabon MT Pro" w:hAnsi="Sabon MT Pro" w:cs="Sabon MT Pro"/>
        </w:rPr>
        <w:t>Decalf</w:t>
      </w:r>
      <w:proofErr w:type="spellEnd"/>
      <w:r>
        <w:rPr>
          <w:rFonts w:ascii="Sabon MT Pro" w:eastAsia="Sabon MT Pro" w:hAnsi="Sabon MT Pro" w:cs="Sabon MT Pro"/>
        </w:rPr>
        <w:t xml:space="preserve">, Ms. </w:t>
      </w:r>
      <w:proofErr w:type="spellStart"/>
      <w:r>
        <w:rPr>
          <w:rFonts w:ascii="Sabon MT Pro" w:eastAsia="Sabon MT Pro" w:hAnsi="Sabon MT Pro" w:cs="Sabon MT Pro"/>
        </w:rPr>
        <w:t>Gioia</w:t>
      </w:r>
      <w:proofErr w:type="spellEnd"/>
      <w:r>
        <w:rPr>
          <w:rFonts w:ascii="Sabon MT Pro" w:eastAsia="Sabon MT Pro" w:hAnsi="Sabon MT Pro" w:cs="Sabon MT Pro"/>
        </w:rPr>
        <w:t xml:space="preserve"> </w:t>
      </w:r>
      <w:proofErr w:type="spellStart"/>
      <w:r>
        <w:rPr>
          <w:rFonts w:ascii="Sabon MT Pro" w:eastAsia="Sabon MT Pro" w:hAnsi="Sabon MT Pro" w:cs="Sabon MT Pro"/>
        </w:rPr>
        <w:t>Ghezzi</w:t>
      </w:r>
      <w:proofErr w:type="spellEnd"/>
      <w:r>
        <w:rPr>
          <w:rFonts w:ascii="Sabon MT Pro" w:eastAsia="Sabon MT Pro" w:hAnsi="Sabon MT Pro" w:cs="Sabon MT Pro"/>
        </w:rPr>
        <w:t xml:space="preserve">, Mr. Adrian </w:t>
      </w:r>
      <w:proofErr w:type="spellStart"/>
      <w:r>
        <w:rPr>
          <w:rFonts w:ascii="Sabon MT Pro" w:eastAsia="Sabon MT Pro" w:hAnsi="Sabon MT Pro" w:cs="Sabon MT Pro"/>
        </w:rPr>
        <w:t>Lajous</w:t>
      </w:r>
      <w:proofErr w:type="spellEnd"/>
      <w:r>
        <w:rPr>
          <w:rFonts w:ascii="Sabon MT Pro" w:eastAsia="Sabon MT Pro" w:hAnsi="Sabon MT Pro" w:cs="Sabon MT Pro"/>
        </w:rPr>
        <w:t xml:space="preserve"> Vargas, Mr. Daniel </w:t>
      </w:r>
      <w:proofErr w:type="spellStart"/>
      <w:r>
        <w:rPr>
          <w:rFonts w:ascii="Sabon MT Pro" w:eastAsia="Sabon MT Pro" w:hAnsi="Sabon MT Pro" w:cs="Sabon MT Pro"/>
        </w:rPr>
        <w:t>Agustín</w:t>
      </w:r>
      <w:proofErr w:type="spellEnd"/>
      <w:r>
        <w:rPr>
          <w:rFonts w:ascii="Sabon MT Pro" w:eastAsia="Sabon MT Pro" w:hAnsi="Sabon MT Pro" w:cs="Sabon MT Pro"/>
        </w:rPr>
        <w:t xml:space="preserve"> </w:t>
      </w:r>
      <w:proofErr w:type="spellStart"/>
      <w:r>
        <w:rPr>
          <w:rFonts w:ascii="Sabon MT Pro" w:eastAsia="Sabon MT Pro" w:hAnsi="Sabon MT Pro" w:cs="Sabon MT Pro"/>
        </w:rPr>
        <w:t>Novegil</w:t>
      </w:r>
      <w:proofErr w:type="spellEnd"/>
      <w:r>
        <w:rPr>
          <w:rFonts w:ascii="Sabon MT Pro" w:eastAsia="Sabon MT Pro" w:hAnsi="Sabon MT Pro" w:cs="Sabon MT Pro"/>
        </w:rPr>
        <w:t xml:space="preserve">, Mr. </w:t>
      </w:r>
      <w:proofErr w:type="spellStart"/>
      <w:r>
        <w:rPr>
          <w:rFonts w:ascii="Sabon MT Pro" w:eastAsia="Sabon MT Pro" w:hAnsi="Sabon MT Pro" w:cs="Sabon MT Pro"/>
        </w:rPr>
        <w:t>Gianfelice</w:t>
      </w:r>
      <w:proofErr w:type="spellEnd"/>
      <w:r>
        <w:rPr>
          <w:rFonts w:ascii="Sabon MT Pro" w:eastAsia="Sabon MT Pro" w:hAnsi="Sabon MT Pro" w:cs="Sabon MT Pro"/>
        </w:rPr>
        <w:t xml:space="preserve"> Mario Rocca and Mr. Paolo Rocca, and appointed Ms. </w:t>
      </w:r>
      <w:proofErr w:type="spellStart"/>
      <w:r>
        <w:rPr>
          <w:rFonts w:ascii="Sabon MT Pro" w:eastAsia="Sabon MT Pro" w:hAnsi="Sabon MT Pro" w:cs="Sabon MT Pro"/>
        </w:rPr>
        <w:t>Lorenza</w:t>
      </w:r>
      <w:proofErr w:type="spellEnd"/>
      <w:r>
        <w:rPr>
          <w:rFonts w:ascii="Sabon MT Pro" w:eastAsia="Sabon MT Pro" w:hAnsi="Sabon MT Pro" w:cs="Sabon MT Pro"/>
        </w:rPr>
        <w:t xml:space="preserve"> Martinez </w:t>
      </w:r>
      <w:proofErr w:type="spellStart"/>
      <w:r>
        <w:rPr>
          <w:rFonts w:ascii="Sabon MT Pro" w:eastAsia="Sabon MT Pro" w:hAnsi="Sabon MT Pro" w:cs="Sabon MT Pro"/>
        </w:rPr>
        <w:t>Trigueros</w:t>
      </w:r>
      <w:proofErr w:type="spellEnd"/>
      <w:r>
        <w:rPr>
          <w:rFonts w:ascii="Sabon MT Pro" w:eastAsia="Sabon MT Pro" w:hAnsi="Sabon MT Pro" w:cs="Sabon MT Pro"/>
        </w:rPr>
        <w:t xml:space="preserve"> as new board member. All board</w:t>
      </w:r>
      <w:r>
        <w:rPr>
          <w:rFonts w:ascii="Sabon MT Pro" w:eastAsia="Sabon MT Pro" w:hAnsi="Sabon MT Pro" w:cs="Sabon MT Pro"/>
        </w:rPr>
        <w:t xml:space="preserve"> members will hold office until the meeting that will be convened to decide on the 2022 accounts. The meeting also re-appointed PricewaterhouseCoopers, </w:t>
      </w:r>
      <w:proofErr w:type="spellStart"/>
      <w:r>
        <w:rPr>
          <w:rFonts w:ascii="Sabon MT Pro" w:eastAsia="Sabon MT Pro" w:hAnsi="Sabon MT Pro" w:cs="Sabon MT Pro"/>
        </w:rPr>
        <w:t>Societé</w:t>
      </w:r>
      <w:proofErr w:type="spellEnd"/>
      <w:r>
        <w:rPr>
          <w:rFonts w:ascii="Sabon MT Pro" w:eastAsia="Sabon MT Pro" w:hAnsi="Sabon MT Pro" w:cs="Sabon MT Pro"/>
        </w:rPr>
        <w:t xml:space="preserve"> </w:t>
      </w:r>
      <w:proofErr w:type="spellStart"/>
      <w:r>
        <w:rPr>
          <w:rFonts w:ascii="Sabon MT Pro" w:eastAsia="Sabon MT Pro" w:hAnsi="Sabon MT Pro" w:cs="Sabon MT Pro"/>
        </w:rPr>
        <w:t>coopérative</w:t>
      </w:r>
      <w:proofErr w:type="spellEnd"/>
      <w:r>
        <w:rPr>
          <w:rFonts w:ascii="Sabon MT Pro" w:eastAsia="Sabon MT Pro" w:hAnsi="Sabon MT Pro" w:cs="Sabon MT Pro"/>
        </w:rPr>
        <w:t xml:space="preserve">, Cabinet de </w:t>
      </w:r>
      <w:proofErr w:type="spellStart"/>
      <w:r>
        <w:rPr>
          <w:rFonts w:ascii="Sabon MT Pro" w:eastAsia="Sabon MT Pro" w:hAnsi="Sabon MT Pro" w:cs="Sabon MT Pro"/>
        </w:rPr>
        <w:t>révision</w:t>
      </w:r>
      <w:proofErr w:type="spellEnd"/>
      <w:r>
        <w:rPr>
          <w:rFonts w:ascii="Sabon MT Pro" w:eastAsia="Sabon MT Pro" w:hAnsi="Sabon MT Pro" w:cs="Sabon MT Pro"/>
        </w:rPr>
        <w:t xml:space="preserve"> </w:t>
      </w:r>
      <w:proofErr w:type="spellStart"/>
      <w:r>
        <w:rPr>
          <w:rFonts w:ascii="Sabon MT Pro" w:eastAsia="Sabon MT Pro" w:hAnsi="Sabon MT Pro" w:cs="Sabon MT Pro"/>
        </w:rPr>
        <w:t>agréé</w:t>
      </w:r>
      <w:proofErr w:type="spellEnd"/>
      <w:r>
        <w:rPr>
          <w:rFonts w:ascii="Sabon MT Pro" w:eastAsia="Sabon MT Pro" w:hAnsi="Sabon MT Pro" w:cs="Sabon MT Pro"/>
        </w:rPr>
        <w:t xml:space="preserve">, as </w:t>
      </w:r>
      <w:proofErr w:type="spellStart"/>
      <w:r>
        <w:rPr>
          <w:rFonts w:ascii="Sabon MT Pro" w:eastAsia="Sabon MT Pro" w:hAnsi="Sabon MT Pro" w:cs="Sabon MT Pro"/>
        </w:rPr>
        <w:t>Ternium’s</w:t>
      </w:r>
      <w:proofErr w:type="spellEnd"/>
      <w:r>
        <w:rPr>
          <w:rFonts w:ascii="Sabon MT Pro" w:eastAsia="Sabon MT Pro" w:hAnsi="Sabon MT Pro" w:cs="Sabon MT Pro"/>
        </w:rPr>
        <w:t xml:space="preserve"> independent auditors for the fiscal year en</w:t>
      </w:r>
      <w:r>
        <w:rPr>
          <w:rFonts w:ascii="Sabon MT Pro" w:eastAsia="Sabon MT Pro" w:hAnsi="Sabon MT Pro" w:cs="Sabon MT Pro"/>
        </w:rPr>
        <w:t>ding December 31, 2022.</w:t>
      </w:r>
    </w:p>
    <w:p w:rsidR="00A77B3E" w:rsidRDefault="00A77B3E">
      <w:pPr>
        <w:spacing w:line="288" w:lineRule="auto"/>
        <w:jc w:val="both"/>
        <w:rPr>
          <w:rFonts w:ascii="Sabon MT Pro" w:eastAsia="Sabon MT Pro" w:hAnsi="Sabon MT Pro" w:cs="Sabon MT Pro"/>
        </w:rPr>
      </w:pPr>
    </w:p>
    <w:p w:rsidR="00A77B3E" w:rsidRDefault="00D34B61">
      <w:pPr>
        <w:spacing w:line="288" w:lineRule="auto"/>
        <w:jc w:val="both"/>
        <w:rPr>
          <w:rFonts w:ascii="Sabon MT Pro" w:eastAsia="Sabon MT Pro" w:hAnsi="Sabon MT Pro" w:cs="Sabon MT Pro"/>
        </w:rPr>
      </w:pPr>
      <w:r>
        <w:rPr>
          <w:rFonts w:ascii="Sabon MT Pro" w:eastAsia="Sabon MT Pro" w:hAnsi="Sabon MT Pro" w:cs="Sabon MT Pro"/>
        </w:rPr>
        <w:t xml:space="preserve">The board of directors subsequently re-appointed Mr. Paolo Rocca as its chairman, Mr. Daniel </w:t>
      </w:r>
      <w:proofErr w:type="spellStart"/>
      <w:r>
        <w:rPr>
          <w:rFonts w:ascii="Sabon MT Pro" w:eastAsia="Sabon MT Pro" w:hAnsi="Sabon MT Pro" w:cs="Sabon MT Pro"/>
        </w:rPr>
        <w:t>Agustín</w:t>
      </w:r>
      <w:proofErr w:type="spellEnd"/>
      <w:r>
        <w:rPr>
          <w:rFonts w:ascii="Sabon MT Pro" w:eastAsia="Sabon MT Pro" w:hAnsi="Sabon MT Pro" w:cs="Sabon MT Pro"/>
        </w:rPr>
        <w:t xml:space="preserve"> </w:t>
      </w:r>
      <w:proofErr w:type="spellStart"/>
      <w:r>
        <w:rPr>
          <w:rFonts w:ascii="Sabon MT Pro" w:eastAsia="Sabon MT Pro" w:hAnsi="Sabon MT Pro" w:cs="Sabon MT Pro"/>
        </w:rPr>
        <w:t>Novegil</w:t>
      </w:r>
      <w:proofErr w:type="spellEnd"/>
      <w:r>
        <w:rPr>
          <w:rFonts w:ascii="Sabon MT Pro" w:eastAsia="Sabon MT Pro" w:hAnsi="Sabon MT Pro" w:cs="Sabon MT Pro"/>
        </w:rPr>
        <w:t xml:space="preserve"> as vice-chairman and Mr. </w:t>
      </w:r>
      <w:proofErr w:type="spellStart"/>
      <w:r>
        <w:rPr>
          <w:rFonts w:ascii="Sabon MT Pro" w:eastAsia="Sabon MT Pro" w:hAnsi="Sabon MT Pro" w:cs="Sabon MT Pro"/>
        </w:rPr>
        <w:t>Máximo</w:t>
      </w:r>
      <w:proofErr w:type="spellEnd"/>
      <w:r>
        <w:rPr>
          <w:rFonts w:ascii="Sabon MT Pro" w:eastAsia="Sabon MT Pro" w:hAnsi="Sabon MT Pro" w:cs="Sabon MT Pro"/>
        </w:rPr>
        <w:t xml:space="preserve"> </w:t>
      </w:r>
      <w:proofErr w:type="spellStart"/>
      <w:r>
        <w:rPr>
          <w:rFonts w:ascii="Sabon MT Pro" w:eastAsia="Sabon MT Pro" w:hAnsi="Sabon MT Pro" w:cs="Sabon MT Pro"/>
        </w:rPr>
        <w:t>Vedoya</w:t>
      </w:r>
      <w:proofErr w:type="spellEnd"/>
      <w:r>
        <w:rPr>
          <w:rFonts w:ascii="Sabon MT Pro" w:eastAsia="Sabon MT Pro" w:hAnsi="Sabon MT Pro" w:cs="Sabon MT Pro"/>
        </w:rPr>
        <w:t xml:space="preserve"> as </w:t>
      </w:r>
      <w:proofErr w:type="spellStart"/>
      <w:r>
        <w:rPr>
          <w:rFonts w:ascii="Sabon MT Pro" w:eastAsia="Sabon MT Pro" w:hAnsi="Sabon MT Pro" w:cs="Sabon MT Pro"/>
        </w:rPr>
        <w:t>Ternium’s</w:t>
      </w:r>
      <w:proofErr w:type="spellEnd"/>
      <w:r>
        <w:rPr>
          <w:rFonts w:ascii="Sabon MT Pro" w:eastAsia="Sabon MT Pro" w:hAnsi="Sabon MT Pro" w:cs="Sabon MT Pro"/>
        </w:rPr>
        <w:t xml:space="preserve"> chief executive officer. The board of directors also confirmed and re-</w:t>
      </w:r>
      <w:r>
        <w:rPr>
          <w:rFonts w:ascii="Sabon MT Pro" w:eastAsia="Sabon MT Pro" w:hAnsi="Sabon MT Pro" w:cs="Sabon MT Pro"/>
        </w:rPr>
        <w:t xml:space="preserve">appointed Mr. Vincent Robert Gilles </w:t>
      </w:r>
      <w:proofErr w:type="spellStart"/>
      <w:r>
        <w:rPr>
          <w:rFonts w:ascii="Sabon MT Pro" w:eastAsia="Sabon MT Pro" w:hAnsi="Sabon MT Pro" w:cs="Sabon MT Pro"/>
        </w:rPr>
        <w:t>Decalf</w:t>
      </w:r>
      <w:proofErr w:type="spellEnd"/>
      <w:r>
        <w:rPr>
          <w:rFonts w:ascii="Sabon MT Pro" w:eastAsia="Sabon MT Pro" w:hAnsi="Sabon MT Pro" w:cs="Sabon MT Pro"/>
        </w:rPr>
        <w:t xml:space="preserve">, Mr. </w:t>
      </w:r>
      <w:proofErr w:type="spellStart"/>
      <w:r>
        <w:rPr>
          <w:rFonts w:ascii="Sabon MT Pro" w:eastAsia="Sabon MT Pro" w:hAnsi="Sabon MT Pro" w:cs="Sabon MT Pro"/>
        </w:rPr>
        <w:t>Adrián</w:t>
      </w:r>
      <w:proofErr w:type="spellEnd"/>
      <w:r>
        <w:rPr>
          <w:rFonts w:ascii="Sabon MT Pro" w:eastAsia="Sabon MT Pro" w:hAnsi="Sabon MT Pro" w:cs="Sabon MT Pro"/>
        </w:rPr>
        <w:t xml:space="preserve"> </w:t>
      </w:r>
      <w:proofErr w:type="spellStart"/>
      <w:r>
        <w:rPr>
          <w:rFonts w:ascii="Sabon MT Pro" w:eastAsia="Sabon MT Pro" w:hAnsi="Sabon MT Pro" w:cs="Sabon MT Pro"/>
        </w:rPr>
        <w:t>Lajous</w:t>
      </w:r>
      <w:proofErr w:type="spellEnd"/>
      <w:r>
        <w:rPr>
          <w:rFonts w:ascii="Sabon MT Pro" w:eastAsia="Sabon MT Pro" w:hAnsi="Sabon MT Pro" w:cs="Sabon MT Pro"/>
        </w:rPr>
        <w:t xml:space="preserve"> Vargas and Ms. </w:t>
      </w:r>
      <w:proofErr w:type="spellStart"/>
      <w:r>
        <w:rPr>
          <w:rFonts w:ascii="Sabon MT Pro" w:eastAsia="Sabon MT Pro" w:hAnsi="Sabon MT Pro" w:cs="Sabon MT Pro"/>
        </w:rPr>
        <w:t>Gioia</w:t>
      </w:r>
      <w:proofErr w:type="spellEnd"/>
      <w:r>
        <w:rPr>
          <w:rFonts w:ascii="Sabon MT Pro" w:eastAsia="Sabon MT Pro" w:hAnsi="Sabon MT Pro" w:cs="Sabon MT Pro"/>
        </w:rPr>
        <w:t xml:space="preserve"> </w:t>
      </w:r>
      <w:proofErr w:type="spellStart"/>
      <w:r>
        <w:rPr>
          <w:rFonts w:ascii="Sabon MT Pro" w:eastAsia="Sabon MT Pro" w:hAnsi="Sabon MT Pro" w:cs="Sabon MT Pro"/>
        </w:rPr>
        <w:t>Ghezzi</w:t>
      </w:r>
      <w:proofErr w:type="spellEnd"/>
      <w:r>
        <w:rPr>
          <w:rFonts w:ascii="Sabon MT Pro" w:eastAsia="Sabon MT Pro" w:hAnsi="Sabon MT Pro" w:cs="Sabon MT Pro"/>
        </w:rPr>
        <w:t xml:space="preserve"> as members of </w:t>
      </w:r>
      <w:proofErr w:type="spellStart"/>
      <w:r>
        <w:rPr>
          <w:rFonts w:ascii="Sabon MT Pro" w:eastAsia="Sabon MT Pro" w:hAnsi="Sabon MT Pro" w:cs="Sabon MT Pro"/>
        </w:rPr>
        <w:t>Ternium’s</w:t>
      </w:r>
      <w:proofErr w:type="spellEnd"/>
      <w:r>
        <w:rPr>
          <w:rFonts w:ascii="Sabon MT Pro" w:eastAsia="Sabon MT Pro" w:hAnsi="Sabon MT Pro" w:cs="Sabon MT Pro"/>
        </w:rPr>
        <w:t xml:space="preserve"> audit committee, with Mr. </w:t>
      </w:r>
      <w:proofErr w:type="spellStart"/>
      <w:r>
        <w:rPr>
          <w:rFonts w:ascii="Sabon MT Pro" w:eastAsia="Sabon MT Pro" w:hAnsi="Sabon MT Pro" w:cs="Sabon MT Pro"/>
        </w:rPr>
        <w:t>Decalf</w:t>
      </w:r>
      <w:proofErr w:type="spellEnd"/>
      <w:r>
        <w:rPr>
          <w:rFonts w:ascii="Sabon MT Pro" w:eastAsia="Sabon MT Pro" w:hAnsi="Sabon MT Pro" w:cs="Sabon MT Pro"/>
        </w:rPr>
        <w:t xml:space="preserve"> to continue to chair the committee. All three members of the audit committee qualify as independent directors</w:t>
      </w:r>
      <w:r>
        <w:rPr>
          <w:rFonts w:ascii="Sabon MT Pro" w:eastAsia="Sabon MT Pro" w:hAnsi="Sabon MT Pro" w:cs="Sabon MT Pro"/>
        </w:rPr>
        <w:t xml:space="preserve"> under the Company’s articles of association.</w:t>
      </w:r>
    </w:p>
    <w:p w:rsidR="00A77B3E" w:rsidRDefault="00A77B3E">
      <w:pPr>
        <w:spacing w:line="288" w:lineRule="auto"/>
        <w:jc w:val="both"/>
        <w:rPr>
          <w:rFonts w:ascii="Sabon MT Pro" w:eastAsia="Sabon MT Pro" w:hAnsi="Sabon MT Pro" w:cs="Sabon MT Pro"/>
        </w:rPr>
      </w:pPr>
    </w:p>
    <w:p w:rsidR="00A77B3E" w:rsidRDefault="00D34B61">
      <w:pPr>
        <w:spacing w:line="288" w:lineRule="auto"/>
        <w:jc w:val="both"/>
        <w:rPr>
          <w:rFonts w:ascii="Sabon MT Pro" w:eastAsia="Sabon MT Pro" w:hAnsi="Sabon MT Pro" w:cs="Sabon MT Pro"/>
        </w:rPr>
      </w:pPr>
      <w:r>
        <w:rPr>
          <w:rFonts w:ascii="Sabon MT Pro" w:eastAsia="Sabon MT Pro" w:hAnsi="Sabon MT Pro" w:cs="Sabon MT Pro"/>
        </w:rPr>
        <w:t>For a summary of the resolutions adopted at the meetings, please see the report on Form 6-K submitted to the U.S. Securities and Exchange Commission, available at www.sec.gov.</w:t>
      </w:r>
    </w:p>
    <w:p w:rsidR="00A77B3E" w:rsidRDefault="00A77B3E">
      <w:pPr>
        <w:spacing w:line="288" w:lineRule="auto"/>
        <w:rPr>
          <w:rFonts w:ascii="Trade Gothic" w:eastAsia="Trade Gothic" w:hAnsi="Trade Gothic" w:cs="Trade Gothic"/>
          <w:b/>
          <w:color w:val="FF3300"/>
          <w:sz w:val="32"/>
        </w:rPr>
      </w:pPr>
    </w:p>
    <w:p w:rsidR="00A77B3E" w:rsidRDefault="00D34B61">
      <w:pPr>
        <w:spacing w:line="228" w:lineRule="auto"/>
        <w:jc w:val="both"/>
        <w:rPr>
          <w:rFonts w:ascii="Sabon MT Pro" w:eastAsia="Sabon MT Pro" w:hAnsi="Sabon MT Pro" w:cs="Sabon MT Pro"/>
          <w:b/>
        </w:rPr>
      </w:pPr>
      <w:r>
        <w:rPr>
          <w:rFonts w:ascii="Trade Gothic" w:eastAsia="Trade Gothic" w:hAnsi="Trade Gothic" w:cs="Trade Gothic"/>
          <w:b/>
        </w:rPr>
        <w:t>Forward Looking Statements</w:t>
      </w:r>
    </w:p>
    <w:p w:rsidR="00A77B3E" w:rsidRDefault="00A77B3E">
      <w:pPr>
        <w:spacing w:line="288" w:lineRule="auto"/>
        <w:rPr>
          <w:rFonts w:ascii="Sabon MT Pro" w:eastAsia="Sabon MT Pro" w:hAnsi="Sabon MT Pro" w:cs="Sabon MT Pro"/>
          <w:b/>
          <w:sz w:val="22"/>
        </w:rPr>
      </w:pPr>
    </w:p>
    <w:p w:rsidR="00A77B3E" w:rsidRDefault="00D34B61">
      <w:pPr>
        <w:spacing w:line="276" w:lineRule="auto"/>
        <w:jc w:val="both"/>
        <w:rPr>
          <w:rFonts w:ascii="Sabon MT Pro" w:eastAsia="Sabon MT Pro" w:hAnsi="Sabon MT Pro" w:cs="Sabon MT Pro"/>
          <w:i/>
          <w:sz w:val="22"/>
        </w:rPr>
      </w:pPr>
      <w:r>
        <w:rPr>
          <w:rFonts w:ascii="Sabon MT Pro" w:eastAsia="Sabon MT Pro" w:hAnsi="Sabon MT Pro" w:cs="Sabon MT Pro"/>
          <w:i/>
          <w:sz w:val="22"/>
        </w:rPr>
        <w:t>Some</w:t>
      </w:r>
      <w:r>
        <w:rPr>
          <w:rFonts w:ascii="Sabon MT Pro" w:eastAsia="Sabon MT Pro" w:hAnsi="Sabon MT Pro" w:cs="Sabon MT Pro"/>
          <w:i/>
          <w:sz w:val="22"/>
        </w:rPr>
        <w:t xml:space="preserve"> of the statements contained in this press release are “forward-looking statements”.  Forward-looking statements are based on management’s current views and assumptions and involve known and unknown risks that could cause actual results, performance or eve</w:t>
      </w:r>
      <w:r>
        <w:rPr>
          <w:rFonts w:ascii="Sabon MT Pro" w:eastAsia="Sabon MT Pro" w:hAnsi="Sabon MT Pro" w:cs="Sabon MT Pro"/>
          <w:i/>
          <w:sz w:val="22"/>
        </w:rPr>
        <w:t xml:space="preserve">nts to differ materially from those expressed or implied by those statements.  These risks include but are not limited to risks arising from </w:t>
      </w:r>
      <w:r>
        <w:rPr>
          <w:rFonts w:ascii="Sabon MT Pro" w:eastAsia="Sabon MT Pro" w:hAnsi="Sabon MT Pro" w:cs="Sabon MT Pro"/>
          <w:i/>
          <w:sz w:val="22"/>
        </w:rPr>
        <w:lastRenderedPageBreak/>
        <w:t>uncertainties as to gross domestic product, related market demand, global production capacity, tariffs, cyclicality</w:t>
      </w:r>
      <w:r>
        <w:rPr>
          <w:rFonts w:ascii="Sabon MT Pro" w:eastAsia="Sabon MT Pro" w:hAnsi="Sabon MT Pro" w:cs="Sabon MT Pro"/>
          <w:i/>
          <w:sz w:val="22"/>
        </w:rPr>
        <w:t xml:space="preserve"> in the industries that purchase steel products and other factors beyond </w:t>
      </w:r>
      <w:proofErr w:type="spellStart"/>
      <w:r>
        <w:rPr>
          <w:rFonts w:ascii="Sabon MT Pro" w:eastAsia="Sabon MT Pro" w:hAnsi="Sabon MT Pro" w:cs="Sabon MT Pro"/>
          <w:i/>
          <w:sz w:val="22"/>
        </w:rPr>
        <w:t>Ternium’s</w:t>
      </w:r>
      <w:proofErr w:type="spellEnd"/>
      <w:r>
        <w:rPr>
          <w:rFonts w:ascii="Sabon MT Pro" w:eastAsia="Sabon MT Pro" w:hAnsi="Sabon MT Pro" w:cs="Sabon MT Pro"/>
          <w:i/>
          <w:sz w:val="22"/>
        </w:rPr>
        <w:t xml:space="preserve"> control.</w:t>
      </w:r>
    </w:p>
    <w:p w:rsidR="00A77B3E" w:rsidRDefault="00A77B3E">
      <w:pPr>
        <w:spacing w:line="288" w:lineRule="auto"/>
        <w:jc w:val="both"/>
        <w:rPr>
          <w:rFonts w:ascii="Sabon MT Pro" w:eastAsia="Sabon MT Pro" w:hAnsi="Sabon MT Pro" w:cs="Sabon MT Pro"/>
          <w:b/>
        </w:rPr>
      </w:pPr>
    </w:p>
    <w:p w:rsidR="00A77B3E" w:rsidRDefault="00D34B61">
      <w:pPr>
        <w:spacing w:line="288" w:lineRule="auto"/>
        <w:jc w:val="both"/>
        <w:rPr>
          <w:rFonts w:ascii="Sabon MT Pro" w:eastAsia="Sabon MT Pro" w:hAnsi="Sabon MT Pro" w:cs="Sabon MT Pro"/>
          <w:b/>
        </w:rPr>
      </w:pPr>
      <w:r>
        <w:rPr>
          <w:rFonts w:ascii="Trade Gothic" w:eastAsia="Trade Gothic" w:hAnsi="Trade Gothic" w:cs="Trade Gothic"/>
          <w:b/>
        </w:rPr>
        <w:t>About Ternium</w:t>
      </w:r>
    </w:p>
    <w:p w:rsidR="00A77B3E" w:rsidRDefault="00A77B3E">
      <w:pPr>
        <w:spacing w:line="288" w:lineRule="auto"/>
        <w:jc w:val="both"/>
        <w:rPr>
          <w:rFonts w:ascii="Sabon MT Pro" w:eastAsia="Sabon MT Pro" w:hAnsi="Sabon MT Pro" w:cs="Sabon MT Pro"/>
          <w:b/>
          <w:sz w:val="22"/>
        </w:rPr>
      </w:pPr>
    </w:p>
    <w:p w:rsidR="00A77B3E" w:rsidRDefault="00D34B61">
      <w:pPr>
        <w:spacing w:line="288" w:lineRule="auto"/>
        <w:jc w:val="both"/>
        <w:rPr>
          <w:rFonts w:ascii="Sabon MT Pro" w:eastAsia="Sabon MT Pro" w:hAnsi="Sabon MT Pro" w:cs="Sabon MT Pro"/>
          <w:sz w:val="22"/>
        </w:rPr>
      </w:pPr>
      <w:r>
        <w:rPr>
          <w:rFonts w:ascii="Sabon MT Pro" w:eastAsia="Sabon MT Pro" w:hAnsi="Sabon MT Pro" w:cs="Sabon MT Pro"/>
          <w:sz w:val="22"/>
        </w:rPr>
        <w:t>Ternium is Latin America’s leading flat steel producer, with operating facilities in Mexico, Brazil, Argentina, Colombia, the southern United States</w:t>
      </w:r>
      <w:r>
        <w:rPr>
          <w:rFonts w:ascii="Sabon MT Pro" w:eastAsia="Sabon MT Pro" w:hAnsi="Sabon MT Pro" w:cs="Sabon MT Pro"/>
          <w:sz w:val="22"/>
        </w:rPr>
        <w:t xml:space="preserve"> and Central America. The company offers a broad range of high value-added steel products for customers active in the automotive, home appliances, HVAC, construction, capital goods, container, food and energy industries through its manufacturing facilities</w:t>
      </w:r>
      <w:r>
        <w:rPr>
          <w:rFonts w:ascii="Sabon MT Pro" w:eastAsia="Sabon MT Pro" w:hAnsi="Sabon MT Pro" w:cs="Sabon MT Pro"/>
          <w:sz w:val="22"/>
        </w:rPr>
        <w:t>, service center and distribution networks, and advanced customer integration systems. More information about Ternium is available at www.ternium.com.</w:t>
      </w:r>
    </w:p>
    <w:sectPr w:rsidR="00A77B3E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2160" w:right="1080" w:bottom="1080" w:left="1710" w:header="270" w:footer="2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34B61">
      <w:r>
        <w:separator/>
      </w:r>
    </w:p>
  </w:endnote>
  <w:endnote w:type="continuationSeparator" w:id="0">
    <w:p w:rsidR="00000000" w:rsidRDefault="00D3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e Gothic">
    <w:panose1 w:val="00000000000000000000"/>
    <w:charset w:val="00"/>
    <w:family w:val="roman"/>
    <w:notTrueType/>
    <w:pitch w:val="default"/>
  </w:font>
  <w:font w:name="Sabon MT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F12" w:rsidRDefault="00701F12">
    <w:pPr>
      <w:spacing w:line="288" w:lineRule="auto"/>
      <w:ind w:left="-720" w:right="-9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F12" w:rsidRDefault="00701F12">
    <w:pPr>
      <w:tabs>
        <w:tab w:val="center" w:pos="4400"/>
        <w:tab w:val="right" w:pos="8820"/>
      </w:tabs>
      <w:spacing w:line="288" w:lineRule="auto"/>
      <w:ind w:left="-720" w:right="-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34B61">
      <w:r>
        <w:separator/>
      </w:r>
    </w:p>
  </w:footnote>
  <w:footnote w:type="continuationSeparator" w:id="0">
    <w:p w:rsidR="00000000" w:rsidRDefault="00D34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F12" w:rsidRDefault="00701F12">
    <w:pPr>
      <w:tabs>
        <w:tab w:val="center" w:pos="4400"/>
        <w:tab w:val="right" w:pos="8820"/>
      </w:tabs>
      <w:spacing w:line="288" w:lineRule="auto"/>
      <w:ind w:left="90" w:right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F12" w:rsidRDefault="00701F12">
    <w:pPr>
      <w:tabs>
        <w:tab w:val="right" w:pos="9360"/>
      </w:tabs>
      <w:spacing w:line="288" w:lineRule="auto"/>
      <w:ind w:left="90" w:right="720" w:hanging="450"/>
      <w:rPr>
        <w:sz w:val="20"/>
      </w:rPr>
    </w:pPr>
  </w:p>
  <w:tbl>
    <w:tblPr>
      <w:tblW w:w="1021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405"/>
      <w:gridCol w:w="3405"/>
      <w:gridCol w:w="3405"/>
    </w:tblGrid>
    <w:tr w:rsidR="00701F12">
      <w:trPr>
        <w:cantSplit/>
        <w:trHeight w:hRule="exact" w:val="735"/>
        <w:jc w:val="center"/>
      </w:trPr>
      <w:tc>
        <w:tcPr>
          <w:tcW w:w="340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53" w:type="dxa"/>
            <w:bottom w:w="0" w:type="dxa"/>
            <w:right w:w="53" w:type="dxa"/>
          </w:tcMar>
        </w:tcPr>
        <w:p w:rsidR="00701F12" w:rsidRDefault="00D34B61">
          <w:pPr>
            <w:spacing w:before="65" w:after="20"/>
            <w:rPr>
              <w:sz w:val="20"/>
            </w:rPr>
          </w:pPr>
          <w:r>
            <w:rPr>
              <w:noProof/>
              <w:lang w:val="es-AR" w:eastAsia="es-AR"/>
            </w:rPr>
            <w:drawing>
              <wp:inline distT="0" distB="0" distL="0" distR="0">
                <wp:extent cx="941451" cy="304800"/>
                <wp:effectExtent l="0" t="0" r="0" b="0"/>
                <wp:docPr id="2049" name="Image 2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9" name="Image 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451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 w:rsidR="00701F12" w:rsidRDefault="00701F12"/>
      </w:tc>
      <w:tc>
        <w:tcPr>
          <w:tcW w:w="340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53" w:type="dxa"/>
            <w:bottom w:w="0" w:type="dxa"/>
            <w:right w:w="53" w:type="dxa"/>
          </w:tcMar>
          <w:vAlign w:val="bottom"/>
        </w:tcPr>
        <w:p w:rsidR="00701F12" w:rsidRDefault="00D34B61">
          <w:pPr>
            <w:spacing w:before="65" w:after="20"/>
            <w:jc w:val="right"/>
            <w:rPr>
              <w:sz w:val="20"/>
            </w:rPr>
          </w:pPr>
          <w:r>
            <w:rPr>
              <w:noProof/>
              <w:lang w:val="es-AR" w:eastAsia="es-AR"/>
            </w:rPr>
            <w:drawing>
              <wp:inline distT="0" distB="0" distL="0" distR="0">
                <wp:extent cx="1473200" cy="215900"/>
                <wp:effectExtent l="0" t="0" r="0" b="0"/>
                <wp:docPr id="2050" name="Image 20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0" name="Image 20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2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01F12" w:rsidRDefault="00701F12">
    <w:pPr>
      <w:tabs>
        <w:tab w:val="right" w:pos="9360"/>
      </w:tabs>
      <w:spacing w:line="288" w:lineRule="auto"/>
      <w:ind w:left="90" w:right="720" w:hanging="450"/>
      <w:jc w:val="center"/>
      <w:rPr>
        <w:sz w:val="20"/>
      </w:rPr>
    </w:pPr>
  </w:p>
  <w:p w:rsidR="00701F12" w:rsidRDefault="00701F12">
    <w:pPr>
      <w:tabs>
        <w:tab w:val="right" w:pos="9360"/>
      </w:tabs>
      <w:spacing w:line="288" w:lineRule="auto"/>
      <w:ind w:left="90" w:right="720" w:hanging="45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styleLink w:val="bulletasterisk"/>
    <w:lvl w:ilvl="0">
      <w:start w:val="1"/>
      <w:numFmt w:val="bullet"/>
      <w:lvlText w:val="*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*"/>
      <w:lvlJc w:val="lef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*"/>
      <w:lvlJc w:val="left"/>
      <w:pPr>
        <w:tabs>
          <w:tab w:val="num" w:pos="4320"/>
        </w:tabs>
        <w:ind w:left="4320" w:hanging="180"/>
      </w:pPr>
    </w:lvl>
    <w:lvl w:ilvl="6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*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styleLink w:val="bulletcircle"/>
    <w:lvl w:ilvl="0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180"/>
      </w:pPr>
    </w:lvl>
    <w:lvl w:ilvl="6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styleLink w:val="bulletdagger"/>
    <w:lvl w:ilvl="0">
      <w:start w:val="1"/>
      <w:numFmt w:val="bullet"/>
      <w:lvlText w:val="†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†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†"/>
      <w:lvlJc w:val="lef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†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†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†"/>
      <w:lvlJc w:val="left"/>
      <w:pPr>
        <w:tabs>
          <w:tab w:val="num" w:pos="4320"/>
        </w:tabs>
        <w:ind w:left="4320" w:hanging="180"/>
      </w:pPr>
    </w:lvl>
    <w:lvl w:ilvl="6">
      <w:start w:val="1"/>
      <w:numFmt w:val="bullet"/>
      <w:lvlText w:val="†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†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†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styleLink w:val="bulletdash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–"/>
      <w:lvlJc w:val="left"/>
      <w:pPr>
        <w:tabs>
          <w:tab w:val="num" w:pos="4320"/>
        </w:tabs>
        <w:ind w:left="4320" w:hanging="180"/>
      </w:pPr>
    </w:lvl>
    <w:lvl w:ilvl="6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–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styleLink w:val="bulletlargebox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■"/>
      <w:lvlJc w:val="lef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■"/>
      <w:lvlJc w:val="left"/>
      <w:pPr>
        <w:tabs>
          <w:tab w:val="num" w:pos="4320"/>
        </w:tabs>
        <w:ind w:left="4320" w:hanging="180"/>
      </w:pPr>
    </w:lvl>
    <w:lvl w:ilvl="6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■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styleLink w:val="bulletround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180"/>
      </w:p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styleLink w:val="bulletsquare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◦"/>
      <w:lvlJc w:val="lef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◦"/>
      <w:lvlJc w:val="left"/>
      <w:pPr>
        <w:tabs>
          <w:tab w:val="num" w:pos="4320"/>
        </w:tabs>
        <w:ind w:left="4320" w:hanging="180"/>
      </w:pPr>
    </w:lvl>
    <w:lvl w:ilvl="6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◦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styleLink w:val="listarabi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styleLink w:val="listlatinlowercas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styleLink w:val="listlatinuppercas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styleLink w:val="listromanlowercase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styleLink w:val="listromanuppercas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01F12"/>
    <w:rsid w:val="00A77B3E"/>
    <w:rsid w:val="00CA2A55"/>
    <w:rsid w:val="00D3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D5343D68-71F3-4955-AF00-645A1F42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16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bulletasterisk">
    <w:name w:val="bullet.asterisk"/>
    <w:pPr>
      <w:numPr>
        <w:numId w:val="1"/>
      </w:numPr>
    </w:pPr>
  </w:style>
  <w:style w:type="numbering" w:customStyle="1" w:styleId="bulletcircle">
    <w:name w:val="bullet.circle"/>
    <w:pPr>
      <w:numPr>
        <w:numId w:val="2"/>
      </w:numPr>
    </w:pPr>
  </w:style>
  <w:style w:type="numbering" w:customStyle="1" w:styleId="bulletdagger">
    <w:name w:val="bullet.dagger"/>
    <w:pPr>
      <w:numPr>
        <w:numId w:val="3"/>
      </w:numPr>
    </w:pPr>
  </w:style>
  <w:style w:type="numbering" w:customStyle="1" w:styleId="bulletdash">
    <w:name w:val="bullet.dash"/>
    <w:pPr>
      <w:numPr>
        <w:numId w:val="4"/>
      </w:numPr>
    </w:pPr>
  </w:style>
  <w:style w:type="numbering" w:customStyle="1" w:styleId="bulletlargebox">
    <w:name w:val="bullet.largebox"/>
    <w:pPr>
      <w:numPr>
        <w:numId w:val="5"/>
      </w:numPr>
    </w:pPr>
  </w:style>
  <w:style w:type="numbering" w:customStyle="1" w:styleId="bulletround">
    <w:name w:val="bullet.round"/>
    <w:pPr>
      <w:numPr>
        <w:numId w:val="6"/>
      </w:numPr>
    </w:pPr>
  </w:style>
  <w:style w:type="numbering" w:customStyle="1" w:styleId="bulletsquare">
    <w:name w:val="bullet.square"/>
    <w:pPr>
      <w:numPr>
        <w:numId w:val="7"/>
      </w:numPr>
    </w:pPr>
  </w:style>
  <w:style w:type="numbering" w:customStyle="1" w:styleId="listarabic">
    <w:name w:val="list.arabic"/>
    <w:pPr>
      <w:numPr>
        <w:numId w:val="8"/>
      </w:numPr>
    </w:pPr>
  </w:style>
  <w:style w:type="numbering" w:customStyle="1" w:styleId="listlatinlowercase">
    <w:name w:val="list.latin.lowercase"/>
    <w:pPr>
      <w:numPr>
        <w:numId w:val="9"/>
      </w:numPr>
    </w:pPr>
  </w:style>
  <w:style w:type="numbering" w:customStyle="1" w:styleId="listlatinuppercase">
    <w:name w:val="list.latin.uppercase"/>
    <w:pPr>
      <w:numPr>
        <w:numId w:val="10"/>
      </w:numPr>
    </w:pPr>
  </w:style>
  <w:style w:type="numbering" w:customStyle="1" w:styleId="listromanlowercase">
    <w:name w:val="list.roman.lowercase"/>
    <w:pPr>
      <w:numPr>
        <w:numId w:val="11"/>
      </w:numPr>
    </w:pPr>
  </w:style>
  <w:style w:type="numbering" w:customStyle="1" w:styleId="listromanuppercase">
    <w:name w:val="list.roman.uppercase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2943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2022-05-03</vt:lpstr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2022-05-03</dc:title>
  <dc:creator>ETCHEPAREBORDA Guillermo     TERNIUM [AR]</dc:creator>
  <cp:lastModifiedBy>ETCHEPAREBORDA Guillermo     TERNIUM [AR]</cp:lastModifiedBy>
  <cp:revision>2</cp:revision>
  <dcterms:created xsi:type="dcterms:W3CDTF">2022-04-29T20:54:00Z</dcterms:created>
  <dcterms:modified xsi:type="dcterms:W3CDTF">2022-04-29T20:54:00Z</dcterms:modified>
</cp:coreProperties>
</file>