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E23A4B" w14:textId="55BD4CB1" w:rsidR="007C1719" w:rsidRPr="00393C1B" w:rsidRDefault="007C1719" w:rsidP="007C1719">
      <w:pPr>
        <w:ind w:left="-284" w:right="-279"/>
        <w:jc w:val="center"/>
        <w:rPr>
          <w:rFonts w:cstheme="minorHAnsi"/>
          <w:b/>
          <w:bCs/>
          <w:color w:val="A08E49"/>
          <w:sz w:val="28"/>
          <w:szCs w:val="28"/>
        </w:rPr>
      </w:pPr>
      <w:r w:rsidRPr="00393C1B">
        <w:rPr>
          <w:rFonts w:cstheme="minorHAnsi"/>
          <w:b/>
          <w:bCs/>
          <w:color w:val="A08E49"/>
          <w:sz w:val="28"/>
          <w:szCs w:val="28"/>
        </w:rPr>
        <w:t xml:space="preserve">Tier One Silver </w:t>
      </w:r>
      <w:r w:rsidR="00D77F81">
        <w:rPr>
          <w:rFonts w:cstheme="minorHAnsi"/>
          <w:b/>
          <w:bCs/>
          <w:color w:val="A08E49"/>
          <w:sz w:val="28"/>
          <w:szCs w:val="28"/>
        </w:rPr>
        <w:t>to Raise</w:t>
      </w:r>
      <w:r w:rsidRPr="00393C1B">
        <w:rPr>
          <w:rFonts w:cstheme="minorHAnsi"/>
          <w:b/>
          <w:bCs/>
          <w:color w:val="A08E49"/>
          <w:sz w:val="28"/>
          <w:szCs w:val="28"/>
        </w:rPr>
        <w:t xml:space="preserve"> C$</w:t>
      </w:r>
      <w:r w:rsidR="00D77F81">
        <w:rPr>
          <w:rFonts w:cstheme="minorHAnsi"/>
          <w:b/>
          <w:bCs/>
          <w:color w:val="A08E49"/>
          <w:sz w:val="28"/>
          <w:szCs w:val="28"/>
        </w:rPr>
        <w:t>2</w:t>
      </w:r>
      <w:r w:rsidR="005578CB">
        <w:rPr>
          <w:rFonts w:cstheme="minorHAnsi"/>
          <w:b/>
          <w:bCs/>
          <w:color w:val="A08E49"/>
          <w:sz w:val="28"/>
          <w:szCs w:val="28"/>
        </w:rPr>
        <w:t>.5</w:t>
      </w:r>
      <w:r w:rsidRPr="00393C1B">
        <w:rPr>
          <w:rFonts w:cstheme="minorHAnsi"/>
          <w:b/>
          <w:bCs/>
          <w:color w:val="A08E49"/>
          <w:sz w:val="28"/>
          <w:szCs w:val="28"/>
        </w:rPr>
        <w:t xml:space="preserve"> </w:t>
      </w:r>
      <w:proofErr w:type="gramStart"/>
      <w:r w:rsidRPr="00393C1B">
        <w:rPr>
          <w:rFonts w:cstheme="minorHAnsi"/>
          <w:b/>
          <w:bCs/>
          <w:color w:val="A08E49"/>
          <w:sz w:val="28"/>
          <w:szCs w:val="28"/>
        </w:rPr>
        <w:t>Million</w:t>
      </w:r>
      <w:proofErr w:type="gramEnd"/>
      <w:r w:rsidR="00D77F81">
        <w:rPr>
          <w:rFonts w:cstheme="minorHAnsi"/>
          <w:b/>
          <w:bCs/>
          <w:color w:val="A08E49"/>
          <w:sz w:val="28"/>
          <w:szCs w:val="28"/>
        </w:rPr>
        <w:t xml:space="preserve"> in Equity Financing</w:t>
      </w:r>
    </w:p>
    <w:p w14:paraId="74E31321" w14:textId="77777777" w:rsidR="007C1719" w:rsidRPr="009605D2" w:rsidRDefault="007C1719" w:rsidP="007C1719">
      <w:pPr>
        <w:ind w:left="-284" w:right="-279"/>
        <w:rPr>
          <w:color w:val="A08E49"/>
        </w:rPr>
      </w:pPr>
    </w:p>
    <w:p w14:paraId="4661C88E" w14:textId="77777777" w:rsidR="007C1719" w:rsidRPr="007C1719" w:rsidRDefault="007C1719" w:rsidP="007C1719">
      <w:pPr>
        <w:ind w:left="-284" w:right="-279"/>
        <w:jc w:val="center"/>
        <w:rPr>
          <w:rFonts w:cstheme="minorHAnsi"/>
          <w:sz w:val="18"/>
          <w:szCs w:val="18"/>
        </w:rPr>
      </w:pPr>
      <w:r w:rsidRPr="007C1719">
        <w:rPr>
          <w:rFonts w:cstheme="minorHAnsi"/>
          <w:sz w:val="18"/>
          <w:szCs w:val="18"/>
        </w:rPr>
        <w:t>NOT FOR DISTRIBUTION TO UNITED STATES NEWSWIRE SERVICES OR FOR DISSEMINATION IN THE UNITED STATES</w:t>
      </w:r>
    </w:p>
    <w:p w14:paraId="3057DB42" w14:textId="77777777" w:rsidR="007C1719" w:rsidRPr="008F75B5" w:rsidRDefault="007C1719" w:rsidP="007C1719">
      <w:pPr>
        <w:ind w:left="-284" w:right="-279"/>
        <w:rPr>
          <w:rFonts w:cstheme="minorHAnsi"/>
        </w:rPr>
      </w:pPr>
    </w:p>
    <w:p w14:paraId="35834D7E" w14:textId="04557D37" w:rsidR="007C1719" w:rsidRPr="007C1719" w:rsidRDefault="007C1719" w:rsidP="007C1719">
      <w:pPr>
        <w:ind w:left="-284" w:right="-279"/>
        <w:jc w:val="both"/>
        <w:rPr>
          <w:rFonts w:cstheme="minorHAnsi"/>
          <w:sz w:val="20"/>
          <w:szCs w:val="20"/>
        </w:rPr>
      </w:pPr>
      <w:r w:rsidRPr="007C1719">
        <w:rPr>
          <w:rFonts w:cstheme="minorHAnsi"/>
          <w:b/>
          <w:bCs/>
          <w:sz w:val="20"/>
          <w:szCs w:val="20"/>
        </w:rPr>
        <w:t xml:space="preserve">Vancouver, Canada </w:t>
      </w:r>
      <w:r w:rsidR="00D77F81">
        <w:rPr>
          <w:rFonts w:cstheme="minorHAnsi"/>
          <w:b/>
          <w:bCs/>
          <w:sz w:val="20"/>
          <w:szCs w:val="20"/>
        </w:rPr>
        <w:t>–</w:t>
      </w:r>
      <w:r w:rsidRPr="007C1719">
        <w:rPr>
          <w:rFonts w:cstheme="minorHAnsi"/>
          <w:b/>
          <w:bCs/>
          <w:sz w:val="20"/>
          <w:szCs w:val="20"/>
        </w:rPr>
        <w:t xml:space="preserve"> </w:t>
      </w:r>
      <w:r w:rsidR="001F665D">
        <w:rPr>
          <w:rFonts w:cstheme="minorHAnsi"/>
          <w:b/>
          <w:bCs/>
          <w:sz w:val="20"/>
          <w:szCs w:val="20"/>
        </w:rPr>
        <w:t>April</w:t>
      </w:r>
      <w:r w:rsidR="001F665D">
        <w:rPr>
          <w:rFonts w:cstheme="minorHAnsi"/>
          <w:b/>
          <w:bCs/>
          <w:sz w:val="20"/>
          <w:szCs w:val="20"/>
        </w:rPr>
        <w:t xml:space="preserve"> </w:t>
      </w:r>
      <w:r w:rsidR="008214B3">
        <w:rPr>
          <w:rFonts w:cstheme="minorHAnsi"/>
          <w:b/>
          <w:bCs/>
          <w:sz w:val="20"/>
          <w:szCs w:val="20"/>
        </w:rPr>
        <w:t>3</w:t>
      </w:r>
      <w:r w:rsidRPr="007C1719">
        <w:rPr>
          <w:rFonts w:cstheme="minorHAnsi"/>
          <w:b/>
          <w:bCs/>
          <w:sz w:val="20"/>
          <w:szCs w:val="20"/>
        </w:rPr>
        <w:t>, 202</w:t>
      </w:r>
      <w:r w:rsidR="00D77F81">
        <w:rPr>
          <w:rFonts w:cstheme="minorHAnsi"/>
          <w:b/>
          <w:bCs/>
          <w:sz w:val="20"/>
          <w:szCs w:val="20"/>
        </w:rPr>
        <w:t>3</w:t>
      </w:r>
      <w:r w:rsidRPr="007C1719">
        <w:rPr>
          <w:rFonts w:cstheme="minorHAnsi"/>
          <w:b/>
          <w:bCs/>
          <w:sz w:val="20"/>
          <w:szCs w:val="20"/>
        </w:rPr>
        <w:t xml:space="preserve"> – Tier One Silver Inc. (TSXV: TSLV) </w:t>
      </w:r>
      <w:r w:rsidRPr="007C1719">
        <w:rPr>
          <w:rFonts w:cstheme="minorHAnsi"/>
          <w:sz w:val="20"/>
          <w:szCs w:val="20"/>
        </w:rPr>
        <w:t>(“</w:t>
      </w:r>
      <w:r w:rsidRPr="007C1719">
        <w:rPr>
          <w:rFonts w:cstheme="minorHAnsi"/>
          <w:b/>
          <w:bCs/>
          <w:sz w:val="20"/>
          <w:szCs w:val="20"/>
        </w:rPr>
        <w:t>Tier One</w:t>
      </w:r>
      <w:r w:rsidRPr="007C1719">
        <w:rPr>
          <w:rFonts w:cstheme="minorHAnsi"/>
          <w:sz w:val="20"/>
          <w:szCs w:val="20"/>
        </w:rPr>
        <w:t>” or the “</w:t>
      </w:r>
      <w:r w:rsidRPr="007C1719">
        <w:rPr>
          <w:rFonts w:cstheme="minorHAnsi"/>
          <w:b/>
          <w:bCs/>
          <w:sz w:val="20"/>
          <w:szCs w:val="20"/>
        </w:rPr>
        <w:t>Company</w:t>
      </w:r>
      <w:r w:rsidRPr="007C1719">
        <w:rPr>
          <w:rFonts w:cstheme="minorHAnsi"/>
          <w:sz w:val="20"/>
          <w:szCs w:val="20"/>
        </w:rPr>
        <w:t xml:space="preserve">”) is pleased to announce that it </w:t>
      </w:r>
      <w:r w:rsidR="00D77F81">
        <w:rPr>
          <w:rFonts w:cstheme="minorHAnsi"/>
          <w:sz w:val="20"/>
          <w:szCs w:val="20"/>
        </w:rPr>
        <w:t>is undertaking a non-brokered private placement of up to</w:t>
      </w:r>
      <w:r w:rsidRPr="007C1719">
        <w:rPr>
          <w:rFonts w:cstheme="minorHAnsi"/>
          <w:sz w:val="20"/>
          <w:szCs w:val="20"/>
        </w:rPr>
        <w:t xml:space="preserve"> </w:t>
      </w:r>
      <w:r w:rsidR="005578CB">
        <w:rPr>
          <w:rFonts w:cstheme="minorHAnsi"/>
          <w:sz w:val="20"/>
          <w:szCs w:val="20"/>
        </w:rPr>
        <w:t xml:space="preserve">10 </w:t>
      </w:r>
      <w:r w:rsidR="00D77F81">
        <w:rPr>
          <w:rFonts w:cstheme="minorHAnsi"/>
          <w:sz w:val="20"/>
          <w:szCs w:val="20"/>
        </w:rPr>
        <w:t xml:space="preserve">million </w:t>
      </w:r>
      <w:r w:rsidRPr="007C1719">
        <w:rPr>
          <w:rFonts w:cstheme="minorHAnsi"/>
          <w:sz w:val="20"/>
          <w:szCs w:val="20"/>
        </w:rPr>
        <w:t>units of the Company (each, a “</w:t>
      </w:r>
      <w:r w:rsidRPr="007C1719">
        <w:rPr>
          <w:rFonts w:cstheme="minorHAnsi"/>
          <w:b/>
          <w:bCs/>
          <w:sz w:val="20"/>
          <w:szCs w:val="20"/>
        </w:rPr>
        <w:t>Unit</w:t>
      </w:r>
      <w:r w:rsidRPr="007C1719">
        <w:rPr>
          <w:rFonts w:cstheme="minorHAnsi"/>
          <w:sz w:val="20"/>
          <w:szCs w:val="20"/>
        </w:rPr>
        <w:t>”) at a</w:t>
      </w:r>
      <w:r w:rsidR="00D77F81">
        <w:rPr>
          <w:rFonts w:cstheme="minorHAnsi"/>
          <w:sz w:val="20"/>
          <w:szCs w:val="20"/>
        </w:rPr>
        <w:t xml:space="preserve">n offering </w:t>
      </w:r>
      <w:r w:rsidRPr="007C1719">
        <w:rPr>
          <w:rFonts w:cstheme="minorHAnsi"/>
          <w:sz w:val="20"/>
          <w:szCs w:val="20"/>
        </w:rPr>
        <w:t>price of C$0.</w:t>
      </w:r>
      <w:r w:rsidR="00D77F81">
        <w:rPr>
          <w:rFonts w:cstheme="minorHAnsi"/>
          <w:sz w:val="20"/>
          <w:szCs w:val="20"/>
        </w:rPr>
        <w:t>2</w:t>
      </w:r>
      <w:r w:rsidRPr="007C1719">
        <w:rPr>
          <w:rFonts w:cstheme="minorHAnsi"/>
          <w:sz w:val="20"/>
          <w:szCs w:val="20"/>
        </w:rPr>
        <w:t>5 per Unit (the “</w:t>
      </w:r>
      <w:r w:rsidRPr="007C1719">
        <w:rPr>
          <w:rFonts w:cstheme="minorHAnsi"/>
          <w:b/>
          <w:bCs/>
          <w:sz w:val="20"/>
          <w:szCs w:val="20"/>
        </w:rPr>
        <w:t>Unit Price</w:t>
      </w:r>
      <w:r w:rsidRPr="007C1719">
        <w:rPr>
          <w:rFonts w:cstheme="minorHAnsi"/>
          <w:sz w:val="20"/>
          <w:szCs w:val="20"/>
        </w:rPr>
        <w:t xml:space="preserve">”) for gross proceeds to the Company of </w:t>
      </w:r>
      <w:r w:rsidR="008B4450">
        <w:rPr>
          <w:rFonts w:cstheme="minorHAnsi"/>
          <w:sz w:val="20"/>
          <w:szCs w:val="20"/>
        </w:rPr>
        <w:t xml:space="preserve">up to </w:t>
      </w:r>
      <w:r w:rsidRPr="007C1719">
        <w:rPr>
          <w:rFonts w:cstheme="minorHAnsi"/>
          <w:sz w:val="20"/>
          <w:szCs w:val="20"/>
        </w:rPr>
        <w:t>C$</w:t>
      </w:r>
      <w:r w:rsidR="00D77F81">
        <w:rPr>
          <w:rFonts w:cstheme="minorHAnsi"/>
          <w:sz w:val="20"/>
          <w:szCs w:val="20"/>
        </w:rPr>
        <w:t>2,</w:t>
      </w:r>
      <w:r w:rsidR="005578CB">
        <w:rPr>
          <w:rFonts w:cstheme="minorHAnsi"/>
          <w:sz w:val="20"/>
          <w:szCs w:val="20"/>
        </w:rPr>
        <w:t>5</w:t>
      </w:r>
      <w:r w:rsidR="00D77F81">
        <w:rPr>
          <w:rFonts w:cstheme="minorHAnsi"/>
          <w:sz w:val="20"/>
          <w:szCs w:val="20"/>
        </w:rPr>
        <w:t>00,000 (the “</w:t>
      </w:r>
      <w:r w:rsidR="00D77F81" w:rsidRPr="00D77F81">
        <w:rPr>
          <w:rFonts w:cstheme="minorHAnsi"/>
          <w:b/>
          <w:bCs/>
          <w:sz w:val="20"/>
          <w:szCs w:val="20"/>
        </w:rPr>
        <w:t>Offering</w:t>
      </w:r>
      <w:r w:rsidR="00D77F81">
        <w:rPr>
          <w:rFonts w:cstheme="minorHAnsi"/>
          <w:sz w:val="20"/>
          <w:szCs w:val="20"/>
        </w:rPr>
        <w:t>”).</w:t>
      </w:r>
      <w:r w:rsidRPr="007C1719">
        <w:rPr>
          <w:sz w:val="20"/>
          <w:szCs w:val="20"/>
        </w:rPr>
        <w:t xml:space="preserve"> </w:t>
      </w:r>
    </w:p>
    <w:p w14:paraId="09409E70" w14:textId="77777777" w:rsidR="007C1719" w:rsidRPr="007C1719" w:rsidRDefault="007C1719" w:rsidP="007C1719">
      <w:pPr>
        <w:ind w:left="-284" w:right="-279"/>
        <w:jc w:val="both"/>
        <w:rPr>
          <w:rFonts w:cstheme="minorHAnsi"/>
          <w:sz w:val="20"/>
          <w:szCs w:val="20"/>
        </w:rPr>
      </w:pPr>
    </w:p>
    <w:p w14:paraId="0F0AE2FE" w14:textId="1A1E4828" w:rsidR="007C1719" w:rsidRPr="007C1719" w:rsidRDefault="007C1719" w:rsidP="007C1719">
      <w:pPr>
        <w:ind w:left="-284" w:right="-279"/>
        <w:jc w:val="both"/>
        <w:rPr>
          <w:rFonts w:cstheme="minorHAnsi"/>
          <w:sz w:val="20"/>
          <w:szCs w:val="20"/>
        </w:rPr>
      </w:pPr>
      <w:r w:rsidRPr="007C1719">
        <w:rPr>
          <w:rFonts w:cstheme="minorHAnsi"/>
          <w:sz w:val="20"/>
          <w:szCs w:val="20"/>
        </w:rPr>
        <w:t xml:space="preserve">Each Unit shall consist of one common share of the Company </w:t>
      </w:r>
      <w:r w:rsidR="008B4450">
        <w:rPr>
          <w:rFonts w:cstheme="minorHAnsi"/>
          <w:sz w:val="20"/>
          <w:szCs w:val="20"/>
        </w:rPr>
        <w:t>(a “</w:t>
      </w:r>
      <w:r w:rsidR="008B4450" w:rsidRPr="00200C95">
        <w:rPr>
          <w:rFonts w:cstheme="minorHAnsi"/>
          <w:b/>
          <w:bCs/>
          <w:sz w:val="20"/>
          <w:szCs w:val="20"/>
        </w:rPr>
        <w:t>Share</w:t>
      </w:r>
      <w:r w:rsidR="008B4450">
        <w:rPr>
          <w:rFonts w:cstheme="minorHAnsi"/>
          <w:sz w:val="20"/>
          <w:szCs w:val="20"/>
        </w:rPr>
        <w:t xml:space="preserve">”) </w:t>
      </w:r>
      <w:r w:rsidRPr="007C1719">
        <w:rPr>
          <w:rFonts w:cstheme="minorHAnsi"/>
          <w:sz w:val="20"/>
          <w:szCs w:val="20"/>
        </w:rPr>
        <w:t xml:space="preserve">and one </w:t>
      </w:r>
      <w:r w:rsidR="00D77F81">
        <w:rPr>
          <w:rFonts w:cstheme="minorHAnsi"/>
          <w:sz w:val="20"/>
          <w:szCs w:val="20"/>
        </w:rPr>
        <w:t xml:space="preserve">full </w:t>
      </w:r>
      <w:r w:rsidRPr="007C1719">
        <w:rPr>
          <w:rFonts w:cstheme="minorHAnsi"/>
          <w:sz w:val="20"/>
          <w:szCs w:val="20"/>
        </w:rPr>
        <w:t>common share purchase warrant of the Company (each, a “</w:t>
      </w:r>
      <w:r w:rsidRPr="007C1719">
        <w:rPr>
          <w:rFonts w:cstheme="minorHAnsi"/>
          <w:b/>
          <w:bCs/>
          <w:sz w:val="20"/>
          <w:szCs w:val="20"/>
        </w:rPr>
        <w:t>Warrant</w:t>
      </w:r>
      <w:r w:rsidRPr="007C1719">
        <w:rPr>
          <w:rFonts w:cstheme="minorHAnsi"/>
          <w:sz w:val="20"/>
          <w:szCs w:val="20"/>
        </w:rPr>
        <w:t>”). Each Warrant shall entitle the holder thereof to purchase one common share of the Company at a price of C$</w:t>
      </w:r>
      <w:r w:rsidR="00D77F81">
        <w:rPr>
          <w:rFonts w:cstheme="minorHAnsi"/>
          <w:sz w:val="20"/>
          <w:szCs w:val="20"/>
        </w:rPr>
        <w:t>0</w:t>
      </w:r>
      <w:r w:rsidRPr="007C1719">
        <w:rPr>
          <w:rFonts w:cstheme="minorHAnsi"/>
          <w:sz w:val="20"/>
          <w:szCs w:val="20"/>
        </w:rPr>
        <w:t>.</w:t>
      </w:r>
      <w:r w:rsidR="00D77F81">
        <w:rPr>
          <w:rFonts w:cstheme="minorHAnsi"/>
          <w:sz w:val="20"/>
          <w:szCs w:val="20"/>
        </w:rPr>
        <w:t>35</w:t>
      </w:r>
      <w:r w:rsidRPr="007C1719">
        <w:rPr>
          <w:rFonts w:cstheme="minorHAnsi"/>
          <w:sz w:val="20"/>
          <w:szCs w:val="20"/>
        </w:rPr>
        <w:t xml:space="preserve"> at any time on or before the date which is 24 months after the closing date of the Offering.</w:t>
      </w:r>
    </w:p>
    <w:p w14:paraId="26F9E8A7" w14:textId="77777777" w:rsidR="007C1719" w:rsidRPr="007C1719" w:rsidRDefault="007C1719" w:rsidP="00D77F81">
      <w:pPr>
        <w:ind w:right="-279"/>
        <w:jc w:val="both"/>
        <w:rPr>
          <w:rFonts w:cstheme="minorHAnsi"/>
          <w:sz w:val="20"/>
          <w:szCs w:val="20"/>
        </w:rPr>
      </w:pPr>
    </w:p>
    <w:p w14:paraId="5C5F1A1F" w14:textId="7EBFBC4F" w:rsidR="007C1719" w:rsidRPr="007C1719" w:rsidRDefault="007C1719" w:rsidP="007C1719">
      <w:pPr>
        <w:ind w:left="-284" w:right="-279"/>
        <w:jc w:val="both"/>
        <w:rPr>
          <w:rFonts w:cstheme="minorHAnsi"/>
          <w:sz w:val="20"/>
          <w:szCs w:val="20"/>
        </w:rPr>
      </w:pPr>
      <w:r w:rsidRPr="007C1719">
        <w:rPr>
          <w:rFonts w:cstheme="minorHAnsi"/>
          <w:sz w:val="20"/>
          <w:szCs w:val="20"/>
        </w:rPr>
        <w:t xml:space="preserve">The Company plans to use the net proceeds of the Offering </w:t>
      </w:r>
      <w:r w:rsidR="003D74C8">
        <w:rPr>
          <w:rFonts w:cstheme="minorHAnsi"/>
          <w:sz w:val="20"/>
          <w:szCs w:val="20"/>
        </w:rPr>
        <w:t>to commence the</w:t>
      </w:r>
      <w:r w:rsidRPr="007C1719">
        <w:rPr>
          <w:rFonts w:cstheme="minorHAnsi"/>
          <w:sz w:val="20"/>
          <w:szCs w:val="20"/>
        </w:rPr>
        <w:t xml:space="preserve"> </w:t>
      </w:r>
      <w:r w:rsidR="00D77F81">
        <w:rPr>
          <w:rFonts w:cstheme="minorHAnsi"/>
          <w:sz w:val="20"/>
          <w:szCs w:val="20"/>
        </w:rPr>
        <w:t xml:space="preserve">planned upcoming drill program at the </w:t>
      </w:r>
      <w:proofErr w:type="spellStart"/>
      <w:r w:rsidR="00D77F81">
        <w:rPr>
          <w:rFonts w:cstheme="minorHAnsi"/>
          <w:sz w:val="20"/>
          <w:szCs w:val="20"/>
        </w:rPr>
        <w:t>Curibaya</w:t>
      </w:r>
      <w:proofErr w:type="spellEnd"/>
      <w:r w:rsidR="00D77F81">
        <w:rPr>
          <w:rFonts w:cstheme="minorHAnsi"/>
          <w:sz w:val="20"/>
          <w:szCs w:val="20"/>
        </w:rPr>
        <w:t xml:space="preserve"> project, for </w:t>
      </w:r>
      <w:r w:rsidR="003D74C8">
        <w:rPr>
          <w:rFonts w:cstheme="minorHAnsi"/>
          <w:sz w:val="20"/>
          <w:szCs w:val="20"/>
        </w:rPr>
        <w:t>continued</w:t>
      </w:r>
      <w:r w:rsidRPr="007C1719">
        <w:rPr>
          <w:rFonts w:cstheme="minorHAnsi"/>
          <w:sz w:val="20"/>
          <w:szCs w:val="20"/>
        </w:rPr>
        <w:t xml:space="preserve"> advancement of the </w:t>
      </w:r>
      <w:r w:rsidR="00D77F81">
        <w:rPr>
          <w:rFonts w:cstheme="minorHAnsi"/>
          <w:sz w:val="20"/>
          <w:szCs w:val="20"/>
        </w:rPr>
        <w:t xml:space="preserve">Hurricane project </w:t>
      </w:r>
      <w:r w:rsidRPr="007C1719">
        <w:rPr>
          <w:rFonts w:cstheme="minorHAnsi"/>
          <w:sz w:val="20"/>
          <w:szCs w:val="20"/>
        </w:rPr>
        <w:t xml:space="preserve">and for general working capital purposes. </w:t>
      </w:r>
      <w:r w:rsidR="003D74C8" w:rsidRPr="003D74C8">
        <w:rPr>
          <w:rFonts w:cstheme="minorHAnsi"/>
          <w:sz w:val="20"/>
          <w:szCs w:val="20"/>
        </w:rPr>
        <w:t xml:space="preserve">Hurricane </w:t>
      </w:r>
      <w:r w:rsidR="003D1DB8">
        <w:rPr>
          <w:rFonts w:cstheme="minorHAnsi"/>
          <w:sz w:val="20"/>
          <w:szCs w:val="20"/>
        </w:rPr>
        <w:t xml:space="preserve">expenditure </w:t>
      </w:r>
      <w:r w:rsidR="003D74C8" w:rsidRPr="003D74C8">
        <w:rPr>
          <w:rFonts w:cstheme="minorHAnsi"/>
          <w:sz w:val="20"/>
          <w:szCs w:val="20"/>
        </w:rPr>
        <w:t xml:space="preserve">and working capital funding </w:t>
      </w:r>
      <w:r w:rsidR="00200C95" w:rsidRPr="003D74C8">
        <w:rPr>
          <w:rFonts w:cstheme="minorHAnsi"/>
          <w:sz w:val="20"/>
          <w:szCs w:val="20"/>
        </w:rPr>
        <w:t>apply</w:t>
      </w:r>
      <w:r w:rsidR="003D74C8" w:rsidRPr="003D74C8">
        <w:rPr>
          <w:rFonts w:cstheme="minorHAnsi"/>
          <w:sz w:val="20"/>
          <w:szCs w:val="20"/>
        </w:rPr>
        <w:t xml:space="preserve"> only if target raise is exceeded.</w:t>
      </w:r>
    </w:p>
    <w:p w14:paraId="4779EDBB" w14:textId="77777777" w:rsidR="007C1719" w:rsidRPr="007C1719" w:rsidRDefault="007C1719" w:rsidP="007C1719">
      <w:pPr>
        <w:ind w:left="-284" w:right="-279"/>
        <w:jc w:val="both"/>
        <w:rPr>
          <w:rFonts w:cstheme="minorHAnsi"/>
          <w:sz w:val="20"/>
          <w:szCs w:val="20"/>
        </w:rPr>
      </w:pPr>
    </w:p>
    <w:p w14:paraId="1EC571C1" w14:textId="06F72A7C" w:rsidR="005578CB" w:rsidRPr="005578CB" w:rsidRDefault="005578CB" w:rsidP="00200C95">
      <w:pPr>
        <w:ind w:left="-284" w:right="-279"/>
        <w:jc w:val="both"/>
        <w:rPr>
          <w:rFonts w:cstheme="minorHAnsi"/>
          <w:sz w:val="20"/>
          <w:szCs w:val="20"/>
          <w:lang w:val="en-CA"/>
        </w:rPr>
      </w:pPr>
      <w:r w:rsidRPr="005578CB">
        <w:rPr>
          <w:rFonts w:cstheme="minorHAnsi"/>
          <w:sz w:val="20"/>
          <w:szCs w:val="20"/>
          <w:lang w:val="en-CA"/>
        </w:rPr>
        <w:t>In accordance with applicable securities laws, the Shares</w:t>
      </w:r>
      <w:r w:rsidR="008B4450">
        <w:rPr>
          <w:rFonts w:cstheme="minorHAnsi"/>
          <w:sz w:val="20"/>
          <w:szCs w:val="20"/>
          <w:lang w:val="en-CA"/>
        </w:rPr>
        <w:t xml:space="preserve"> and Warrants</w:t>
      </w:r>
      <w:r w:rsidRPr="005578CB">
        <w:rPr>
          <w:rFonts w:cstheme="minorHAnsi"/>
          <w:sz w:val="20"/>
          <w:szCs w:val="20"/>
          <w:lang w:val="en-CA"/>
        </w:rPr>
        <w:t xml:space="preserve"> issued under the Offering will be subject to a four-month and one day hold period from the date of issuance in Canada. While the Offering is non-brokered, referral fees may be paid on a portion of the proceeds to eligible persons, where permitted by applicable law. Closing of the Offering is anticipated to occur on or about </w:t>
      </w:r>
      <w:r w:rsidRPr="00200C95">
        <w:rPr>
          <w:rFonts w:cstheme="minorHAnsi"/>
          <w:sz w:val="20"/>
          <w:szCs w:val="20"/>
          <w:lang w:val="en-CA"/>
        </w:rPr>
        <w:t xml:space="preserve">April </w:t>
      </w:r>
      <w:r w:rsidR="003D74C8" w:rsidRPr="00200C95">
        <w:rPr>
          <w:rFonts w:cstheme="minorHAnsi"/>
          <w:sz w:val="20"/>
          <w:szCs w:val="20"/>
          <w:lang w:val="en-CA"/>
        </w:rPr>
        <w:t>21</w:t>
      </w:r>
      <w:r w:rsidRPr="00200C95">
        <w:rPr>
          <w:rFonts w:cstheme="minorHAnsi"/>
          <w:sz w:val="20"/>
          <w:szCs w:val="20"/>
          <w:lang w:val="en-CA"/>
        </w:rPr>
        <w:t>, 202</w:t>
      </w:r>
      <w:r w:rsidRPr="00200C95">
        <w:rPr>
          <w:rFonts w:cstheme="minorHAnsi"/>
          <w:sz w:val="20"/>
          <w:szCs w:val="20"/>
          <w:lang w:val="en-CA"/>
        </w:rPr>
        <w:t>3</w:t>
      </w:r>
      <w:r w:rsidRPr="005578CB">
        <w:rPr>
          <w:rFonts w:cstheme="minorHAnsi"/>
          <w:sz w:val="20"/>
          <w:szCs w:val="20"/>
          <w:lang w:val="en-CA"/>
        </w:rPr>
        <w:t xml:space="preserve">, subject to the receipt of </w:t>
      </w:r>
      <w:r w:rsidR="00200C95">
        <w:rPr>
          <w:rFonts w:cstheme="minorHAnsi"/>
          <w:sz w:val="20"/>
          <w:szCs w:val="20"/>
          <w:lang w:val="en-CA"/>
        </w:rPr>
        <w:t xml:space="preserve">investor </w:t>
      </w:r>
      <w:r w:rsidRPr="005578CB">
        <w:rPr>
          <w:rFonts w:cstheme="minorHAnsi"/>
          <w:sz w:val="20"/>
          <w:szCs w:val="20"/>
          <w:lang w:val="en-CA"/>
        </w:rPr>
        <w:t>documentation</w:t>
      </w:r>
      <w:r w:rsidR="008B4450">
        <w:rPr>
          <w:rFonts w:cstheme="minorHAnsi"/>
          <w:sz w:val="20"/>
          <w:szCs w:val="20"/>
          <w:lang w:val="en-CA"/>
        </w:rPr>
        <w:t>,</w:t>
      </w:r>
      <w:r w:rsidRPr="005578CB">
        <w:rPr>
          <w:rFonts w:cstheme="minorHAnsi"/>
          <w:sz w:val="20"/>
          <w:szCs w:val="20"/>
          <w:lang w:val="en-CA"/>
        </w:rPr>
        <w:t xml:space="preserve"> funds</w:t>
      </w:r>
      <w:r w:rsidR="008B4450">
        <w:rPr>
          <w:rFonts w:cstheme="minorHAnsi"/>
          <w:sz w:val="20"/>
          <w:szCs w:val="20"/>
          <w:lang w:val="en-CA"/>
        </w:rPr>
        <w:t xml:space="preserve"> and </w:t>
      </w:r>
      <w:r w:rsidR="00200C95">
        <w:rPr>
          <w:rFonts w:cstheme="minorHAnsi"/>
          <w:sz w:val="20"/>
          <w:szCs w:val="20"/>
          <w:lang w:val="en-CA"/>
        </w:rPr>
        <w:t>TSX Venture Exchange</w:t>
      </w:r>
      <w:r w:rsidR="00200C95">
        <w:rPr>
          <w:rFonts w:cstheme="minorHAnsi"/>
          <w:sz w:val="20"/>
          <w:szCs w:val="20"/>
          <w:lang w:val="en-CA"/>
        </w:rPr>
        <w:t xml:space="preserve"> </w:t>
      </w:r>
      <w:r w:rsidR="008B4450">
        <w:rPr>
          <w:rFonts w:cstheme="minorHAnsi"/>
          <w:sz w:val="20"/>
          <w:szCs w:val="20"/>
          <w:lang w:val="en-CA"/>
        </w:rPr>
        <w:t>approval</w:t>
      </w:r>
      <w:r w:rsidRPr="005578CB">
        <w:rPr>
          <w:rFonts w:cstheme="minorHAnsi"/>
          <w:sz w:val="20"/>
          <w:szCs w:val="20"/>
          <w:lang w:val="en-CA"/>
        </w:rPr>
        <w:t xml:space="preserve">. </w:t>
      </w:r>
      <w:r>
        <w:rPr>
          <w:rFonts w:cstheme="minorHAnsi"/>
          <w:sz w:val="20"/>
          <w:szCs w:val="20"/>
          <w:lang w:val="en-CA"/>
        </w:rPr>
        <w:t>T</w:t>
      </w:r>
      <w:r w:rsidRPr="005578CB">
        <w:rPr>
          <w:rFonts w:cstheme="minorHAnsi"/>
          <w:sz w:val="20"/>
          <w:szCs w:val="20"/>
          <w:lang w:val="en-CA"/>
        </w:rPr>
        <w:t xml:space="preserve">here is no minimum </w:t>
      </w:r>
      <w:r w:rsidR="00200C95">
        <w:rPr>
          <w:rFonts w:cstheme="minorHAnsi"/>
          <w:sz w:val="20"/>
          <w:szCs w:val="20"/>
          <w:lang w:val="en-CA"/>
        </w:rPr>
        <w:t>upon</w:t>
      </w:r>
      <w:r w:rsidRPr="005578CB">
        <w:rPr>
          <w:rFonts w:cstheme="minorHAnsi"/>
          <w:sz w:val="20"/>
          <w:szCs w:val="20"/>
          <w:lang w:val="en-CA"/>
        </w:rPr>
        <w:t xml:space="preserve"> which the </w:t>
      </w:r>
      <w:r w:rsidR="008B4450">
        <w:rPr>
          <w:rFonts w:cstheme="minorHAnsi"/>
          <w:sz w:val="20"/>
          <w:szCs w:val="20"/>
          <w:lang w:val="en-CA"/>
        </w:rPr>
        <w:t xml:space="preserve">closing of the </w:t>
      </w:r>
      <w:r w:rsidRPr="005578CB">
        <w:rPr>
          <w:rFonts w:cstheme="minorHAnsi"/>
          <w:sz w:val="20"/>
          <w:szCs w:val="20"/>
          <w:lang w:val="en-CA"/>
        </w:rPr>
        <w:t>Offering is conditional</w:t>
      </w:r>
      <w:r w:rsidR="00200C95">
        <w:rPr>
          <w:rFonts w:cstheme="minorHAnsi"/>
          <w:sz w:val="20"/>
          <w:szCs w:val="20"/>
          <w:lang w:val="en-CA"/>
        </w:rPr>
        <w:t>,</w:t>
      </w:r>
      <w:r w:rsidRPr="005578CB">
        <w:rPr>
          <w:rFonts w:cstheme="minorHAnsi"/>
          <w:sz w:val="20"/>
          <w:szCs w:val="20"/>
          <w:lang w:val="en-CA"/>
        </w:rPr>
        <w:t xml:space="preserve"> </w:t>
      </w:r>
      <w:r w:rsidR="00200C95">
        <w:rPr>
          <w:rFonts w:cstheme="minorHAnsi"/>
          <w:sz w:val="20"/>
          <w:szCs w:val="20"/>
          <w:lang w:val="en-CA"/>
        </w:rPr>
        <w:t>and any upsize will be announced in the context of the market</w:t>
      </w:r>
      <w:r w:rsidRPr="005578CB">
        <w:rPr>
          <w:rFonts w:cstheme="minorHAnsi"/>
          <w:sz w:val="20"/>
          <w:szCs w:val="20"/>
          <w:lang w:val="en-CA"/>
        </w:rPr>
        <w:t>.</w:t>
      </w:r>
      <w:r w:rsidR="00016A91">
        <w:rPr>
          <w:rFonts w:cstheme="minorHAnsi"/>
          <w:sz w:val="20"/>
          <w:szCs w:val="20"/>
          <w:lang w:val="en-CA"/>
        </w:rPr>
        <w:t xml:space="preserve"> </w:t>
      </w:r>
      <w:r w:rsidR="00200C95" w:rsidRPr="001031A2">
        <w:rPr>
          <w:rFonts w:cstheme="minorHAnsi"/>
          <w:sz w:val="20"/>
          <w:szCs w:val="20"/>
          <w:lang w:val="en-CA"/>
        </w:rPr>
        <w:t xml:space="preserve">It is possible that insiders </w:t>
      </w:r>
      <w:r w:rsidR="00200C95">
        <w:rPr>
          <w:rFonts w:cstheme="minorHAnsi"/>
          <w:sz w:val="20"/>
          <w:szCs w:val="20"/>
          <w:lang w:val="en-CA"/>
        </w:rPr>
        <w:t xml:space="preserve">of the Company </w:t>
      </w:r>
      <w:r w:rsidR="00200C95" w:rsidRPr="001031A2">
        <w:rPr>
          <w:rFonts w:cstheme="minorHAnsi"/>
          <w:sz w:val="20"/>
          <w:szCs w:val="20"/>
          <w:lang w:val="en-CA"/>
        </w:rPr>
        <w:t xml:space="preserve">may participate in the placement relying on the exemption from the formal valuation and minority shareholder approval requirements of </w:t>
      </w:r>
      <w:r w:rsidR="00200C95">
        <w:rPr>
          <w:rFonts w:cstheme="minorHAnsi"/>
          <w:sz w:val="20"/>
          <w:szCs w:val="20"/>
          <w:lang w:val="en-CA"/>
        </w:rPr>
        <w:t xml:space="preserve">Canadian Multilateral Instrument </w:t>
      </w:r>
      <w:r w:rsidR="00200C95" w:rsidRPr="001031A2">
        <w:rPr>
          <w:rFonts w:cstheme="minorHAnsi"/>
          <w:sz w:val="20"/>
          <w:szCs w:val="20"/>
          <w:lang w:val="en-CA"/>
        </w:rPr>
        <w:t>61-101 (Protection of Minority Shareholders in related Party Transactions) pursuant to sections 5.5(a) and 5.7(1)(a) of MI 61-101, as neither the fair market value of any securities issued to nor the consideration paid by such person could exceed 25% of the Company’s market capitalization</w:t>
      </w:r>
      <w:r w:rsidR="00200C95">
        <w:rPr>
          <w:rFonts w:cstheme="minorHAnsi"/>
          <w:sz w:val="20"/>
          <w:szCs w:val="20"/>
          <w:lang w:val="en-CA"/>
        </w:rPr>
        <w:t>.</w:t>
      </w:r>
    </w:p>
    <w:p w14:paraId="7D986F34" w14:textId="77777777" w:rsidR="007C1719" w:rsidRPr="007C1719" w:rsidRDefault="007C1719" w:rsidP="007C1719">
      <w:pPr>
        <w:ind w:left="-284" w:right="-279"/>
        <w:jc w:val="both"/>
        <w:rPr>
          <w:rFonts w:cstheme="minorHAnsi"/>
          <w:sz w:val="20"/>
          <w:szCs w:val="20"/>
        </w:rPr>
      </w:pPr>
    </w:p>
    <w:p w14:paraId="5BEF27FB" w14:textId="77777777" w:rsidR="007C1719" w:rsidRPr="007C1719" w:rsidRDefault="007C1719" w:rsidP="007C1719">
      <w:pPr>
        <w:ind w:left="-284" w:right="-279"/>
        <w:jc w:val="both"/>
        <w:rPr>
          <w:rFonts w:cstheme="minorHAnsi"/>
          <w:sz w:val="20"/>
          <w:szCs w:val="20"/>
        </w:rPr>
      </w:pPr>
      <w:r w:rsidRPr="007C1719">
        <w:rPr>
          <w:rFonts w:cstheme="minorHAnsi"/>
          <w:sz w:val="20"/>
          <w:szCs w:val="20"/>
        </w:rPr>
        <w:t>The securities offered have not been registered under the U.S. Securities Act of 1933, as amended, and may not</w:t>
      </w:r>
    </w:p>
    <w:p w14:paraId="00DDBF66" w14:textId="77777777" w:rsidR="007C1719" w:rsidRPr="007C1719" w:rsidRDefault="007C1719" w:rsidP="007C1719">
      <w:pPr>
        <w:ind w:left="-284" w:right="-279"/>
        <w:jc w:val="both"/>
        <w:rPr>
          <w:rFonts w:cstheme="minorHAnsi"/>
          <w:sz w:val="20"/>
          <w:szCs w:val="20"/>
        </w:rPr>
      </w:pPr>
      <w:r w:rsidRPr="007C1719">
        <w:rPr>
          <w:rFonts w:cstheme="minorHAnsi"/>
          <w:sz w:val="20"/>
          <w:szCs w:val="20"/>
        </w:rPr>
        <w:t>be offered or sold in the United States absent registration or an applicable exemption from the registration requirements. This press release shall not constitute an offer to sell or the solicitation of an offer to buy nor shall there be any sale of the securities in any State in which such offer, solicitation or sale would be unlawful.</w:t>
      </w:r>
    </w:p>
    <w:p w14:paraId="56045F28" w14:textId="77777777" w:rsidR="007C1719" w:rsidRPr="007C1719" w:rsidRDefault="007C1719" w:rsidP="007C1719">
      <w:pPr>
        <w:ind w:left="-284" w:right="-279"/>
        <w:jc w:val="both"/>
        <w:rPr>
          <w:rFonts w:cstheme="minorHAnsi"/>
          <w:sz w:val="20"/>
          <w:szCs w:val="20"/>
        </w:rPr>
      </w:pPr>
    </w:p>
    <w:p w14:paraId="00C356BB" w14:textId="77777777" w:rsidR="007C1719" w:rsidRPr="007C1719" w:rsidRDefault="007C1719" w:rsidP="007C1719">
      <w:pPr>
        <w:ind w:left="-284" w:right="-279"/>
        <w:jc w:val="both"/>
        <w:rPr>
          <w:rFonts w:cstheme="minorHAnsi"/>
          <w:sz w:val="20"/>
          <w:szCs w:val="20"/>
        </w:rPr>
      </w:pPr>
      <w:r w:rsidRPr="007C1719">
        <w:rPr>
          <w:rFonts w:cstheme="minorHAnsi"/>
          <w:sz w:val="20"/>
          <w:szCs w:val="20"/>
        </w:rPr>
        <w:t>ON BEHALF OF THE BOARD OF DIRECTORS OF TIER ONE SILVER INC.</w:t>
      </w:r>
    </w:p>
    <w:p w14:paraId="60E2F0AA" w14:textId="77777777" w:rsidR="007C1719" w:rsidRPr="007C1719" w:rsidRDefault="007C1719" w:rsidP="007C1719">
      <w:pPr>
        <w:ind w:left="-284" w:right="-279"/>
        <w:jc w:val="both"/>
        <w:rPr>
          <w:rFonts w:cstheme="minorHAnsi"/>
          <w:i/>
          <w:iCs/>
          <w:sz w:val="20"/>
          <w:szCs w:val="20"/>
        </w:rPr>
      </w:pPr>
    </w:p>
    <w:p w14:paraId="7D379474" w14:textId="77777777" w:rsidR="007C1719" w:rsidRPr="007C1719" w:rsidRDefault="007C1719" w:rsidP="007C1719">
      <w:pPr>
        <w:ind w:left="-284" w:right="-279"/>
        <w:jc w:val="both"/>
        <w:rPr>
          <w:rFonts w:cstheme="minorHAnsi"/>
          <w:i/>
          <w:iCs/>
          <w:sz w:val="20"/>
          <w:szCs w:val="20"/>
        </w:rPr>
      </w:pPr>
      <w:r w:rsidRPr="007C1719">
        <w:rPr>
          <w:rFonts w:cstheme="minorHAnsi"/>
          <w:i/>
          <w:iCs/>
          <w:sz w:val="20"/>
          <w:szCs w:val="20"/>
        </w:rPr>
        <w:t>Peter Dembicki</w:t>
      </w:r>
    </w:p>
    <w:p w14:paraId="5847249E" w14:textId="77777777" w:rsidR="007C1719" w:rsidRPr="007C1719" w:rsidRDefault="007C1719" w:rsidP="007C1719">
      <w:pPr>
        <w:ind w:left="-284" w:right="-279"/>
        <w:jc w:val="both"/>
        <w:rPr>
          <w:rFonts w:cstheme="minorHAnsi"/>
          <w:sz w:val="20"/>
          <w:szCs w:val="20"/>
        </w:rPr>
      </w:pPr>
      <w:r w:rsidRPr="007C1719">
        <w:rPr>
          <w:rFonts w:cstheme="minorHAnsi"/>
          <w:sz w:val="20"/>
          <w:szCs w:val="20"/>
        </w:rPr>
        <w:t>President, CEO and Director</w:t>
      </w:r>
    </w:p>
    <w:p w14:paraId="3C54B29E" w14:textId="77777777" w:rsidR="007C1719" w:rsidRPr="007C1719" w:rsidRDefault="007C1719" w:rsidP="007C1719">
      <w:pPr>
        <w:ind w:left="-284" w:right="-279"/>
        <w:jc w:val="both"/>
        <w:rPr>
          <w:rFonts w:cstheme="minorHAnsi"/>
          <w:i/>
          <w:iCs/>
          <w:sz w:val="20"/>
          <w:szCs w:val="20"/>
        </w:rPr>
      </w:pPr>
    </w:p>
    <w:p w14:paraId="18551C7C" w14:textId="35C5A993" w:rsidR="007C1719" w:rsidRPr="007C1719" w:rsidRDefault="007C1719" w:rsidP="007C1719">
      <w:pPr>
        <w:ind w:left="-284" w:right="-279"/>
        <w:jc w:val="both"/>
        <w:rPr>
          <w:rFonts w:cstheme="minorHAnsi"/>
          <w:sz w:val="20"/>
          <w:szCs w:val="20"/>
        </w:rPr>
      </w:pPr>
      <w:r w:rsidRPr="007C1719">
        <w:rPr>
          <w:rFonts w:cstheme="minorHAnsi"/>
          <w:sz w:val="20"/>
          <w:szCs w:val="20"/>
        </w:rPr>
        <w:lastRenderedPageBreak/>
        <w:t xml:space="preserve">For further information on Tier One Silver Inc., please contact Natasha </w:t>
      </w:r>
      <w:proofErr w:type="spellStart"/>
      <w:r w:rsidRPr="007C1719">
        <w:rPr>
          <w:rFonts w:cstheme="minorHAnsi"/>
          <w:sz w:val="20"/>
          <w:szCs w:val="20"/>
        </w:rPr>
        <w:t>Frakes</w:t>
      </w:r>
      <w:proofErr w:type="spellEnd"/>
      <w:r w:rsidRPr="007C1719">
        <w:rPr>
          <w:rFonts w:cstheme="minorHAnsi"/>
          <w:sz w:val="20"/>
          <w:szCs w:val="20"/>
        </w:rPr>
        <w:t xml:space="preserve">, </w:t>
      </w:r>
      <w:r w:rsidR="005578CB">
        <w:rPr>
          <w:rFonts w:cstheme="minorHAnsi"/>
          <w:sz w:val="20"/>
          <w:szCs w:val="20"/>
        </w:rPr>
        <w:t>VP</w:t>
      </w:r>
      <w:r w:rsidRPr="007C1719">
        <w:rPr>
          <w:rFonts w:cstheme="minorHAnsi"/>
          <w:sz w:val="20"/>
          <w:szCs w:val="20"/>
        </w:rPr>
        <w:t xml:space="preserve"> of Communications</w:t>
      </w:r>
      <w:r w:rsidR="005578CB">
        <w:rPr>
          <w:rFonts w:cstheme="minorHAnsi"/>
          <w:sz w:val="20"/>
          <w:szCs w:val="20"/>
        </w:rPr>
        <w:t>,</w:t>
      </w:r>
      <w:r w:rsidRPr="007C1719">
        <w:rPr>
          <w:rFonts w:cstheme="minorHAnsi"/>
          <w:sz w:val="20"/>
          <w:szCs w:val="20"/>
        </w:rPr>
        <w:t xml:space="preserve"> at (778) 729-0600 or info@tieronesilver.com.</w:t>
      </w:r>
    </w:p>
    <w:p w14:paraId="143286A9" w14:textId="77777777" w:rsidR="007C1719" w:rsidRPr="008F75B5" w:rsidRDefault="007C1719" w:rsidP="007C1719">
      <w:pPr>
        <w:ind w:left="-284" w:right="-279"/>
        <w:rPr>
          <w:rFonts w:cstheme="minorHAnsi"/>
        </w:rPr>
      </w:pPr>
    </w:p>
    <w:p w14:paraId="7164AB0D" w14:textId="77777777" w:rsidR="007C1719" w:rsidRPr="007C1719" w:rsidRDefault="007C1719" w:rsidP="007C1719">
      <w:pPr>
        <w:ind w:left="-284" w:right="-279"/>
        <w:jc w:val="both"/>
        <w:rPr>
          <w:rFonts w:cstheme="minorHAnsi"/>
          <w:b/>
          <w:bCs/>
          <w:sz w:val="18"/>
          <w:szCs w:val="18"/>
        </w:rPr>
      </w:pPr>
      <w:r w:rsidRPr="007C1719">
        <w:rPr>
          <w:rFonts w:cstheme="minorHAnsi"/>
          <w:b/>
          <w:bCs/>
          <w:sz w:val="18"/>
          <w:szCs w:val="18"/>
        </w:rPr>
        <w:t>About Tier One</w:t>
      </w:r>
    </w:p>
    <w:p w14:paraId="3E0311A0" w14:textId="77777777" w:rsidR="007C1719" w:rsidRPr="007C1719" w:rsidRDefault="007C1719" w:rsidP="007C1719">
      <w:pPr>
        <w:ind w:left="-284" w:right="-279"/>
        <w:jc w:val="both"/>
        <w:rPr>
          <w:rFonts w:cstheme="minorHAnsi"/>
          <w:sz w:val="18"/>
          <w:szCs w:val="18"/>
        </w:rPr>
      </w:pPr>
    </w:p>
    <w:p w14:paraId="16C8035D" w14:textId="77777777" w:rsidR="007C1719" w:rsidRPr="007C1719" w:rsidRDefault="007C1719" w:rsidP="007C1719">
      <w:pPr>
        <w:ind w:left="-284" w:right="-279"/>
        <w:jc w:val="both"/>
        <w:rPr>
          <w:rFonts w:cstheme="minorHAnsi"/>
          <w:sz w:val="18"/>
          <w:szCs w:val="18"/>
        </w:rPr>
      </w:pPr>
      <w:r w:rsidRPr="007C1719">
        <w:rPr>
          <w:rFonts w:cstheme="minorHAnsi"/>
          <w:sz w:val="18"/>
          <w:szCs w:val="18"/>
        </w:rPr>
        <w:t xml:space="preserve">Tier One Silver is an exploration company focused on creating value for shareholders and stakeholders through the discovery of world-class silver, </w:t>
      </w:r>
      <w:proofErr w:type="gramStart"/>
      <w:r w:rsidRPr="007C1719">
        <w:rPr>
          <w:rFonts w:cstheme="minorHAnsi"/>
          <w:sz w:val="18"/>
          <w:szCs w:val="18"/>
        </w:rPr>
        <w:t>gold</w:t>
      </w:r>
      <w:proofErr w:type="gramEnd"/>
      <w:r w:rsidRPr="007C1719">
        <w:rPr>
          <w:rFonts w:cstheme="minorHAnsi"/>
          <w:sz w:val="18"/>
          <w:szCs w:val="18"/>
        </w:rPr>
        <w:t xml:space="preserve"> and base metal deposits in Peru. The Company’s management and technical teams have a strong track record in raising capital, </w:t>
      </w:r>
      <w:proofErr w:type="gramStart"/>
      <w:r w:rsidRPr="007C1719">
        <w:rPr>
          <w:rFonts w:cstheme="minorHAnsi"/>
          <w:sz w:val="18"/>
          <w:szCs w:val="18"/>
        </w:rPr>
        <w:t>discovery</w:t>
      </w:r>
      <w:proofErr w:type="gramEnd"/>
      <w:r w:rsidRPr="007C1719">
        <w:rPr>
          <w:rFonts w:cstheme="minorHAnsi"/>
          <w:sz w:val="18"/>
          <w:szCs w:val="18"/>
        </w:rPr>
        <w:t xml:space="preserve"> and monetization of exploration success. The Company’s exploration assets in Peru </w:t>
      </w:r>
      <w:proofErr w:type="gramStart"/>
      <w:r w:rsidRPr="007C1719">
        <w:rPr>
          <w:rFonts w:cstheme="minorHAnsi"/>
          <w:sz w:val="18"/>
          <w:szCs w:val="18"/>
        </w:rPr>
        <w:t>include:</w:t>
      </w:r>
      <w:proofErr w:type="gramEnd"/>
      <w:r w:rsidRPr="007C1719">
        <w:rPr>
          <w:rFonts w:cstheme="minorHAnsi"/>
          <w:sz w:val="18"/>
          <w:szCs w:val="18"/>
        </w:rPr>
        <w:t xml:space="preserve"> Hurricane Silver, Coastal Batholith, </w:t>
      </w:r>
      <w:proofErr w:type="spellStart"/>
      <w:r w:rsidRPr="007C1719">
        <w:rPr>
          <w:rFonts w:cstheme="minorHAnsi"/>
          <w:sz w:val="18"/>
          <w:szCs w:val="18"/>
        </w:rPr>
        <w:t>Corisur</w:t>
      </w:r>
      <w:proofErr w:type="spellEnd"/>
      <w:r w:rsidRPr="007C1719">
        <w:rPr>
          <w:rFonts w:cstheme="minorHAnsi"/>
          <w:sz w:val="18"/>
          <w:szCs w:val="18"/>
        </w:rPr>
        <w:t xml:space="preserve"> and the flagship project, </w:t>
      </w:r>
      <w:proofErr w:type="spellStart"/>
      <w:r w:rsidRPr="007C1719">
        <w:rPr>
          <w:rFonts w:cstheme="minorHAnsi"/>
          <w:sz w:val="18"/>
          <w:szCs w:val="18"/>
        </w:rPr>
        <w:t>Curibaya</w:t>
      </w:r>
      <w:proofErr w:type="spellEnd"/>
      <w:r w:rsidRPr="007C1719">
        <w:rPr>
          <w:rFonts w:cstheme="minorHAnsi"/>
          <w:sz w:val="18"/>
          <w:szCs w:val="18"/>
        </w:rPr>
        <w:t>. For more information, visit www.tieronesilver.com.</w:t>
      </w:r>
    </w:p>
    <w:p w14:paraId="1235D144" w14:textId="77777777" w:rsidR="007C1719" w:rsidRPr="007C1719" w:rsidRDefault="007C1719" w:rsidP="007C1719">
      <w:pPr>
        <w:ind w:left="-284" w:right="-279"/>
        <w:rPr>
          <w:rFonts w:cstheme="minorHAnsi"/>
          <w:sz w:val="18"/>
          <w:szCs w:val="18"/>
        </w:rPr>
      </w:pPr>
    </w:p>
    <w:p w14:paraId="35A9E64F" w14:textId="77777777" w:rsidR="007C1719" w:rsidRPr="007C1719" w:rsidRDefault="007C1719" w:rsidP="007C1719">
      <w:pPr>
        <w:ind w:left="-284" w:right="-279"/>
        <w:rPr>
          <w:rFonts w:cstheme="minorHAnsi"/>
          <w:b/>
          <w:bCs/>
          <w:sz w:val="18"/>
          <w:szCs w:val="18"/>
        </w:rPr>
      </w:pPr>
      <w:r w:rsidRPr="007C1719">
        <w:rPr>
          <w:rFonts w:cstheme="minorHAnsi"/>
          <w:b/>
          <w:bCs/>
          <w:sz w:val="18"/>
          <w:szCs w:val="18"/>
        </w:rPr>
        <w:t>Forward Looking Information and General Cautionary Language</w:t>
      </w:r>
    </w:p>
    <w:p w14:paraId="51F53EEA" w14:textId="77777777" w:rsidR="007C1719" w:rsidRPr="007C1719" w:rsidRDefault="007C1719" w:rsidP="007C1719">
      <w:pPr>
        <w:ind w:left="-284" w:right="-279"/>
        <w:rPr>
          <w:rFonts w:cstheme="minorHAnsi"/>
          <w:sz w:val="18"/>
          <w:szCs w:val="18"/>
        </w:rPr>
      </w:pPr>
    </w:p>
    <w:p w14:paraId="460FAC7D" w14:textId="532593F6" w:rsidR="00E87A6B" w:rsidRPr="007F0496" w:rsidRDefault="00E87A6B" w:rsidP="00E87A6B">
      <w:pPr>
        <w:ind w:left="-284" w:right="-279"/>
        <w:jc w:val="both"/>
        <w:rPr>
          <w:rFonts w:cstheme="minorHAnsi"/>
          <w:sz w:val="18"/>
          <w:szCs w:val="18"/>
        </w:rPr>
      </w:pPr>
      <w:r w:rsidRPr="007F0496">
        <w:rPr>
          <w:rFonts w:cstheme="minorHAnsi"/>
          <w:sz w:val="18"/>
          <w:szCs w:val="18"/>
        </w:rPr>
        <w:t>This news release contains forward-looking statements and forward-looking information within the meaning of Canadian securities legislation (collectively, “forward-looking statements”) that relate to the Company’s current expectations and views of future events</w:t>
      </w:r>
      <w:r w:rsidR="00200C95">
        <w:rPr>
          <w:rFonts w:cstheme="minorHAnsi"/>
          <w:sz w:val="18"/>
          <w:szCs w:val="18"/>
        </w:rPr>
        <w:t xml:space="preserve"> in connection with the planned financing</w:t>
      </w:r>
      <w:r w:rsidRPr="007F0496">
        <w:rPr>
          <w:rFonts w:cstheme="minorHAnsi"/>
          <w:sz w:val="18"/>
          <w:szCs w:val="18"/>
        </w:rPr>
        <w:t xml:space="preserve">. </w:t>
      </w:r>
      <w:r w:rsidR="003D74C8">
        <w:rPr>
          <w:rFonts w:cstheme="minorHAnsi"/>
          <w:sz w:val="18"/>
          <w:szCs w:val="18"/>
        </w:rPr>
        <w:t xml:space="preserve">Forward-looking statements </w:t>
      </w:r>
      <w:r w:rsidRPr="007F0496">
        <w:rPr>
          <w:rFonts w:cstheme="minorHAnsi"/>
          <w:sz w:val="18"/>
          <w:szCs w:val="18"/>
        </w:rPr>
        <w:t xml:space="preserve">are not historical facts and </w:t>
      </w:r>
      <w:r w:rsidR="003D74C8">
        <w:rPr>
          <w:rFonts w:cstheme="minorHAnsi"/>
          <w:sz w:val="18"/>
          <w:szCs w:val="18"/>
        </w:rPr>
        <w:t xml:space="preserve">therefore </w:t>
      </w:r>
      <w:r w:rsidRPr="007F0496">
        <w:rPr>
          <w:rFonts w:cstheme="minorHAnsi"/>
          <w:sz w:val="18"/>
          <w:szCs w:val="18"/>
        </w:rPr>
        <w:t xml:space="preserve">may involve estimates, assumptions and uncertainties which could cause actual results or outcomes to differ materially from those expressed in such forward-looking statements. No assurance can be given that these expectations will prove to be correct and such forward-looking statements included in this news release should not be heavily relied upon. These statements speak only as of the date of this news release. </w:t>
      </w:r>
      <w:proofErr w:type="gramStart"/>
      <w:r w:rsidRPr="007F0496">
        <w:rPr>
          <w:rFonts w:cstheme="minorHAnsi"/>
          <w:sz w:val="18"/>
          <w:szCs w:val="18"/>
        </w:rPr>
        <w:t>In particular and</w:t>
      </w:r>
      <w:proofErr w:type="gramEnd"/>
      <w:r w:rsidRPr="007F0496">
        <w:rPr>
          <w:rFonts w:cstheme="minorHAnsi"/>
          <w:sz w:val="18"/>
          <w:szCs w:val="18"/>
        </w:rPr>
        <w:t xml:space="preserve"> without limitation, this news release contains forward-looking statements in regard to the Company’s exploration plans, the </w:t>
      </w:r>
      <w:r w:rsidR="00200C95">
        <w:rPr>
          <w:rFonts w:cstheme="minorHAnsi"/>
          <w:sz w:val="18"/>
          <w:szCs w:val="18"/>
        </w:rPr>
        <w:t xml:space="preserve">size and </w:t>
      </w:r>
      <w:r w:rsidRPr="007F0496">
        <w:rPr>
          <w:rFonts w:cstheme="minorHAnsi"/>
          <w:sz w:val="18"/>
          <w:szCs w:val="18"/>
        </w:rPr>
        <w:t xml:space="preserve">closing of the Offering and the use of proceeds of the Offering. </w:t>
      </w:r>
    </w:p>
    <w:p w14:paraId="40E49AAE" w14:textId="77777777" w:rsidR="007C1719" w:rsidRPr="007C1719" w:rsidRDefault="007C1719" w:rsidP="007C1719">
      <w:pPr>
        <w:ind w:left="-284" w:right="-279"/>
        <w:jc w:val="both"/>
        <w:rPr>
          <w:rFonts w:cstheme="minorHAnsi"/>
          <w:sz w:val="18"/>
          <w:szCs w:val="18"/>
        </w:rPr>
      </w:pPr>
    </w:p>
    <w:p w14:paraId="1D0ED550" w14:textId="6058331E" w:rsidR="007C1719" w:rsidRPr="007C1719" w:rsidRDefault="007C1719" w:rsidP="007C1719">
      <w:pPr>
        <w:ind w:left="-284" w:right="-279"/>
        <w:jc w:val="both"/>
        <w:rPr>
          <w:rFonts w:cstheme="minorHAnsi"/>
          <w:sz w:val="18"/>
          <w:szCs w:val="18"/>
        </w:rPr>
      </w:pPr>
      <w:r w:rsidRPr="007C1719">
        <w:rPr>
          <w:rFonts w:cstheme="minorHAnsi"/>
          <w:sz w:val="18"/>
          <w:szCs w:val="18"/>
        </w:rPr>
        <w:t xml:space="preserve">Readers should refer to the risks discussed in the Company's Annual Information Form and Management’s Discussion &amp; Analysis for the year ended December 31, </w:t>
      </w:r>
      <w:r w:rsidR="001A7BC3" w:rsidRPr="007C1719">
        <w:rPr>
          <w:rFonts w:cstheme="minorHAnsi"/>
          <w:sz w:val="18"/>
          <w:szCs w:val="18"/>
        </w:rPr>
        <w:t>202</w:t>
      </w:r>
      <w:r w:rsidR="005578CB">
        <w:rPr>
          <w:rFonts w:cstheme="minorHAnsi"/>
          <w:sz w:val="18"/>
          <w:szCs w:val="18"/>
        </w:rPr>
        <w:t>2</w:t>
      </w:r>
      <w:r w:rsidR="001A7BC3" w:rsidRPr="007C1719">
        <w:rPr>
          <w:rFonts w:cstheme="minorHAnsi"/>
          <w:sz w:val="18"/>
          <w:szCs w:val="18"/>
        </w:rPr>
        <w:t>,</w:t>
      </w:r>
      <w:r w:rsidRPr="007C1719">
        <w:rPr>
          <w:rFonts w:cstheme="minorHAnsi"/>
          <w:sz w:val="18"/>
          <w:szCs w:val="18"/>
        </w:rPr>
        <w:t xml:space="preserve"> and subsequent continuous disclosure filings with the Canadian Securities Administrators available at </w:t>
      </w:r>
      <w:hyperlink r:id="rId7" w:history="1">
        <w:r w:rsidRPr="007C1719">
          <w:rPr>
            <w:rStyle w:val="Hyperlink"/>
            <w:rFonts w:cstheme="minorHAnsi"/>
            <w:sz w:val="18"/>
            <w:szCs w:val="18"/>
          </w:rPr>
          <w:t>www.sedar.com</w:t>
        </w:r>
      </w:hyperlink>
      <w:r w:rsidRPr="007C1719">
        <w:rPr>
          <w:rFonts w:cstheme="minorHAnsi"/>
          <w:sz w:val="18"/>
          <w:szCs w:val="18"/>
        </w:rPr>
        <w:t>.</w:t>
      </w:r>
    </w:p>
    <w:p w14:paraId="5D1A1835" w14:textId="77777777" w:rsidR="007C1719" w:rsidRPr="007C1719" w:rsidRDefault="007C1719" w:rsidP="007C1719">
      <w:pPr>
        <w:ind w:left="-284" w:right="-279"/>
        <w:jc w:val="both"/>
        <w:rPr>
          <w:rFonts w:cstheme="minorHAnsi"/>
          <w:sz w:val="18"/>
          <w:szCs w:val="18"/>
        </w:rPr>
      </w:pPr>
    </w:p>
    <w:p w14:paraId="4D1F814B" w14:textId="59D1490D" w:rsidR="007C1719" w:rsidRPr="007C1719" w:rsidRDefault="007C1719" w:rsidP="007C1719">
      <w:pPr>
        <w:ind w:left="-284" w:right="-279"/>
        <w:jc w:val="both"/>
        <w:rPr>
          <w:rFonts w:cstheme="minorHAnsi"/>
          <w:sz w:val="18"/>
          <w:szCs w:val="18"/>
        </w:rPr>
      </w:pPr>
      <w:r w:rsidRPr="007C1719">
        <w:rPr>
          <w:rFonts w:cstheme="minorHAnsi"/>
          <w:sz w:val="18"/>
          <w:szCs w:val="18"/>
        </w:rPr>
        <w:t>Neither the TSX Venture Exchange nor its Regulation Services Provider (as that term is defined in the policies of the TSX Venture Exchange) accepts responsibility for the adequacy or accuracy of this release</w:t>
      </w:r>
      <w:r w:rsidR="00AE4815">
        <w:rPr>
          <w:rFonts w:cstheme="minorHAnsi"/>
          <w:sz w:val="18"/>
          <w:szCs w:val="18"/>
        </w:rPr>
        <w:t>.</w:t>
      </w:r>
    </w:p>
    <w:p w14:paraId="4CB0047E" w14:textId="77777777" w:rsidR="007C1719" w:rsidRDefault="007C1719" w:rsidP="007C1719">
      <w:pPr>
        <w:ind w:left="-284" w:right="-279"/>
        <w:jc w:val="both"/>
        <w:rPr>
          <w:rFonts w:cstheme="minorHAnsi"/>
        </w:rPr>
      </w:pPr>
    </w:p>
    <w:p w14:paraId="5E58F099" w14:textId="77777777" w:rsidR="00B27E44" w:rsidRDefault="00B27E44"/>
    <w:sectPr w:rsidR="00B27E44" w:rsidSect="00553AC1">
      <w:headerReference w:type="default" r:id="rId8"/>
      <w:footerReference w:type="default" r:id="rId9"/>
      <w:headerReference w:type="first" r:id="rId10"/>
      <w:footerReference w:type="first" r:id="rId11"/>
      <w:pgSz w:w="12240" w:h="15840"/>
      <w:pgMar w:top="1169" w:right="1019" w:bottom="1506" w:left="1156" w:header="1162" w:footer="37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6B79E9" w14:textId="77777777" w:rsidR="007C6E2F" w:rsidRDefault="007C6E2F">
      <w:r>
        <w:separator/>
      </w:r>
    </w:p>
  </w:endnote>
  <w:endnote w:type="continuationSeparator" w:id="0">
    <w:p w14:paraId="6C6DCE86" w14:textId="77777777" w:rsidR="007C6E2F" w:rsidRDefault="007C6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A66BCA" w14:textId="77777777" w:rsidR="003E381E" w:rsidRPr="00F63ADE" w:rsidRDefault="00E87A6B" w:rsidP="00F63ADE">
    <w:pPr>
      <w:pStyle w:val="Footer"/>
      <w:ind w:left="-1134"/>
    </w:pPr>
    <w:r>
      <w:rPr>
        <w:noProof/>
      </w:rPr>
      <w:drawing>
        <wp:inline distT="0" distB="0" distL="0" distR="0" wp14:anchorId="29684931" wp14:editId="20CC98F8">
          <wp:extent cx="7772400" cy="492760"/>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784489" cy="493526"/>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F081FA" w14:textId="77777777" w:rsidR="00F07C7A" w:rsidRDefault="00E87A6B" w:rsidP="00964CF2">
    <w:pPr>
      <w:pStyle w:val="Footer"/>
      <w:ind w:left="-1156" w:right="-1019"/>
    </w:pPr>
    <w:r>
      <w:rPr>
        <w:noProof/>
      </w:rPr>
      <w:drawing>
        <wp:inline distT="0" distB="0" distL="0" distR="0" wp14:anchorId="07FCDC83" wp14:editId="0AA44078">
          <wp:extent cx="7780713" cy="4861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8091685" cy="50556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6014CD" w14:textId="77777777" w:rsidR="007C6E2F" w:rsidRDefault="007C6E2F">
      <w:r>
        <w:separator/>
      </w:r>
    </w:p>
  </w:footnote>
  <w:footnote w:type="continuationSeparator" w:id="0">
    <w:p w14:paraId="6B27DA8E" w14:textId="77777777" w:rsidR="007C6E2F" w:rsidRDefault="007C6E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E7C361" w14:textId="77777777" w:rsidR="003E381E" w:rsidRDefault="007C6E2F" w:rsidP="003E381E">
    <w:pPr>
      <w:pStyle w:val="Header"/>
      <w:ind w:left="-28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A3F229" w14:textId="77777777" w:rsidR="00F07C7A" w:rsidRDefault="00E87A6B">
    <w:pPr>
      <w:pStyle w:val="Header"/>
    </w:pPr>
    <w:r>
      <w:rPr>
        <w:noProof/>
      </w:rPr>
      <w:drawing>
        <wp:anchor distT="0" distB="288290" distL="114300" distR="114300" simplePos="0" relativeHeight="251659264" behindDoc="0" locked="0" layoutInCell="1" allowOverlap="1" wp14:anchorId="64153676" wp14:editId="1CD73AF0">
          <wp:simplePos x="0" y="0"/>
          <wp:positionH relativeFrom="column">
            <wp:posOffset>5080</wp:posOffset>
          </wp:positionH>
          <wp:positionV relativeFrom="paragraph">
            <wp:posOffset>24130</wp:posOffset>
          </wp:positionV>
          <wp:extent cx="2994025" cy="617220"/>
          <wp:effectExtent l="0" t="0" r="3175" b="508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a:ext>
                    </a:extLst>
                  </a:blip>
                  <a:stretch>
                    <a:fillRect/>
                  </a:stretch>
                </pic:blipFill>
                <pic:spPr>
                  <a:xfrm>
                    <a:off x="0" y="0"/>
                    <a:ext cx="2994025" cy="6172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424276"/>
    <w:multiLevelType w:val="hybridMultilevel"/>
    <w:tmpl w:val="7C5EA0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606555E9"/>
    <w:multiLevelType w:val="hybridMultilevel"/>
    <w:tmpl w:val="7328631A"/>
    <w:lvl w:ilvl="0" w:tplc="7108BB76">
      <w:start w:val="1"/>
      <w:numFmt w:val="bullet"/>
      <w:pStyle w:val="ListParagraph"/>
      <w:lvlText w:val=""/>
      <w:lvlJc w:val="left"/>
      <w:pPr>
        <w:ind w:left="720" w:hanging="360"/>
      </w:pPr>
      <w:rPr>
        <w:rFonts w:ascii="Wingdings" w:hAnsi="Wingdings" w:cs="Wingdings" w:hint="default"/>
        <w:color w:val="A4944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4"/>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719"/>
    <w:rsid w:val="00016A91"/>
    <w:rsid w:val="001A7BC3"/>
    <w:rsid w:val="001F665D"/>
    <w:rsid w:val="00200C95"/>
    <w:rsid w:val="00372736"/>
    <w:rsid w:val="003C1A87"/>
    <w:rsid w:val="003D1DB8"/>
    <w:rsid w:val="003D74C8"/>
    <w:rsid w:val="003E3457"/>
    <w:rsid w:val="005578CB"/>
    <w:rsid w:val="006300E7"/>
    <w:rsid w:val="00632D69"/>
    <w:rsid w:val="006F0939"/>
    <w:rsid w:val="007C1719"/>
    <w:rsid w:val="007C6E2F"/>
    <w:rsid w:val="007D6003"/>
    <w:rsid w:val="008214B3"/>
    <w:rsid w:val="008B4450"/>
    <w:rsid w:val="00AE4815"/>
    <w:rsid w:val="00B27E44"/>
    <w:rsid w:val="00CF14A0"/>
    <w:rsid w:val="00D77F81"/>
    <w:rsid w:val="00E05A76"/>
    <w:rsid w:val="00E3558A"/>
    <w:rsid w:val="00E42C90"/>
    <w:rsid w:val="00E87A6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493916F"/>
  <w15:chartTrackingRefBased/>
  <w15:docId w15:val="{EB361FA1-FE6E-7448-9111-1669FE234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719"/>
    <w:rPr>
      <w:rFonts w:ascii="Open Sans" w:eastAsiaTheme="minorEastAsia" w:hAnsi="Open Sans"/>
      <w:lang w:val="en-US" w:eastAsia="zh-TW"/>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1719"/>
    <w:pPr>
      <w:tabs>
        <w:tab w:val="center" w:pos="4680"/>
        <w:tab w:val="right" w:pos="9360"/>
      </w:tabs>
    </w:pPr>
  </w:style>
  <w:style w:type="character" w:customStyle="1" w:styleId="HeaderChar">
    <w:name w:val="Header Char"/>
    <w:basedOn w:val="DefaultParagraphFont"/>
    <w:link w:val="Header"/>
    <w:uiPriority w:val="99"/>
    <w:rsid w:val="007C1719"/>
    <w:rPr>
      <w:rFonts w:ascii="Open Sans" w:eastAsiaTheme="minorEastAsia" w:hAnsi="Open Sans"/>
      <w:lang w:val="en-US" w:eastAsia="zh-TW"/>
    </w:rPr>
  </w:style>
  <w:style w:type="paragraph" w:styleId="Footer">
    <w:name w:val="footer"/>
    <w:basedOn w:val="Normal"/>
    <w:link w:val="FooterChar"/>
    <w:uiPriority w:val="99"/>
    <w:unhideWhenUsed/>
    <w:rsid w:val="007C1719"/>
    <w:pPr>
      <w:tabs>
        <w:tab w:val="center" w:pos="4680"/>
        <w:tab w:val="right" w:pos="9360"/>
      </w:tabs>
    </w:pPr>
  </w:style>
  <w:style w:type="character" w:customStyle="1" w:styleId="FooterChar">
    <w:name w:val="Footer Char"/>
    <w:basedOn w:val="DefaultParagraphFont"/>
    <w:link w:val="Footer"/>
    <w:uiPriority w:val="99"/>
    <w:rsid w:val="007C1719"/>
    <w:rPr>
      <w:rFonts w:ascii="Open Sans" w:eastAsiaTheme="minorEastAsia" w:hAnsi="Open Sans"/>
      <w:lang w:val="en-US" w:eastAsia="zh-TW"/>
    </w:rPr>
  </w:style>
  <w:style w:type="paragraph" w:styleId="NormalWeb">
    <w:name w:val="Normal (Web)"/>
    <w:basedOn w:val="Normal"/>
    <w:uiPriority w:val="99"/>
    <w:unhideWhenUsed/>
    <w:rsid w:val="007C1719"/>
    <w:pPr>
      <w:spacing w:before="100" w:beforeAutospacing="1" w:after="100" w:afterAutospacing="1"/>
    </w:pPr>
    <w:rPr>
      <w:rFonts w:ascii="Times New Roman" w:eastAsia="Times New Roman" w:hAnsi="Times New Roman" w:cs="Times New Roman"/>
      <w:lang w:val="en-CA"/>
    </w:rPr>
  </w:style>
  <w:style w:type="paragraph" w:styleId="ListParagraph">
    <w:name w:val="List Paragraph"/>
    <w:basedOn w:val="Normal"/>
    <w:uiPriority w:val="34"/>
    <w:qFormat/>
    <w:rsid w:val="007C1719"/>
    <w:pPr>
      <w:numPr>
        <w:numId w:val="1"/>
      </w:numPr>
      <w:contextualSpacing/>
    </w:pPr>
    <w:rPr>
      <w:rFonts w:cs="Open Sans"/>
    </w:rPr>
  </w:style>
  <w:style w:type="table" w:styleId="TableGridLight">
    <w:name w:val="Grid Table Light"/>
    <w:basedOn w:val="TableNormal"/>
    <w:uiPriority w:val="40"/>
    <w:rsid w:val="007C1719"/>
    <w:rPr>
      <w:rFonts w:eastAsiaTheme="minorEastAsia"/>
      <w:lang w:val="en-US" w:eastAsia="zh-TW"/>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7C171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2984607">
      <w:bodyDiv w:val="1"/>
      <w:marLeft w:val="0"/>
      <w:marRight w:val="0"/>
      <w:marTop w:val="0"/>
      <w:marBottom w:val="0"/>
      <w:divBdr>
        <w:top w:val="none" w:sz="0" w:space="0" w:color="auto"/>
        <w:left w:val="none" w:sz="0" w:space="0" w:color="auto"/>
        <w:bottom w:val="none" w:sz="0" w:space="0" w:color="auto"/>
        <w:right w:val="none" w:sz="0" w:space="0" w:color="auto"/>
      </w:divBdr>
    </w:div>
    <w:div w:id="671688348">
      <w:bodyDiv w:val="1"/>
      <w:marLeft w:val="0"/>
      <w:marRight w:val="0"/>
      <w:marTop w:val="0"/>
      <w:marBottom w:val="0"/>
      <w:divBdr>
        <w:top w:val="none" w:sz="0" w:space="0" w:color="auto"/>
        <w:left w:val="none" w:sz="0" w:space="0" w:color="auto"/>
        <w:bottom w:val="none" w:sz="0" w:space="0" w:color="auto"/>
        <w:right w:val="none" w:sz="0" w:space="0" w:color="auto"/>
      </w:divBdr>
    </w:div>
    <w:div w:id="1369722319">
      <w:bodyDiv w:val="1"/>
      <w:marLeft w:val="0"/>
      <w:marRight w:val="0"/>
      <w:marTop w:val="0"/>
      <w:marBottom w:val="0"/>
      <w:divBdr>
        <w:top w:val="none" w:sz="0" w:space="0" w:color="auto"/>
        <w:left w:val="none" w:sz="0" w:space="0" w:color="auto"/>
        <w:bottom w:val="none" w:sz="0" w:space="0" w:color="auto"/>
        <w:right w:val="none" w:sz="0" w:space="0" w:color="auto"/>
      </w:divBdr>
    </w:div>
    <w:div w:id="137476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dar.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771</Words>
  <Characters>4398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Frakes - UMS</dc:creator>
  <cp:keywords/>
  <dc:description/>
  <cp:lastModifiedBy>Natasha Frakes - UMS</cp:lastModifiedBy>
  <cp:revision>7</cp:revision>
  <dcterms:created xsi:type="dcterms:W3CDTF">2023-04-02T16:19:00Z</dcterms:created>
  <dcterms:modified xsi:type="dcterms:W3CDTF">2023-04-03T04:26:00Z</dcterms:modified>
</cp:coreProperties>
</file>