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E9441" w14:textId="77777777" w:rsidR="001C6A82" w:rsidRDefault="001C6A82" w:rsidP="001278CC">
      <w:pPr>
        <w:jc w:val="center"/>
        <w:rPr>
          <w:b/>
          <w:bCs/>
          <w:sz w:val="20"/>
          <w:szCs w:val="20"/>
        </w:rPr>
      </w:pPr>
      <w:r>
        <w:rPr>
          <w:rFonts w:asciiTheme="minorHAnsi" w:eastAsiaTheme="minorHAnsi" w:hAnsiTheme="minorHAnsi" w:cstheme="minorBidi"/>
          <w:noProof/>
          <w:kern w:val="2"/>
          <w:sz w:val="22"/>
          <w:szCs w:val="22"/>
          <w14:ligatures w14:val="standardContextual"/>
        </w:rPr>
        <w:drawing>
          <wp:inline distT="0" distB="0" distL="0" distR="0" wp14:anchorId="0DF4477B" wp14:editId="6F66F5B3">
            <wp:extent cx="1330960" cy="1330960"/>
            <wp:effectExtent l="0" t="0" r="2540" b="2540"/>
            <wp:docPr id="5" name="Picture 5" descr="A black circle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circle with letters and number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0960" cy="1330960"/>
                    </a:xfrm>
                    <a:prstGeom prst="rect">
                      <a:avLst/>
                    </a:prstGeom>
                    <a:noFill/>
                    <a:ln>
                      <a:noFill/>
                    </a:ln>
                  </pic:spPr>
                </pic:pic>
              </a:graphicData>
            </a:graphic>
          </wp:inline>
        </w:drawing>
      </w:r>
    </w:p>
    <w:p w14:paraId="42FFE935" w14:textId="481A189A" w:rsidR="00353C50" w:rsidRDefault="009664F3" w:rsidP="001278CC">
      <w:pPr>
        <w:jc w:val="center"/>
        <w:rPr>
          <w:b/>
          <w:bCs/>
          <w:sz w:val="20"/>
          <w:szCs w:val="20"/>
        </w:rPr>
      </w:pPr>
      <w:r>
        <w:rPr>
          <w:b/>
          <w:bCs/>
          <w:sz w:val="20"/>
          <w:szCs w:val="20"/>
        </w:rPr>
        <w:t>A2Z Smart Technologies Corp.</w:t>
      </w:r>
      <w:r w:rsidR="00124ECD">
        <w:rPr>
          <w:b/>
          <w:bCs/>
          <w:sz w:val="20"/>
          <w:szCs w:val="20"/>
        </w:rPr>
        <w:t xml:space="preserve"> Announces </w:t>
      </w:r>
      <w:r w:rsidR="002F72F5">
        <w:rPr>
          <w:b/>
          <w:bCs/>
          <w:sz w:val="20"/>
          <w:szCs w:val="20"/>
        </w:rPr>
        <w:t xml:space="preserve">Proposed Public Offering of Common </w:t>
      </w:r>
      <w:r w:rsidR="00775574">
        <w:rPr>
          <w:b/>
          <w:bCs/>
          <w:sz w:val="20"/>
          <w:szCs w:val="20"/>
        </w:rPr>
        <w:t>Shares</w:t>
      </w:r>
    </w:p>
    <w:p w14:paraId="6EA26201" w14:textId="77777777" w:rsidR="009D7F5F" w:rsidRDefault="009D7F5F" w:rsidP="001278CC">
      <w:pPr>
        <w:jc w:val="center"/>
        <w:rPr>
          <w:sz w:val="20"/>
          <w:szCs w:val="20"/>
        </w:rPr>
      </w:pPr>
    </w:p>
    <w:p w14:paraId="6696B2B4" w14:textId="17A1A11F" w:rsidR="009567FA" w:rsidRDefault="009664F3" w:rsidP="00A93C60">
      <w:pPr>
        <w:jc w:val="both"/>
        <w:rPr>
          <w:color w:val="000000"/>
          <w:sz w:val="20"/>
          <w:szCs w:val="20"/>
        </w:rPr>
      </w:pPr>
      <w:r w:rsidRPr="00CC6D79">
        <w:rPr>
          <w:b/>
          <w:bCs/>
          <w:sz w:val="20"/>
          <w:szCs w:val="20"/>
        </w:rPr>
        <w:t>Tel Aviv</w:t>
      </w:r>
      <w:r w:rsidR="003D4407" w:rsidRPr="00CC6D79">
        <w:rPr>
          <w:b/>
          <w:bCs/>
          <w:sz w:val="20"/>
          <w:szCs w:val="20"/>
        </w:rPr>
        <w:t xml:space="preserve">, </w:t>
      </w:r>
      <w:r w:rsidRPr="00CC6D79">
        <w:rPr>
          <w:b/>
          <w:bCs/>
          <w:sz w:val="20"/>
          <w:szCs w:val="20"/>
        </w:rPr>
        <w:t>Israel</w:t>
      </w:r>
      <w:r w:rsidR="00124ECD" w:rsidRPr="00CC6D79">
        <w:rPr>
          <w:b/>
          <w:bCs/>
          <w:sz w:val="20"/>
          <w:szCs w:val="20"/>
        </w:rPr>
        <w:t xml:space="preserve"> – </w:t>
      </w:r>
      <w:r w:rsidR="00CC6D79" w:rsidRPr="00CC6D79">
        <w:rPr>
          <w:b/>
          <w:bCs/>
          <w:sz w:val="20"/>
          <w:szCs w:val="20"/>
        </w:rPr>
        <w:t>Ap</w:t>
      </w:r>
      <w:r w:rsidR="00CC6D79" w:rsidRPr="00E30C3C">
        <w:rPr>
          <w:b/>
          <w:bCs/>
          <w:sz w:val="20"/>
          <w:szCs w:val="20"/>
        </w:rPr>
        <w:t>ril 1</w:t>
      </w:r>
      <w:r w:rsidR="003D4407" w:rsidRPr="00CC6D79">
        <w:rPr>
          <w:b/>
          <w:bCs/>
          <w:sz w:val="20"/>
          <w:szCs w:val="20"/>
        </w:rPr>
        <w:t xml:space="preserve">, </w:t>
      </w:r>
      <w:r w:rsidRPr="00CC6D79">
        <w:rPr>
          <w:b/>
          <w:bCs/>
          <w:sz w:val="20"/>
          <w:szCs w:val="20"/>
        </w:rPr>
        <w:t>2024</w:t>
      </w:r>
      <w:r w:rsidR="00124ECD" w:rsidRPr="00CC6D79">
        <w:rPr>
          <w:sz w:val="20"/>
          <w:szCs w:val="20"/>
        </w:rPr>
        <w:t xml:space="preserve"> – </w:t>
      </w:r>
      <w:r w:rsidR="00A810A4" w:rsidRPr="00CC6D79">
        <w:rPr>
          <w:sz w:val="20"/>
          <w:szCs w:val="20"/>
          <w:u w:val="single"/>
        </w:rPr>
        <w:t>A2Z Smart Technologies Corp.</w:t>
      </w:r>
      <w:r w:rsidR="00124ECD" w:rsidRPr="00CC6D79">
        <w:rPr>
          <w:sz w:val="20"/>
          <w:szCs w:val="20"/>
        </w:rPr>
        <w:t xml:space="preserve"> </w:t>
      </w:r>
      <w:r w:rsidR="00124ECD">
        <w:rPr>
          <w:sz w:val="20"/>
          <w:szCs w:val="20"/>
        </w:rPr>
        <w:t>(</w:t>
      </w:r>
      <w:r w:rsidR="00A810A4">
        <w:rPr>
          <w:sz w:val="20"/>
          <w:szCs w:val="20"/>
        </w:rPr>
        <w:t>Nasdaq</w:t>
      </w:r>
      <w:r w:rsidR="00124ECD">
        <w:rPr>
          <w:sz w:val="20"/>
          <w:szCs w:val="20"/>
        </w:rPr>
        <w:t xml:space="preserve">: </w:t>
      </w:r>
      <w:r w:rsidR="00A810A4">
        <w:rPr>
          <w:sz w:val="20"/>
          <w:szCs w:val="20"/>
        </w:rPr>
        <w:t>AZ</w:t>
      </w:r>
      <w:r w:rsidR="00124ECD">
        <w:rPr>
          <w:sz w:val="20"/>
          <w:szCs w:val="20"/>
        </w:rPr>
        <w:t>) (“</w:t>
      </w:r>
      <w:r w:rsidR="00A810A4">
        <w:rPr>
          <w:sz w:val="20"/>
          <w:szCs w:val="20"/>
        </w:rPr>
        <w:t>A2Z Smart Technologies Corp.</w:t>
      </w:r>
      <w:r w:rsidR="00124ECD">
        <w:rPr>
          <w:sz w:val="20"/>
          <w:szCs w:val="20"/>
        </w:rPr>
        <w:t xml:space="preserve">” or the “Company”) today announced </w:t>
      </w:r>
      <w:r w:rsidR="004B42E9">
        <w:rPr>
          <w:sz w:val="20"/>
          <w:szCs w:val="20"/>
        </w:rPr>
        <w:t xml:space="preserve">that it intends to offer to sell </w:t>
      </w:r>
      <w:r w:rsidR="00775574">
        <w:rPr>
          <w:sz w:val="20"/>
          <w:szCs w:val="20"/>
        </w:rPr>
        <w:t>common shares</w:t>
      </w:r>
      <w:r w:rsidR="00B405AB">
        <w:rPr>
          <w:sz w:val="20"/>
          <w:szCs w:val="20"/>
        </w:rPr>
        <w:t xml:space="preserve"> </w:t>
      </w:r>
      <w:r w:rsidR="00B405AB" w:rsidRPr="00B405AB">
        <w:rPr>
          <w:sz w:val="20"/>
          <w:szCs w:val="20"/>
        </w:rPr>
        <w:t>(and/or pre-funded warrants (“Pre-</w:t>
      </w:r>
      <w:r w:rsidR="00775574">
        <w:rPr>
          <w:sz w:val="20"/>
          <w:szCs w:val="20"/>
        </w:rPr>
        <w:t>f</w:t>
      </w:r>
      <w:r w:rsidR="00B405AB" w:rsidRPr="00B405AB">
        <w:rPr>
          <w:sz w:val="20"/>
          <w:szCs w:val="20"/>
        </w:rPr>
        <w:t>unded Warrants”) in lieu thereof)</w:t>
      </w:r>
      <w:r w:rsidR="004B42E9">
        <w:rPr>
          <w:sz w:val="20"/>
          <w:szCs w:val="20"/>
        </w:rPr>
        <w:t xml:space="preserve"> in </w:t>
      </w:r>
      <w:r w:rsidR="00CC6D79">
        <w:rPr>
          <w:sz w:val="20"/>
          <w:szCs w:val="20"/>
        </w:rPr>
        <w:t xml:space="preserve">a </w:t>
      </w:r>
      <w:proofErr w:type="gramStart"/>
      <w:r w:rsidR="00CC6D79">
        <w:rPr>
          <w:sz w:val="20"/>
          <w:szCs w:val="20"/>
        </w:rPr>
        <w:t>best efforts</w:t>
      </w:r>
      <w:proofErr w:type="gramEnd"/>
      <w:r w:rsidR="00CC6D79">
        <w:rPr>
          <w:sz w:val="20"/>
          <w:szCs w:val="20"/>
        </w:rPr>
        <w:t xml:space="preserve"> </w:t>
      </w:r>
      <w:r w:rsidR="004B42E9">
        <w:rPr>
          <w:sz w:val="20"/>
          <w:szCs w:val="20"/>
        </w:rPr>
        <w:t>public offering</w:t>
      </w:r>
      <w:r w:rsidR="00124ECD">
        <w:rPr>
          <w:sz w:val="20"/>
          <w:szCs w:val="20"/>
        </w:rPr>
        <w:t xml:space="preserve">. </w:t>
      </w:r>
      <w:proofErr w:type="gramStart"/>
      <w:r w:rsidR="00A93C60">
        <w:rPr>
          <w:sz w:val="20"/>
          <w:szCs w:val="20"/>
        </w:rPr>
        <w:t>All of</w:t>
      </w:r>
      <w:proofErr w:type="gramEnd"/>
      <w:r w:rsidR="00A93C60">
        <w:rPr>
          <w:sz w:val="20"/>
          <w:szCs w:val="20"/>
        </w:rPr>
        <w:t xml:space="preserve"> the </w:t>
      </w:r>
      <w:r w:rsidR="00775574">
        <w:rPr>
          <w:sz w:val="20"/>
          <w:szCs w:val="20"/>
        </w:rPr>
        <w:t>common shares</w:t>
      </w:r>
      <w:r w:rsidR="00A93C60">
        <w:rPr>
          <w:sz w:val="20"/>
          <w:szCs w:val="20"/>
        </w:rPr>
        <w:t xml:space="preserve"> </w:t>
      </w:r>
      <w:r w:rsidR="00B405AB" w:rsidRPr="00B405AB">
        <w:rPr>
          <w:sz w:val="20"/>
          <w:szCs w:val="20"/>
        </w:rPr>
        <w:t>(and/or Pre-funded Warrants</w:t>
      </w:r>
      <w:r w:rsidR="00B405AB">
        <w:rPr>
          <w:sz w:val="20"/>
          <w:szCs w:val="20"/>
        </w:rPr>
        <w:t xml:space="preserve">) </w:t>
      </w:r>
      <w:r w:rsidR="00A93C60">
        <w:rPr>
          <w:sz w:val="20"/>
          <w:szCs w:val="20"/>
        </w:rPr>
        <w:t>are to be sold by the Company.</w:t>
      </w:r>
      <w:r w:rsidR="00A93C60" w:rsidRPr="00A93C60">
        <w:rPr>
          <w:color w:val="000000"/>
          <w:sz w:val="20"/>
          <w:szCs w:val="20"/>
        </w:rPr>
        <w:t xml:space="preserve"> </w:t>
      </w:r>
    </w:p>
    <w:p w14:paraId="3E52846C" w14:textId="77777777" w:rsidR="009567FA" w:rsidRDefault="009567FA" w:rsidP="00A93C60">
      <w:pPr>
        <w:jc w:val="both"/>
        <w:rPr>
          <w:color w:val="000000"/>
          <w:sz w:val="20"/>
          <w:szCs w:val="20"/>
        </w:rPr>
      </w:pPr>
    </w:p>
    <w:p w14:paraId="7EAF05B0" w14:textId="2EAEE387" w:rsidR="00A93C60" w:rsidRPr="005E4588" w:rsidRDefault="00A93C60" w:rsidP="00A93C60">
      <w:pPr>
        <w:jc w:val="both"/>
      </w:pPr>
      <w:r>
        <w:rPr>
          <w:color w:val="000000"/>
          <w:sz w:val="20"/>
          <w:szCs w:val="20"/>
        </w:rPr>
        <w:t xml:space="preserve">ThinkEquity is acting as sole </w:t>
      </w:r>
      <w:r w:rsidR="00CC6D79">
        <w:rPr>
          <w:color w:val="000000"/>
          <w:sz w:val="20"/>
          <w:szCs w:val="20"/>
        </w:rPr>
        <w:t xml:space="preserve">placement agent </w:t>
      </w:r>
      <w:r>
        <w:rPr>
          <w:color w:val="000000"/>
          <w:sz w:val="20"/>
          <w:szCs w:val="20"/>
        </w:rPr>
        <w:t>for the offering.</w:t>
      </w:r>
    </w:p>
    <w:p w14:paraId="1B7A24B4" w14:textId="77777777" w:rsidR="00A93C60" w:rsidRDefault="00A93C60" w:rsidP="00681B9C">
      <w:pPr>
        <w:jc w:val="both"/>
        <w:rPr>
          <w:sz w:val="20"/>
          <w:szCs w:val="20"/>
        </w:rPr>
      </w:pPr>
    </w:p>
    <w:p w14:paraId="516AB989" w14:textId="00DD3552" w:rsidR="002F72F5" w:rsidRDefault="005E4588" w:rsidP="001278CC">
      <w:pPr>
        <w:jc w:val="both"/>
        <w:rPr>
          <w:sz w:val="20"/>
          <w:szCs w:val="20"/>
        </w:rPr>
      </w:pPr>
      <w:r>
        <w:rPr>
          <w:sz w:val="20"/>
          <w:szCs w:val="20"/>
        </w:rPr>
        <w:t>The Company</w:t>
      </w:r>
      <w:r w:rsidR="00124ECD">
        <w:rPr>
          <w:sz w:val="20"/>
          <w:szCs w:val="20"/>
        </w:rPr>
        <w:t xml:space="preserve"> intends to use the net proceeds from the offering primarily for</w:t>
      </w:r>
      <w:r w:rsidR="009664F3">
        <w:rPr>
          <w:sz w:val="20"/>
          <w:szCs w:val="20"/>
        </w:rPr>
        <w:t xml:space="preserve"> </w:t>
      </w:r>
      <w:r w:rsidR="009664F3" w:rsidRPr="009664F3">
        <w:rPr>
          <w:sz w:val="20"/>
          <w:szCs w:val="20"/>
        </w:rPr>
        <w:t>continued development and expansion of existing business, including fulfilment of contracted smart cart backlog orders and acceleration of the onboarding process for new clients, and for working capital purposes</w:t>
      </w:r>
      <w:r w:rsidR="002F72F5">
        <w:rPr>
          <w:sz w:val="20"/>
          <w:szCs w:val="20"/>
        </w:rPr>
        <w:t xml:space="preserve">. </w:t>
      </w:r>
    </w:p>
    <w:p w14:paraId="065C921E" w14:textId="77777777" w:rsidR="00A93C60" w:rsidRDefault="00124ECD" w:rsidP="00A93C60">
      <w:pPr>
        <w:jc w:val="both"/>
        <w:rPr>
          <w:sz w:val="20"/>
          <w:szCs w:val="20"/>
        </w:rPr>
      </w:pPr>
      <w:r>
        <w:rPr>
          <w:sz w:val="20"/>
          <w:szCs w:val="20"/>
        </w:rPr>
        <w:t xml:space="preserve"> </w:t>
      </w:r>
    </w:p>
    <w:p w14:paraId="285E381B" w14:textId="27AEEAB1" w:rsidR="00124ECD" w:rsidRDefault="00124ECD" w:rsidP="00A93C60">
      <w:pPr>
        <w:jc w:val="both"/>
        <w:rPr>
          <w:sz w:val="20"/>
          <w:szCs w:val="20"/>
        </w:rPr>
      </w:pPr>
      <w:r>
        <w:rPr>
          <w:sz w:val="20"/>
          <w:szCs w:val="20"/>
        </w:rPr>
        <w:t xml:space="preserve">The securities </w:t>
      </w:r>
      <w:r w:rsidR="005E4588">
        <w:rPr>
          <w:sz w:val="20"/>
          <w:szCs w:val="20"/>
        </w:rPr>
        <w:t>will be</w:t>
      </w:r>
      <w:r>
        <w:rPr>
          <w:sz w:val="20"/>
          <w:szCs w:val="20"/>
        </w:rPr>
        <w:t xml:space="preserve"> offered </w:t>
      </w:r>
      <w:r w:rsidR="005E4588">
        <w:rPr>
          <w:sz w:val="20"/>
          <w:szCs w:val="20"/>
        </w:rPr>
        <w:t xml:space="preserve">and sold </w:t>
      </w:r>
      <w:r>
        <w:rPr>
          <w:sz w:val="20"/>
          <w:szCs w:val="20"/>
        </w:rPr>
        <w:t xml:space="preserve">pursuant to a shelf registration statement on Form </w:t>
      </w:r>
      <w:r w:rsidR="009664F3">
        <w:rPr>
          <w:sz w:val="20"/>
          <w:szCs w:val="20"/>
        </w:rPr>
        <w:t>F-3</w:t>
      </w:r>
      <w:r w:rsidR="00A5199B">
        <w:rPr>
          <w:b/>
          <w:sz w:val="20"/>
          <w:szCs w:val="20"/>
        </w:rPr>
        <w:t xml:space="preserve"> </w:t>
      </w:r>
      <w:r>
        <w:rPr>
          <w:sz w:val="20"/>
          <w:szCs w:val="20"/>
        </w:rPr>
        <w:t>(File No. 333-</w:t>
      </w:r>
      <w:r w:rsidR="009664F3" w:rsidRPr="009664F3">
        <w:rPr>
          <w:rFonts w:ascii="Arial" w:hAnsi="Arial" w:cs="Arial"/>
          <w:color w:val="000000"/>
          <w:sz w:val="18"/>
          <w:szCs w:val="18"/>
          <w:shd w:val="clear" w:color="auto" w:fill="EEF4FD"/>
        </w:rPr>
        <w:t xml:space="preserve"> </w:t>
      </w:r>
      <w:r w:rsidR="009664F3" w:rsidRPr="009664F3">
        <w:rPr>
          <w:sz w:val="20"/>
          <w:szCs w:val="20"/>
        </w:rPr>
        <w:t>271226</w:t>
      </w:r>
      <w:r>
        <w:rPr>
          <w:sz w:val="20"/>
          <w:szCs w:val="20"/>
        </w:rPr>
        <w:t xml:space="preserve">), including a base prospectus, filed </w:t>
      </w:r>
      <w:r w:rsidR="005E4588">
        <w:rPr>
          <w:sz w:val="20"/>
          <w:szCs w:val="20"/>
        </w:rPr>
        <w:t>with the U.S. Securities and Exchange Commission</w:t>
      </w:r>
      <w:r w:rsidR="00A5199B">
        <w:rPr>
          <w:sz w:val="20"/>
          <w:szCs w:val="20"/>
        </w:rPr>
        <w:t xml:space="preserve"> (</w:t>
      </w:r>
      <w:r w:rsidR="005E4588">
        <w:rPr>
          <w:sz w:val="20"/>
          <w:szCs w:val="20"/>
        </w:rPr>
        <w:t xml:space="preserve">the </w:t>
      </w:r>
      <w:r w:rsidR="00A5199B">
        <w:rPr>
          <w:sz w:val="20"/>
          <w:szCs w:val="20"/>
        </w:rPr>
        <w:t>“</w:t>
      </w:r>
      <w:r w:rsidR="005E4588">
        <w:rPr>
          <w:sz w:val="20"/>
          <w:szCs w:val="20"/>
        </w:rPr>
        <w:t>SEC</w:t>
      </w:r>
      <w:r w:rsidR="00A5199B">
        <w:rPr>
          <w:sz w:val="20"/>
          <w:szCs w:val="20"/>
        </w:rPr>
        <w:t>”)</w:t>
      </w:r>
      <w:r>
        <w:rPr>
          <w:sz w:val="20"/>
          <w:szCs w:val="20"/>
        </w:rPr>
        <w:t xml:space="preserve"> on </w:t>
      </w:r>
      <w:proofErr w:type="gramStart"/>
      <w:r w:rsidR="009664F3">
        <w:rPr>
          <w:sz w:val="20"/>
          <w:szCs w:val="20"/>
        </w:rPr>
        <w:t>April</w:t>
      </w:r>
      <w:r w:rsidR="003D4407">
        <w:rPr>
          <w:sz w:val="20"/>
          <w:szCs w:val="20"/>
        </w:rPr>
        <w:t>,</w:t>
      </w:r>
      <w:proofErr w:type="gramEnd"/>
      <w:r w:rsidR="003D4407">
        <w:rPr>
          <w:sz w:val="20"/>
          <w:szCs w:val="20"/>
        </w:rPr>
        <w:t xml:space="preserve"> </w:t>
      </w:r>
      <w:r w:rsidR="009664F3">
        <w:rPr>
          <w:sz w:val="20"/>
          <w:szCs w:val="20"/>
        </w:rPr>
        <w:t>12</w:t>
      </w:r>
      <w:r w:rsidR="003D4407">
        <w:rPr>
          <w:sz w:val="20"/>
          <w:szCs w:val="20"/>
        </w:rPr>
        <w:t xml:space="preserve">, </w:t>
      </w:r>
      <w:r w:rsidR="009664F3">
        <w:rPr>
          <w:sz w:val="20"/>
          <w:szCs w:val="20"/>
        </w:rPr>
        <w:t>2023</w:t>
      </w:r>
      <w:r w:rsidR="003D4407">
        <w:rPr>
          <w:sz w:val="20"/>
          <w:szCs w:val="20"/>
        </w:rPr>
        <w:t xml:space="preserve"> </w:t>
      </w:r>
      <w:r>
        <w:rPr>
          <w:sz w:val="20"/>
          <w:szCs w:val="20"/>
        </w:rPr>
        <w:t xml:space="preserve">and declared effective on </w:t>
      </w:r>
      <w:r w:rsidR="009664F3">
        <w:rPr>
          <w:sz w:val="20"/>
          <w:szCs w:val="20"/>
        </w:rPr>
        <w:t>April</w:t>
      </w:r>
      <w:r w:rsidR="003D4407">
        <w:rPr>
          <w:sz w:val="20"/>
          <w:szCs w:val="20"/>
        </w:rPr>
        <w:t xml:space="preserve">, </w:t>
      </w:r>
      <w:r w:rsidR="009664F3">
        <w:rPr>
          <w:sz w:val="20"/>
          <w:szCs w:val="20"/>
        </w:rPr>
        <w:t>21</w:t>
      </w:r>
      <w:r w:rsidR="003D4407">
        <w:rPr>
          <w:sz w:val="20"/>
          <w:szCs w:val="20"/>
        </w:rPr>
        <w:t xml:space="preserve">, </w:t>
      </w:r>
      <w:r w:rsidR="009664F3">
        <w:rPr>
          <w:sz w:val="20"/>
          <w:szCs w:val="20"/>
        </w:rPr>
        <w:t>202</w:t>
      </w:r>
      <w:r w:rsidR="00775574">
        <w:rPr>
          <w:sz w:val="20"/>
          <w:szCs w:val="20"/>
        </w:rPr>
        <w:t>3</w:t>
      </w:r>
      <w:r>
        <w:rPr>
          <w:sz w:val="20"/>
          <w:szCs w:val="20"/>
        </w:rPr>
        <w:t xml:space="preserve">. The </w:t>
      </w:r>
      <w:proofErr w:type="gramStart"/>
      <w:r>
        <w:rPr>
          <w:sz w:val="20"/>
          <w:szCs w:val="20"/>
        </w:rPr>
        <w:t>offering</w:t>
      </w:r>
      <w:proofErr w:type="gramEnd"/>
      <w:r>
        <w:rPr>
          <w:sz w:val="20"/>
          <w:szCs w:val="20"/>
        </w:rPr>
        <w:t xml:space="preserve"> will be made only by means of a </w:t>
      </w:r>
      <w:r w:rsidR="0035568B">
        <w:rPr>
          <w:sz w:val="20"/>
          <w:szCs w:val="20"/>
        </w:rPr>
        <w:t xml:space="preserve">written </w:t>
      </w:r>
      <w:r>
        <w:rPr>
          <w:sz w:val="20"/>
          <w:szCs w:val="20"/>
        </w:rPr>
        <w:t xml:space="preserve">prospectus. A preliminary prospectus supplement and </w:t>
      </w:r>
      <w:r w:rsidR="005E4588">
        <w:rPr>
          <w:sz w:val="20"/>
          <w:szCs w:val="20"/>
        </w:rPr>
        <w:t>accompanying</w:t>
      </w:r>
      <w:r>
        <w:rPr>
          <w:sz w:val="20"/>
          <w:szCs w:val="20"/>
        </w:rPr>
        <w:t xml:space="preserve"> prospectus </w:t>
      </w:r>
      <w:r w:rsidR="005E4588">
        <w:rPr>
          <w:sz w:val="20"/>
          <w:szCs w:val="20"/>
        </w:rPr>
        <w:t>describing the terms of</w:t>
      </w:r>
      <w:r>
        <w:rPr>
          <w:sz w:val="20"/>
          <w:szCs w:val="20"/>
        </w:rPr>
        <w:t xml:space="preserve"> the offering </w:t>
      </w:r>
      <w:r w:rsidR="006F0137">
        <w:rPr>
          <w:sz w:val="20"/>
          <w:szCs w:val="20"/>
        </w:rPr>
        <w:t xml:space="preserve">has been or </w:t>
      </w:r>
      <w:r>
        <w:rPr>
          <w:sz w:val="20"/>
          <w:szCs w:val="20"/>
        </w:rPr>
        <w:t xml:space="preserve">will be filed with the SEC </w:t>
      </w:r>
      <w:r w:rsidR="006F0137">
        <w:rPr>
          <w:sz w:val="20"/>
          <w:szCs w:val="20"/>
        </w:rPr>
        <w:t>on its</w:t>
      </w:r>
      <w:r>
        <w:rPr>
          <w:sz w:val="20"/>
          <w:szCs w:val="20"/>
        </w:rPr>
        <w:t xml:space="preserve"> website at www.sec.gov. Copies of the preliminary prospectus supplement and the accompanying prospectus relating to the offering may also be obtained from the offices of </w:t>
      </w:r>
      <w:r w:rsidR="002F72F5">
        <w:rPr>
          <w:color w:val="000000"/>
          <w:sz w:val="20"/>
          <w:szCs w:val="20"/>
        </w:rPr>
        <w:t xml:space="preserve">ThinkEquity, 17 State Street, </w:t>
      </w:r>
      <w:r w:rsidR="00F62661">
        <w:rPr>
          <w:color w:val="000000"/>
          <w:sz w:val="20"/>
          <w:szCs w:val="20"/>
        </w:rPr>
        <w:t>41</w:t>
      </w:r>
      <w:r w:rsidR="00F62661" w:rsidRPr="00F62661">
        <w:rPr>
          <w:color w:val="000000"/>
          <w:sz w:val="20"/>
          <w:szCs w:val="20"/>
          <w:vertAlign w:val="superscript"/>
        </w:rPr>
        <w:t>st</w:t>
      </w:r>
      <w:r w:rsidR="00F62661">
        <w:rPr>
          <w:color w:val="000000"/>
          <w:sz w:val="20"/>
          <w:szCs w:val="20"/>
        </w:rPr>
        <w:t xml:space="preserve"> </w:t>
      </w:r>
      <w:r w:rsidR="002F72F5">
        <w:rPr>
          <w:color w:val="000000"/>
          <w:sz w:val="20"/>
          <w:szCs w:val="20"/>
        </w:rPr>
        <w:t>Floor, New York, New York 10004</w:t>
      </w:r>
      <w:r>
        <w:rPr>
          <w:sz w:val="20"/>
          <w:szCs w:val="20"/>
        </w:rPr>
        <w:t xml:space="preserve">. </w:t>
      </w:r>
      <w:r w:rsidR="0080319E">
        <w:rPr>
          <w:sz w:val="20"/>
          <w:szCs w:val="20"/>
        </w:rPr>
        <w:t xml:space="preserve">Before investing in this offering, interested parties should read in their entirety the preliminary prospectus supplement and the accompanying prospectus and the other documents that the Company has filed with the SEC that are incorporated by reference in such </w:t>
      </w:r>
      <w:r w:rsidR="00A231BB">
        <w:rPr>
          <w:sz w:val="20"/>
          <w:szCs w:val="20"/>
        </w:rPr>
        <w:t xml:space="preserve">preliminary </w:t>
      </w:r>
      <w:r w:rsidR="0080319E">
        <w:rPr>
          <w:sz w:val="20"/>
          <w:szCs w:val="20"/>
        </w:rPr>
        <w:t>prospectus supplement and the accompanying prospectus, which provide more information about the Company and such offering.</w:t>
      </w:r>
    </w:p>
    <w:p w14:paraId="419B27EB" w14:textId="77777777" w:rsidR="00124ECD" w:rsidRDefault="00124ECD" w:rsidP="005E4588">
      <w:pPr>
        <w:spacing w:before="240"/>
        <w:jc w:val="both"/>
        <w:rPr>
          <w:sz w:val="20"/>
          <w:szCs w:val="20"/>
        </w:rPr>
      </w:pPr>
      <w:r>
        <w:rPr>
          <w:sz w:val="20"/>
          <w:szCs w:val="20"/>
        </w:rPr>
        <w:t xml:space="preserve">This press release shall not constitute an offer to sell or the solicitation of an offer to buy, nor shall there be any sale of these securities in any state or jurisdiction in which such offer, solicitation or sale would be unlawful prior to registration or qualification under the securities laws of such state or jurisdiction. </w:t>
      </w:r>
    </w:p>
    <w:p w14:paraId="7857407A" w14:textId="77777777" w:rsidR="00124ECD" w:rsidRDefault="00124ECD">
      <w:pPr>
        <w:shd w:val="clear" w:color="auto" w:fill="FFFFFF"/>
        <w:jc w:val="both"/>
        <w:rPr>
          <w:sz w:val="20"/>
          <w:szCs w:val="20"/>
        </w:rPr>
      </w:pPr>
    </w:p>
    <w:p w14:paraId="46518DEB" w14:textId="2104324A" w:rsidR="00353C50" w:rsidRDefault="00124ECD">
      <w:pPr>
        <w:shd w:val="clear" w:color="auto" w:fill="FFFFFF"/>
        <w:jc w:val="both"/>
        <w:rPr>
          <w:b/>
          <w:bCs/>
          <w:sz w:val="20"/>
          <w:szCs w:val="20"/>
          <w:u w:val="single"/>
        </w:rPr>
      </w:pPr>
      <w:r>
        <w:rPr>
          <w:b/>
          <w:bCs/>
          <w:sz w:val="20"/>
          <w:szCs w:val="20"/>
          <w:u w:val="single"/>
        </w:rPr>
        <w:t xml:space="preserve">About </w:t>
      </w:r>
      <w:r w:rsidR="00BE240D">
        <w:rPr>
          <w:b/>
          <w:bCs/>
          <w:sz w:val="20"/>
          <w:szCs w:val="20"/>
          <w:u w:val="single"/>
        </w:rPr>
        <w:t>A2Z Smart Technologies Corp.</w:t>
      </w:r>
    </w:p>
    <w:p w14:paraId="4730747F" w14:textId="77777777" w:rsidR="00BE240D" w:rsidRDefault="00BE240D">
      <w:pPr>
        <w:shd w:val="clear" w:color="auto" w:fill="FFFFFF"/>
        <w:jc w:val="both"/>
        <w:rPr>
          <w:b/>
          <w:bCs/>
          <w:sz w:val="20"/>
          <w:szCs w:val="20"/>
          <w:u w:val="single"/>
        </w:rPr>
      </w:pPr>
    </w:p>
    <w:p w14:paraId="5775BDF0" w14:textId="52F89912" w:rsidR="00BE240D" w:rsidRPr="00BE240D" w:rsidRDefault="00BE240D">
      <w:pPr>
        <w:shd w:val="clear" w:color="auto" w:fill="FFFFFF"/>
        <w:jc w:val="both"/>
        <w:rPr>
          <w:sz w:val="20"/>
          <w:szCs w:val="20"/>
        </w:rPr>
      </w:pPr>
      <w:r w:rsidRPr="00BE240D">
        <w:rPr>
          <w:sz w:val="20"/>
          <w:szCs w:val="20"/>
        </w:rPr>
        <w:t>A2Z Smart Technologies Corp. creates innovative solutions for complex challenges. A2Z's flagship product is the world's first proven-in-use mobile self-checkout shopping cart</w:t>
      </w:r>
      <w:r w:rsidR="00775574">
        <w:rPr>
          <w:sz w:val="20"/>
          <w:szCs w:val="20"/>
        </w:rPr>
        <w:t>, Cust2Mate</w:t>
      </w:r>
      <w:r w:rsidRPr="00BE240D">
        <w:rPr>
          <w:sz w:val="20"/>
          <w:szCs w:val="20"/>
        </w:rPr>
        <w:t xml:space="preserve">. With its user-friendly smart algorithm, touch screen, and </w:t>
      </w:r>
      <w:r w:rsidR="00775574">
        <w:rPr>
          <w:sz w:val="20"/>
          <w:szCs w:val="20"/>
        </w:rPr>
        <w:t>other technologies</w:t>
      </w:r>
      <w:r w:rsidRPr="00BE240D">
        <w:rPr>
          <w:sz w:val="20"/>
          <w:szCs w:val="20"/>
        </w:rPr>
        <w:t>, Cust2Mate streamlines the retail shopping experience by scanning purchased products and enabling in-cart payment so that customers can simply "pick &amp; go", and bypass long cashier checkout lines. This results in a more efficient shopping experience for customers, less unused shelf-space and manpower requirements, and advanced command and control capabilities for store managers.</w:t>
      </w:r>
    </w:p>
    <w:p w14:paraId="3B6E5415" w14:textId="77777777" w:rsidR="00353C50" w:rsidRDefault="00124ECD">
      <w:pPr>
        <w:spacing w:before="120"/>
        <w:jc w:val="both"/>
        <w:rPr>
          <w:b/>
          <w:bCs/>
          <w:sz w:val="20"/>
          <w:szCs w:val="20"/>
          <w:u w:val="single"/>
        </w:rPr>
      </w:pPr>
      <w:r>
        <w:rPr>
          <w:b/>
          <w:bCs/>
          <w:sz w:val="20"/>
          <w:szCs w:val="20"/>
          <w:u w:val="single"/>
        </w:rPr>
        <w:t>Forward-Looking Statements</w:t>
      </w:r>
    </w:p>
    <w:p w14:paraId="65A2F319" w14:textId="77777777" w:rsidR="00BE240D" w:rsidRDefault="00BE240D">
      <w:pPr>
        <w:spacing w:before="120"/>
        <w:jc w:val="both"/>
        <w:rPr>
          <w:sz w:val="20"/>
          <w:szCs w:val="20"/>
        </w:rPr>
      </w:pPr>
    </w:p>
    <w:p w14:paraId="3F903F47" w14:textId="44203119" w:rsidR="00BE240D" w:rsidRPr="00BE240D" w:rsidRDefault="00BE240D" w:rsidP="00BE240D">
      <w:pPr>
        <w:jc w:val="both"/>
        <w:rPr>
          <w:sz w:val="20"/>
          <w:szCs w:val="20"/>
        </w:rPr>
      </w:pPr>
      <w:r w:rsidRPr="00BE240D">
        <w:rPr>
          <w:sz w:val="20"/>
          <w:szCs w:val="20"/>
        </w:rPr>
        <w:t>Matters discussed in this press release may contain forward-looking statements that are subject to substantial risks and uncertainties. Forward-looking statements contained in this press release may be identified by the use of words such as "anticipate," "believe," "contemplate," "could," "estimate," "expect," "intend," "seek," "may," "might," "plan," "potential," "predict," "project," "target," "aim," "should," "will" "would," or the negative of these words or other similar expressions, although not all forward-looking statements contain these words. Forward-looking statements are based on the Company's current expectations and are subject to inherent uncertainties, risks and assumptions that are difficult to predict. Further, certain forward-looking statements are based on assumptions as to future events that may not prove to be accurate</w:t>
      </w:r>
      <w:r w:rsidRPr="00B405AB">
        <w:rPr>
          <w:sz w:val="20"/>
          <w:szCs w:val="20"/>
        </w:rPr>
        <w:t xml:space="preserve">. These and other risks and uncertainties are described more fully in the Company's filings on </w:t>
      </w:r>
      <w:r w:rsidRPr="00B405AB">
        <w:rPr>
          <w:sz w:val="20"/>
          <w:szCs w:val="20"/>
        </w:rPr>
        <w:lastRenderedPageBreak/>
        <w:t>SEDAR and with the</w:t>
      </w:r>
      <w:r w:rsidR="00775574">
        <w:rPr>
          <w:sz w:val="20"/>
          <w:szCs w:val="20"/>
        </w:rPr>
        <w:t xml:space="preserve"> SEC</w:t>
      </w:r>
      <w:r w:rsidRPr="00B405AB">
        <w:rPr>
          <w:sz w:val="20"/>
          <w:szCs w:val="20"/>
        </w:rPr>
        <w:t>. Actual results, performance or achievements could differ materially from those contemplated</w:t>
      </w:r>
      <w:r w:rsidRPr="00BE240D">
        <w:rPr>
          <w:sz w:val="20"/>
          <w:szCs w:val="20"/>
        </w:rPr>
        <w:t xml:space="preserve">, expressed or implied by the forward-looking statements contained herein. Forward-looking statements contained in this announcement are made as of this date, and the company disclaims any intention or obligation, except to the extent required by law, to update or revise any forward-looking statements, whether </w:t>
      </w:r>
      <w:proofErr w:type="gramStart"/>
      <w:r w:rsidRPr="00BE240D">
        <w:rPr>
          <w:sz w:val="20"/>
          <w:szCs w:val="20"/>
        </w:rPr>
        <w:t>as a result of</w:t>
      </w:r>
      <w:proofErr w:type="gramEnd"/>
      <w:r w:rsidRPr="00BE240D">
        <w:rPr>
          <w:sz w:val="20"/>
          <w:szCs w:val="20"/>
        </w:rPr>
        <w:t xml:space="preserve"> new information, future events or otherwise. This press release does not constitute an offer to sell or a solicitation of an offer to sell any of the securities described herein.</w:t>
      </w:r>
    </w:p>
    <w:p w14:paraId="129C8EB6" w14:textId="2EC4A901" w:rsidR="00A231BB" w:rsidRDefault="00A231BB">
      <w:pPr>
        <w:jc w:val="both"/>
        <w:rPr>
          <w:sz w:val="20"/>
          <w:szCs w:val="20"/>
        </w:rPr>
      </w:pPr>
    </w:p>
    <w:p w14:paraId="1B1B90DF" w14:textId="77777777" w:rsidR="00525A1C" w:rsidRDefault="00525A1C">
      <w:pPr>
        <w:jc w:val="both"/>
        <w:rPr>
          <w:sz w:val="20"/>
          <w:szCs w:val="20"/>
        </w:rPr>
      </w:pPr>
    </w:p>
    <w:p w14:paraId="0B9169B2" w14:textId="14D91AFA" w:rsidR="00353C50" w:rsidRDefault="00BE240D">
      <w:pPr>
        <w:shd w:val="clear" w:color="auto" w:fill="FFFFFF"/>
        <w:jc w:val="both"/>
        <w:rPr>
          <w:sz w:val="20"/>
          <w:szCs w:val="20"/>
        </w:rPr>
      </w:pPr>
      <w:r>
        <w:rPr>
          <w:b/>
          <w:bCs/>
          <w:i/>
          <w:iCs/>
          <w:sz w:val="20"/>
          <w:szCs w:val="20"/>
        </w:rPr>
        <w:t>Company Contact</w:t>
      </w:r>
      <w:r w:rsidR="00124ECD">
        <w:rPr>
          <w:b/>
          <w:bCs/>
          <w:i/>
          <w:iCs/>
          <w:sz w:val="20"/>
          <w:szCs w:val="20"/>
        </w:rPr>
        <w:t>:</w:t>
      </w:r>
    </w:p>
    <w:p w14:paraId="64908B5B" w14:textId="2010D8D0" w:rsidR="00525A1C" w:rsidRPr="00525A1C" w:rsidRDefault="00BE240D" w:rsidP="00525A1C">
      <w:pPr>
        <w:pStyle w:val="NormalWeb"/>
        <w:rPr>
          <w:sz w:val="20"/>
          <w:szCs w:val="20"/>
        </w:rPr>
      </w:pPr>
      <w:r w:rsidRPr="00BE240D">
        <w:rPr>
          <w:sz w:val="20"/>
          <w:szCs w:val="20"/>
        </w:rPr>
        <w:t>Gadi Graus, President</w:t>
      </w:r>
      <w:r w:rsidRPr="00BE240D">
        <w:rPr>
          <w:sz w:val="20"/>
          <w:szCs w:val="20"/>
        </w:rPr>
        <w:br/>
      </w:r>
      <w:hyperlink r:id="rId8" w:history="1">
        <w:r w:rsidRPr="00BE240D">
          <w:rPr>
            <w:rStyle w:val="Hyperlink"/>
            <w:sz w:val="20"/>
            <w:szCs w:val="20"/>
          </w:rPr>
          <w:t>Gadi.g@a2zas.com</w:t>
        </w:r>
      </w:hyperlink>
      <w:r w:rsidRPr="00BE240D">
        <w:rPr>
          <w:sz w:val="20"/>
          <w:szCs w:val="20"/>
        </w:rPr>
        <w:br/>
        <w:t>+972-3-3732328</w:t>
      </w:r>
    </w:p>
    <w:p w14:paraId="183F1D05" w14:textId="77777777" w:rsidR="00353C50" w:rsidRDefault="00353C50" w:rsidP="00525A1C">
      <w:pPr>
        <w:shd w:val="clear" w:color="auto" w:fill="FFFFFF"/>
        <w:jc w:val="both"/>
        <w:rPr>
          <w:sz w:val="20"/>
          <w:szCs w:val="20"/>
        </w:rPr>
      </w:pPr>
    </w:p>
    <w:sectPr w:rsidR="00353C5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48670" w14:textId="77777777" w:rsidR="00D85353" w:rsidRDefault="00D85353" w:rsidP="00A231BB">
      <w:r>
        <w:separator/>
      </w:r>
    </w:p>
  </w:endnote>
  <w:endnote w:type="continuationSeparator" w:id="0">
    <w:p w14:paraId="4C3FC155" w14:textId="77777777" w:rsidR="00D85353" w:rsidRDefault="00D85353" w:rsidP="00A2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8D18D" w14:textId="77777777" w:rsidR="00775574" w:rsidRDefault="00775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3D59" w14:textId="77777777" w:rsidR="00775574" w:rsidRDefault="007755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71327" w14:textId="77777777" w:rsidR="00775574" w:rsidRDefault="00775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820A3" w14:textId="77777777" w:rsidR="00D85353" w:rsidRDefault="00D85353" w:rsidP="00A231BB">
      <w:pPr>
        <w:rPr>
          <w:noProof/>
        </w:rPr>
      </w:pPr>
      <w:r>
        <w:rPr>
          <w:noProof/>
        </w:rPr>
        <w:separator/>
      </w:r>
    </w:p>
  </w:footnote>
  <w:footnote w:type="continuationSeparator" w:id="0">
    <w:p w14:paraId="59A87252" w14:textId="77777777" w:rsidR="00D85353" w:rsidRDefault="00D85353" w:rsidP="00A2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28819" w14:textId="77777777" w:rsidR="00775574" w:rsidRDefault="00775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3F75E" w14:textId="77777777" w:rsidR="00775574" w:rsidRDefault="007755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C15A0" w14:textId="77777777" w:rsidR="00775574" w:rsidRDefault="00775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C50"/>
    <w:rsid w:val="00081C16"/>
    <w:rsid w:val="000D4466"/>
    <w:rsid w:val="00124ECD"/>
    <w:rsid w:val="001278CC"/>
    <w:rsid w:val="001C6A82"/>
    <w:rsid w:val="00277B4C"/>
    <w:rsid w:val="00280C07"/>
    <w:rsid w:val="002833DB"/>
    <w:rsid w:val="002F72F5"/>
    <w:rsid w:val="00353C50"/>
    <w:rsid w:val="0035568B"/>
    <w:rsid w:val="003D4407"/>
    <w:rsid w:val="00416984"/>
    <w:rsid w:val="00427BCA"/>
    <w:rsid w:val="00437085"/>
    <w:rsid w:val="004B42E9"/>
    <w:rsid w:val="00525A1C"/>
    <w:rsid w:val="005E4588"/>
    <w:rsid w:val="00635673"/>
    <w:rsid w:val="00656B7B"/>
    <w:rsid w:val="00681B9C"/>
    <w:rsid w:val="006B0D44"/>
    <w:rsid w:val="006F0137"/>
    <w:rsid w:val="006F1100"/>
    <w:rsid w:val="00711589"/>
    <w:rsid w:val="0074534F"/>
    <w:rsid w:val="00775574"/>
    <w:rsid w:val="00795A0E"/>
    <w:rsid w:val="007D6847"/>
    <w:rsid w:val="0080319E"/>
    <w:rsid w:val="008553FF"/>
    <w:rsid w:val="009567FA"/>
    <w:rsid w:val="009664F3"/>
    <w:rsid w:val="009D7F5F"/>
    <w:rsid w:val="00A231BB"/>
    <w:rsid w:val="00A5199B"/>
    <w:rsid w:val="00A66A01"/>
    <w:rsid w:val="00A810A4"/>
    <w:rsid w:val="00A93C60"/>
    <w:rsid w:val="00B0419C"/>
    <w:rsid w:val="00B405AB"/>
    <w:rsid w:val="00B72EB7"/>
    <w:rsid w:val="00BE240D"/>
    <w:rsid w:val="00C61AFE"/>
    <w:rsid w:val="00CC6D79"/>
    <w:rsid w:val="00D650EB"/>
    <w:rsid w:val="00D85353"/>
    <w:rsid w:val="00DD012C"/>
    <w:rsid w:val="00E30C3C"/>
    <w:rsid w:val="00E41A27"/>
    <w:rsid w:val="00EC7831"/>
    <w:rsid w:val="00F62661"/>
    <w:rsid w:val="00FA37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1D3D3"/>
  <w15:docId w15:val="{4D0C7766-8990-4D85-ACAE-66E55418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70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085"/>
    <w:rPr>
      <w:rFonts w:ascii="Segoe UI" w:hAnsi="Segoe UI" w:cs="Segoe UI"/>
      <w:sz w:val="18"/>
      <w:szCs w:val="18"/>
    </w:rPr>
  </w:style>
  <w:style w:type="paragraph" w:customStyle="1" w:styleId="DraftLineWC">
    <w:name w:val="DraftLineW&amp;C"/>
    <w:basedOn w:val="Normal"/>
    <w:uiPriority w:val="99"/>
    <w:semiHidden/>
    <w:rsid w:val="005E4588"/>
    <w:pPr>
      <w:framePr w:w="5328" w:hSpace="187" w:vSpace="187" w:wrap="around" w:vAnchor="page" w:hAnchor="page" w:x="5761" w:y="721"/>
      <w:jc w:val="right"/>
    </w:pPr>
    <w:rPr>
      <w:sz w:val="20"/>
    </w:rPr>
  </w:style>
  <w:style w:type="paragraph" w:styleId="FootnoteText">
    <w:name w:val="footnote text"/>
    <w:basedOn w:val="Normal"/>
    <w:link w:val="FootnoteTextChar"/>
    <w:uiPriority w:val="99"/>
    <w:semiHidden/>
    <w:unhideWhenUsed/>
    <w:rsid w:val="00A231BB"/>
    <w:rPr>
      <w:sz w:val="20"/>
      <w:szCs w:val="20"/>
    </w:rPr>
  </w:style>
  <w:style w:type="character" w:customStyle="1" w:styleId="FootnoteTextChar">
    <w:name w:val="Footnote Text Char"/>
    <w:basedOn w:val="DefaultParagraphFont"/>
    <w:link w:val="FootnoteText"/>
    <w:uiPriority w:val="99"/>
    <w:semiHidden/>
    <w:rsid w:val="00A231BB"/>
  </w:style>
  <w:style w:type="character" w:styleId="FootnoteReference">
    <w:name w:val="footnote reference"/>
    <w:basedOn w:val="DefaultParagraphFont"/>
    <w:uiPriority w:val="99"/>
    <w:semiHidden/>
    <w:unhideWhenUsed/>
    <w:rsid w:val="00A231BB"/>
    <w:rPr>
      <w:vertAlign w:val="superscript"/>
    </w:rPr>
  </w:style>
  <w:style w:type="paragraph" w:styleId="Header">
    <w:name w:val="header"/>
    <w:basedOn w:val="Normal"/>
    <w:link w:val="HeaderChar"/>
    <w:uiPriority w:val="99"/>
    <w:unhideWhenUsed/>
    <w:rsid w:val="00C61AFE"/>
    <w:pPr>
      <w:tabs>
        <w:tab w:val="center" w:pos="4680"/>
        <w:tab w:val="right" w:pos="9360"/>
      </w:tabs>
    </w:pPr>
  </w:style>
  <w:style w:type="character" w:customStyle="1" w:styleId="HeaderChar">
    <w:name w:val="Header Char"/>
    <w:basedOn w:val="DefaultParagraphFont"/>
    <w:link w:val="Header"/>
    <w:uiPriority w:val="99"/>
    <w:rsid w:val="00C61AFE"/>
    <w:rPr>
      <w:sz w:val="24"/>
      <w:szCs w:val="24"/>
    </w:rPr>
  </w:style>
  <w:style w:type="paragraph" w:styleId="Footer">
    <w:name w:val="footer"/>
    <w:basedOn w:val="Normal"/>
    <w:link w:val="FooterChar"/>
    <w:uiPriority w:val="99"/>
    <w:unhideWhenUsed/>
    <w:rsid w:val="00C61AFE"/>
    <w:pPr>
      <w:tabs>
        <w:tab w:val="center" w:pos="4680"/>
        <w:tab w:val="right" w:pos="9360"/>
      </w:tabs>
    </w:pPr>
  </w:style>
  <w:style w:type="character" w:customStyle="1" w:styleId="FooterChar">
    <w:name w:val="Footer Char"/>
    <w:basedOn w:val="DefaultParagraphFont"/>
    <w:link w:val="Footer"/>
    <w:uiPriority w:val="99"/>
    <w:rsid w:val="00C61AFE"/>
    <w:rPr>
      <w:sz w:val="24"/>
      <w:szCs w:val="24"/>
    </w:rPr>
  </w:style>
  <w:style w:type="paragraph" w:styleId="NormalWeb">
    <w:name w:val="Normal (Web)"/>
    <w:basedOn w:val="Normal"/>
    <w:uiPriority w:val="99"/>
    <w:semiHidden/>
    <w:unhideWhenUsed/>
    <w:rsid w:val="00525A1C"/>
    <w:pPr>
      <w:spacing w:before="100" w:beforeAutospacing="1" w:after="100" w:afterAutospacing="1"/>
    </w:pPr>
  </w:style>
  <w:style w:type="character" w:styleId="Hyperlink">
    <w:name w:val="Hyperlink"/>
    <w:basedOn w:val="DefaultParagraphFont"/>
    <w:uiPriority w:val="99"/>
    <w:unhideWhenUsed/>
    <w:rsid w:val="00BE240D"/>
    <w:rPr>
      <w:color w:val="0563C1" w:themeColor="hyperlink"/>
      <w:u w:val="single"/>
    </w:rPr>
  </w:style>
  <w:style w:type="character" w:styleId="UnresolvedMention">
    <w:name w:val="Unresolved Mention"/>
    <w:basedOn w:val="DefaultParagraphFont"/>
    <w:uiPriority w:val="99"/>
    <w:semiHidden/>
    <w:unhideWhenUsed/>
    <w:rsid w:val="00BE240D"/>
    <w:rPr>
      <w:color w:val="605E5C"/>
      <w:shd w:val="clear" w:color="auto" w:fill="E1DFDD"/>
    </w:rPr>
  </w:style>
  <w:style w:type="paragraph" w:styleId="Revision">
    <w:name w:val="Revision"/>
    <w:hidden/>
    <w:uiPriority w:val="99"/>
    <w:semiHidden/>
    <w:rsid w:val="00CC6D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2932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adi.g@a2za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CD774-A73E-4FD3-A4A7-8CF82F7A3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696</Words>
  <Characters>3970</Characters>
  <Application>Microsoft Office Word</Application>
  <DocSecurity>0</DocSecurity>
  <PresentationFormat>12|.DOCX</PresentationFormat>
  <Lines>33</Lines>
  <Paragraphs>9</Paragraphs>
  <ScaleCrop>false</ScaleCrop>
  <HeadingPairs>
    <vt:vector size="2" baseType="variant">
      <vt:variant>
        <vt:lpstr>Title</vt:lpstr>
      </vt:variant>
      <vt:variant>
        <vt:i4>1</vt:i4>
      </vt:variant>
    </vt:vector>
  </HeadingPairs>
  <TitlesOfParts>
    <vt:vector size="1" baseType="lpstr">
      <vt:lpstr>BTN - Launch Press Release (August 2020) (S2628838-2).DOCX</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BTN - Launch Press Release (August 2020) (S2628838-2).DOCX</dc:title>
  <dc:subject>S2628838; 2</dc:subject>
  <dc:creator>Eric Lord</dc:creator>
  <cp:lastModifiedBy>Gadi Levin</cp:lastModifiedBy>
  <cp:revision>2</cp:revision>
  <dcterms:created xsi:type="dcterms:W3CDTF">2024-04-01T19:55:00Z</dcterms:created>
  <dcterms:modified xsi:type="dcterms:W3CDTF">2024-04-01T19:55:00Z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COffice">
    <vt:lpwstr>New York</vt:lpwstr>
  </property>
  <property fmtid="{D5CDD505-2E9C-101B-9397-08002B2CF9AE}" pid="3" name="Language1">
    <vt:lpwstr>English (US)</vt:lpwstr>
  </property>
  <property fmtid="{D5CDD505-2E9C-101B-9397-08002B2CF9AE}" pid="4" name="Office">
    <vt:lpwstr>New York</vt:lpwstr>
  </property>
  <property fmtid="{D5CDD505-2E9C-101B-9397-08002B2CF9AE}" pid="5" name="DateFormat">
    <vt:lpwstr>MONTH DAY, YEAR</vt:lpwstr>
  </property>
  <property fmtid="{D5CDD505-2E9C-101B-9397-08002B2CF9AE}" pid="6" name="GrammarlyDocumentId">
    <vt:lpwstr>bd6ad4c619b9ccbb2bbb3040124e7f78315fcaf9de61caa9a529ce543d096525</vt:lpwstr>
  </property>
</Properties>
</file>