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73BED" w14:textId="77777777" w:rsidR="0088733A" w:rsidRDefault="0088733A" w:rsidP="0088733A">
      <w:pPr>
        <w:spacing w:after="0"/>
        <w:jc w:val="center"/>
      </w:pPr>
      <w:r>
        <w:rPr>
          <w:noProof/>
        </w:rPr>
        <w:drawing>
          <wp:inline distT="0" distB="0" distL="0" distR="0" wp14:anchorId="3BBBB36B" wp14:editId="2ADEEA9C">
            <wp:extent cx="2743200" cy="415290"/>
            <wp:effectExtent l="0" t="0" r="0" b="3810"/>
            <wp:docPr id="1" name="Picture 1" descr="Dermata Therapeutics, LLC Announced the Addition of Wendell Wierenga, Ph.D.  to its Board of Direc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rmata Therapeutics, LLC Announced the Addition of Wendell Wierenga, Ph.D.  to its Board of Director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43200" cy="415290"/>
                    </a:xfrm>
                    <a:prstGeom prst="rect">
                      <a:avLst/>
                    </a:prstGeom>
                    <a:noFill/>
                    <a:ln>
                      <a:noFill/>
                    </a:ln>
                  </pic:spPr>
                </pic:pic>
              </a:graphicData>
            </a:graphic>
          </wp:inline>
        </w:drawing>
      </w:r>
    </w:p>
    <w:p w14:paraId="3362B94E" w14:textId="77777777" w:rsidR="0088733A" w:rsidRDefault="0088733A" w:rsidP="0088733A">
      <w:pPr>
        <w:spacing w:after="0"/>
      </w:pPr>
    </w:p>
    <w:p w14:paraId="57125741" w14:textId="560F5584" w:rsidR="000A204F" w:rsidRPr="00AE2CEB" w:rsidRDefault="0088733A" w:rsidP="007430CA">
      <w:pPr>
        <w:spacing w:after="0"/>
        <w:jc w:val="center"/>
        <w:rPr>
          <w:b/>
          <w:bCs/>
        </w:rPr>
      </w:pPr>
      <w:r w:rsidRPr="00262F6B">
        <w:rPr>
          <w:b/>
          <w:bCs/>
          <w:sz w:val="28"/>
          <w:szCs w:val="28"/>
        </w:rPr>
        <w:t xml:space="preserve">Dermata </w:t>
      </w:r>
      <w:r w:rsidR="00C726FD">
        <w:rPr>
          <w:b/>
          <w:bCs/>
          <w:sz w:val="28"/>
          <w:szCs w:val="28"/>
        </w:rPr>
        <w:t xml:space="preserve">Therapeutics </w:t>
      </w:r>
      <w:r w:rsidR="00447863">
        <w:rPr>
          <w:b/>
          <w:bCs/>
          <w:sz w:val="28"/>
          <w:szCs w:val="28"/>
        </w:rPr>
        <w:t xml:space="preserve">Provides Corporate Update and </w:t>
      </w:r>
      <w:r w:rsidR="00C726FD">
        <w:rPr>
          <w:b/>
          <w:bCs/>
          <w:sz w:val="28"/>
          <w:szCs w:val="28"/>
        </w:rPr>
        <w:t xml:space="preserve">Reports </w:t>
      </w:r>
      <w:r w:rsidR="00A65205">
        <w:rPr>
          <w:b/>
          <w:bCs/>
          <w:sz w:val="28"/>
          <w:szCs w:val="28"/>
        </w:rPr>
        <w:t>First Quarter 2024</w:t>
      </w:r>
      <w:r w:rsidR="00C726FD">
        <w:rPr>
          <w:b/>
          <w:bCs/>
          <w:sz w:val="28"/>
          <w:szCs w:val="28"/>
        </w:rPr>
        <w:t xml:space="preserve"> Financial Results</w:t>
      </w:r>
    </w:p>
    <w:p w14:paraId="732D7F20" w14:textId="4606FEB7" w:rsidR="00F33A55" w:rsidRDefault="000945D6" w:rsidP="00A65205">
      <w:pPr>
        <w:spacing w:before="120" w:after="120"/>
        <w:jc w:val="center"/>
        <w:rPr>
          <w:iCs/>
        </w:rPr>
      </w:pPr>
      <w:r w:rsidRPr="006D2DF9">
        <w:rPr>
          <w:iCs/>
        </w:rPr>
        <w:t xml:space="preserve">- </w:t>
      </w:r>
      <w:r>
        <w:rPr>
          <w:iCs/>
        </w:rPr>
        <w:t>DMT310 Phase 3</w:t>
      </w:r>
      <w:r w:rsidR="006674EF">
        <w:rPr>
          <w:iCs/>
        </w:rPr>
        <w:t xml:space="preserve"> Spongilla Treatment of Acne Research</w:t>
      </w:r>
      <w:r>
        <w:rPr>
          <w:iCs/>
        </w:rPr>
        <w:t xml:space="preserve"> </w:t>
      </w:r>
      <w:r w:rsidR="0026769D">
        <w:rPr>
          <w:iCs/>
        </w:rPr>
        <w:t xml:space="preserve">(STAR-1) </w:t>
      </w:r>
      <w:r>
        <w:rPr>
          <w:iCs/>
        </w:rPr>
        <w:t>clinical trial</w:t>
      </w:r>
      <w:r w:rsidR="0026769D">
        <w:rPr>
          <w:iCs/>
        </w:rPr>
        <w:t xml:space="preserve"> </w:t>
      </w:r>
      <w:r w:rsidR="00A65205">
        <w:rPr>
          <w:iCs/>
        </w:rPr>
        <w:t xml:space="preserve">enrollment remains on </w:t>
      </w:r>
      <w:r w:rsidR="00403836">
        <w:rPr>
          <w:iCs/>
        </w:rPr>
        <w:t>track</w:t>
      </w:r>
      <w:r w:rsidR="00403836" w:rsidRPr="003834EF">
        <w:rPr>
          <w:iCs/>
        </w:rPr>
        <w:t xml:space="preserve"> </w:t>
      </w:r>
      <w:r w:rsidR="00403836">
        <w:rPr>
          <w:iCs/>
        </w:rPr>
        <w:t>-</w:t>
      </w:r>
      <w:r w:rsidR="002A79D0">
        <w:rPr>
          <w:iCs/>
        </w:rPr>
        <w:t xml:space="preserve"> </w:t>
      </w:r>
    </w:p>
    <w:p w14:paraId="4C5E151F" w14:textId="6D49F833" w:rsidR="002A79D0" w:rsidRDefault="002A79D0" w:rsidP="002A79D0">
      <w:pPr>
        <w:spacing w:before="120" w:after="120"/>
        <w:jc w:val="center"/>
        <w:rPr>
          <w:iCs/>
        </w:rPr>
      </w:pPr>
      <w:r>
        <w:rPr>
          <w:iCs/>
        </w:rPr>
        <w:t xml:space="preserve">- Dermata continues </w:t>
      </w:r>
      <w:r w:rsidR="00DD1FB0">
        <w:rPr>
          <w:iCs/>
        </w:rPr>
        <w:t>discussions</w:t>
      </w:r>
      <w:r>
        <w:rPr>
          <w:iCs/>
        </w:rPr>
        <w:t xml:space="preserve"> with potential botulinum toxin </w:t>
      </w:r>
      <w:r w:rsidR="00DD1FB0">
        <w:rPr>
          <w:iCs/>
        </w:rPr>
        <w:t>partner</w:t>
      </w:r>
      <w:r w:rsidR="000D3D05">
        <w:rPr>
          <w:iCs/>
        </w:rPr>
        <w:t xml:space="preserve">s </w:t>
      </w:r>
      <w:r w:rsidR="00DD1FB0">
        <w:rPr>
          <w:iCs/>
        </w:rPr>
        <w:t>for DMT410</w:t>
      </w:r>
      <w:r>
        <w:rPr>
          <w:iCs/>
        </w:rPr>
        <w:t xml:space="preserve"> </w:t>
      </w:r>
      <w:r w:rsidR="00403836">
        <w:rPr>
          <w:iCs/>
        </w:rPr>
        <w:t>-</w:t>
      </w:r>
      <w:r>
        <w:rPr>
          <w:iCs/>
        </w:rPr>
        <w:t xml:space="preserve"> </w:t>
      </w:r>
    </w:p>
    <w:p w14:paraId="47474F41" w14:textId="1E0C7AC4" w:rsidR="007430CA" w:rsidRPr="006D2DF9" w:rsidRDefault="000A204F" w:rsidP="005B120C">
      <w:pPr>
        <w:spacing w:before="120" w:after="120"/>
        <w:jc w:val="center"/>
        <w:rPr>
          <w:iCs/>
        </w:rPr>
      </w:pPr>
      <w:r w:rsidRPr="003834EF">
        <w:rPr>
          <w:b/>
          <w:bCs/>
          <w:iCs/>
        </w:rPr>
        <w:t xml:space="preserve">- </w:t>
      </w:r>
      <w:r w:rsidR="002F4386">
        <w:rPr>
          <w:iCs/>
        </w:rPr>
        <w:t>Received</w:t>
      </w:r>
      <w:r w:rsidR="00BF463F" w:rsidRPr="006D2DF9">
        <w:rPr>
          <w:iCs/>
        </w:rPr>
        <w:t xml:space="preserve"> </w:t>
      </w:r>
      <w:r w:rsidR="000945D6">
        <w:rPr>
          <w:iCs/>
        </w:rPr>
        <w:t>issuance</w:t>
      </w:r>
      <w:r w:rsidR="00607FC7">
        <w:rPr>
          <w:iCs/>
        </w:rPr>
        <w:t xml:space="preserve"> of Japanese patent</w:t>
      </w:r>
      <w:r w:rsidR="000945D6">
        <w:rPr>
          <w:iCs/>
        </w:rPr>
        <w:t xml:space="preserve"> </w:t>
      </w:r>
      <w:r w:rsidR="00607FC7">
        <w:rPr>
          <w:iCs/>
        </w:rPr>
        <w:t>for</w:t>
      </w:r>
      <w:r w:rsidR="000945D6">
        <w:rPr>
          <w:iCs/>
        </w:rPr>
        <w:t xml:space="preserve"> DMT410 </w:t>
      </w:r>
      <w:r w:rsidR="00607FC7">
        <w:rPr>
          <w:iCs/>
        </w:rPr>
        <w:t>for the treatment of hyperhidrosis</w:t>
      </w:r>
      <w:r w:rsidR="0026769D">
        <w:rPr>
          <w:iCs/>
        </w:rPr>
        <w:t xml:space="preserve"> </w:t>
      </w:r>
      <w:r w:rsidR="009B417F">
        <w:rPr>
          <w:iCs/>
        </w:rPr>
        <w:t>-</w:t>
      </w:r>
      <w:r w:rsidR="00C94E62" w:rsidRPr="006D2DF9">
        <w:rPr>
          <w:iCs/>
        </w:rPr>
        <w:t xml:space="preserve"> </w:t>
      </w:r>
    </w:p>
    <w:p w14:paraId="22757684" w14:textId="77777777" w:rsidR="002D4F28" w:rsidRDefault="002D4F28" w:rsidP="005B120C">
      <w:pPr>
        <w:spacing w:after="0"/>
        <w:rPr>
          <w:i/>
          <w:iCs/>
        </w:rPr>
      </w:pPr>
    </w:p>
    <w:p w14:paraId="000BD0CA" w14:textId="424C45D0" w:rsidR="00120478" w:rsidRDefault="0088733A" w:rsidP="005B120C">
      <w:pPr>
        <w:spacing w:after="0"/>
      </w:pPr>
      <w:r w:rsidRPr="009053C8">
        <w:rPr>
          <w:b/>
          <w:bCs/>
        </w:rPr>
        <w:t xml:space="preserve">SAN DIEGO, </w:t>
      </w:r>
      <w:r w:rsidR="00447863">
        <w:rPr>
          <w:b/>
          <w:bCs/>
        </w:rPr>
        <w:t>CA</w:t>
      </w:r>
      <w:r w:rsidR="00824EBB">
        <w:rPr>
          <w:b/>
          <w:bCs/>
        </w:rPr>
        <w:t>,</w:t>
      </w:r>
      <w:r w:rsidR="00447863">
        <w:rPr>
          <w:b/>
          <w:bCs/>
        </w:rPr>
        <w:t xml:space="preserve"> </w:t>
      </w:r>
      <w:r w:rsidR="00A65205">
        <w:rPr>
          <w:b/>
          <w:bCs/>
        </w:rPr>
        <w:t xml:space="preserve">May </w:t>
      </w:r>
      <w:r w:rsidR="00C31CE1">
        <w:rPr>
          <w:b/>
          <w:bCs/>
        </w:rPr>
        <w:t>15</w:t>
      </w:r>
      <w:r w:rsidR="00982772">
        <w:rPr>
          <w:b/>
          <w:bCs/>
        </w:rPr>
        <w:t>,</w:t>
      </w:r>
      <w:r w:rsidRPr="009053C8">
        <w:rPr>
          <w:b/>
          <w:bCs/>
        </w:rPr>
        <w:t xml:space="preserve"> 202</w:t>
      </w:r>
      <w:r w:rsidR="000945D6">
        <w:rPr>
          <w:b/>
          <w:bCs/>
        </w:rPr>
        <w:t>4</w:t>
      </w:r>
      <w:r w:rsidRPr="00F54BA2">
        <w:t xml:space="preserve"> </w:t>
      </w:r>
      <w:r w:rsidR="00C94E62">
        <w:t>–</w:t>
      </w:r>
      <w:r w:rsidRPr="00F54BA2">
        <w:t xml:space="preserve"> </w:t>
      </w:r>
      <w:hyperlink r:id="rId11" w:history="1">
        <w:r w:rsidRPr="00D20CD1">
          <w:rPr>
            <w:rStyle w:val="Hyperlink"/>
          </w:rPr>
          <w:t>Dermata Therapeutics</w:t>
        </w:r>
      </w:hyperlink>
      <w:r w:rsidR="000945D6">
        <w:rPr>
          <w:rStyle w:val="Hyperlink"/>
        </w:rPr>
        <w:t>, Inc.</w:t>
      </w:r>
      <w:r w:rsidRPr="00F54BA2">
        <w:t xml:space="preserve"> (N</w:t>
      </w:r>
      <w:r w:rsidR="00982772">
        <w:t>asdaq</w:t>
      </w:r>
      <w:r w:rsidRPr="00F54BA2">
        <w:t>:</w:t>
      </w:r>
      <w:r w:rsidR="00982772">
        <w:t xml:space="preserve"> </w:t>
      </w:r>
      <w:r w:rsidRPr="00F54BA2">
        <w:t>DRMA</w:t>
      </w:r>
      <w:r w:rsidR="00447863">
        <w:t>; DRMAW</w:t>
      </w:r>
      <w:r w:rsidRPr="00F54BA2">
        <w:t>)</w:t>
      </w:r>
      <w:r w:rsidR="00972800">
        <w:t xml:space="preserve"> </w:t>
      </w:r>
      <w:r w:rsidR="00972800" w:rsidRPr="00F54BA2">
        <w:t>(</w:t>
      </w:r>
      <w:r w:rsidR="00972800">
        <w:t>“</w:t>
      </w:r>
      <w:r w:rsidR="00972800" w:rsidRPr="00F54BA2">
        <w:t>Dermata,</w:t>
      </w:r>
      <w:r w:rsidR="00972800">
        <w:t>”</w:t>
      </w:r>
      <w:r w:rsidR="00972800" w:rsidRPr="00F54BA2">
        <w:t xml:space="preserve"> or the </w:t>
      </w:r>
      <w:r w:rsidR="00972800">
        <w:t>“</w:t>
      </w:r>
      <w:r w:rsidR="00972800" w:rsidRPr="00F54BA2">
        <w:t>Company</w:t>
      </w:r>
      <w:r w:rsidR="00972800">
        <w:t>”</w:t>
      </w:r>
      <w:r w:rsidR="00972800" w:rsidRPr="00F54BA2">
        <w:t>)</w:t>
      </w:r>
      <w:r w:rsidRPr="00F54BA2">
        <w:t xml:space="preserve">, a </w:t>
      </w:r>
      <w:r w:rsidR="000945D6">
        <w:t>late</w:t>
      </w:r>
      <w:r w:rsidRPr="00F54BA2">
        <w:t>-stage bio</w:t>
      </w:r>
      <w:r w:rsidR="00585022">
        <w:t>technology</w:t>
      </w:r>
      <w:r w:rsidRPr="00F54BA2">
        <w:t xml:space="preserve"> company</w:t>
      </w:r>
      <w:r w:rsidR="000945D6">
        <w:t xml:space="preserve"> focused</w:t>
      </w:r>
      <w:r w:rsidR="00C726FD" w:rsidRPr="00C726FD">
        <w:t xml:space="preserve"> on the treatment of medical and aesthetic skin </w:t>
      </w:r>
      <w:r w:rsidR="0097204B">
        <w:t xml:space="preserve">diseases and </w:t>
      </w:r>
      <w:r w:rsidR="00C726FD" w:rsidRPr="00C726FD">
        <w:t>conditions</w:t>
      </w:r>
      <w:r w:rsidR="00C726FD">
        <w:t xml:space="preserve">, today </w:t>
      </w:r>
      <w:r w:rsidR="00447863">
        <w:t xml:space="preserve">highlighted recent corporate progress and </w:t>
      </w:r>
      <w:r w:rsidR="00C726FD">
        <w:t xml:space="preserve">reported financial results for the </w:t>
      </w:r>
      <w:r w:rsidR="00A65205">
        <w:t>first quarter</w:t>
      </w:r>
      <w:r w:rsidR="003956BD">
        <w:t xml:space="preserve"> ended </w:t>
      </w:r>
      <w:r w:rsidR="00A65205">
        <w:t>March</w:t>
      </w:r>
      <w:r w:rsidR="000945D6">
        <w:t xml:space="preserve"> 31</w:t>
      </w:r>
      <w:r w:rsidR="003956BD">
        <w:t>, 202</w:t>
      </w:r>
      <w:r w:rsidR="00A65205">
        <w:t>4</w:t>
      </w:r>
      <w:r w:rsidR="00120478" w:rsidRPr="00120478">
        <w:t>.</w:t>
      </w:r>
    </w:p>
    <w:p w14:paraId="74076C31" w14:textId="5BCE9B58" w:rsidR="00A76F52" w:rsidRDefault="00A76F52" w:rsidP="005B120C">
      <w:pPr>
        <w:spacing w:after="0"/>
      </w:pPr>
    </w:p>
    <w:p w14:paraId="11D53E5B" w14:textId="74510A4C" w:rsidR="00C726FD" w:rsidRDefault="00A65205" w:rsidP="005B120C">
      <w:pPr>
        <w:spacing w:after="0"/>
      </w:pPr>
      <w:r>
        <w:t>“We are very encouraged by the enrollment numbers to date</w:t>
      </w:r>
      <w:r w:rsidR="00B549AC">
        <w:t xml:space="preserve"> of our STAR-1 clinical trial in acne</w:t>
      </w:r>
      <w:r>
        <w:t xml:space="preserve"> and </w:t>
      </w:r>
      <w:r w:rsidR="001E03A8">
        <w:t xml:space="preserve">we </w:t>
      </w:r>
      <w:r>
        <w:t>are on track to complete enrollment by the end of 2024</w:t>
      </w:r>
      <w:r w:rsidR="00274CC4">
        <w:t>,” commented Gerry Proehl, Dermata’s Chairman, President, and Chief Executive Officer. “</w:t>
      </w:r>
      <w:r>
        <w:t xml:space="preserve">With very few </w:t>
      </w:r>
      <w:r w:rsidR="00A864EF">
        <w:t xml:space="preserve">competing </w:t>
      </w:r>
      <w:r w:rsidR="00A7362C">
        <w:t xml:space="preserve">Phase 3 </w:t>
      </w:r>
      <w:r>
        <w:t xml:space="preserve">acne studies, we are confident in our </w:t>
      </w:r>
      <w:r w:rsidR="00B549AC">
        <w:t>team’s</w:t>
      </w:r>
      <w:r>
        <w:t xml:space="preserve"> ability to get our STAR-1 study fully enrolled</w:t>
      </w:r>
      <w:r w:rsidR="00000D29">
        <w:t xml:space="preserve"> this year,</w:t>
      </w:r>
      <w:r>
        <w:t xml:space="preserve"> with topline data expected in the first quarter of 2025. If positive, </w:t>
      </w:r>
      <w:r w:rsidR="0047163C">
        <w:t xml:space="preserve">we believe </w:t>
      </w:r>
      <w:r>
        <w:t>this would put us in a strong position to initiate the second Phase 3 study</w:t>
      </w:r>
      <w:r w:rsidR="00B549AC">
        <w:t xml:space="preserve"> quickly thereafter</w:t>
      </w:r>
      <w:r w:rsidR="00000D29">
        <w:t>,</w:t>
      </w:r>
      <w:r w:rsidR="00B549AC">
        <w:t xml:space="preserve"> while </w:t>
      </w:r>
      <w:r w:rsidR="0047163C">
        <w:t xml:space="preserve">we </w:t>
      </w:r>
      <w:r w:rsidR="00B549AC">
        <w:t xml:space="preserve">also </w:t>
      </w:r>
      <w:r w:rsidR="0047163C">
        <w:t xml:space="preserve">explore </w:t>
      </w:r>
      <w:r w:rsidR="00B549AC">
        <w:t>potential partnership opportunities for DMT310</w:t>
      </w:r>
      <w:r w:rsidR="00274CC4">
        <w:t xml:space="preserve">,” </w:t>
      </w:r>
      <w:r w:rsidR="001B4988">
        <w:t>continued</w:t>
      </w:r>
      <w:r w:rsidR="00274CC4">
        <w:t xml:space="preserve"> Mr. Proehl.</w:t>
      </w:r>
      <w:r w:rsidR="001B4988">
        <w:t xml:space="preserve"> “Based on recent findings in the acne space, we believe</w:t>
      </w:r>
      <w:r w:rsidR="00BD60B4">
        <w:t xml:space="preserve"> </w:t>
      </w:r>
      <w:r w:rsidR="001B4988">
        <w:t xml:space="preserve">if DMT310 is approved </w:t>
      </w:r>
      <w:r w:rsidR="001E03A8">
        <w:t xml:space="preserve">as a </w:t>
      </w:r>
      <w:r w:rsidR="00DD1FB0">
        <w:t>once-weekly</w:t>
      </w:r>
      <w:r w:rsidR="001E03A8">
        <w:t xml:space="preserve"> topical acne treatment, </w:t>
      </w:r>
      <w:r w:rsidR="001B4988">
        <w:t>it could be a first</w:t>
      </w:r>
      <w:r w:rsidR="000D3D05">
        <w:t>-</w:t>
      </w:r>
      <w:r w:rsidR="001B4988">
        <w:t>line treatment option for the</w:t>
      </w:r>
      <w:r w:rsidR="00DD1FB0">
        <w:t xml:space="preserve"> over 32</w:t>
      </w:r>
      <w:r w:rsidR="001B4988">
        <w:t xml:space="preserve"> million </w:t>
      </w:r>
      <w:r w:rsidR="00DD1FB0">
        <w:t xml:space="preserve">diagnosed </w:t>
      </w:r>
      <w:r w:rsidR="001B4988">
        <w:t>patients suffering from acne</w:t>
      </w:r>
      <w:r w:rsidR="00DD1FB0">
        <w:t xml:space="preserve"> in the US</w:t>
      </w:r>
      <w:r w:rsidR="001B4988">
        <w:t>,” concluded Mr. Proehl.</w:t>
      </w:r>
    </w:p>
    <w:p w14:paraId="5B4E24E3" w14:textId="77777777" w:rsidR="00BB5BA8" w:rsidRDefault="00BB5BA8" w:rsidP="00BB5BA8">
      <w:pPr>
        <w:spacing w:after="0"/>
      </w:pPr>
    </w:p>
    <w:p w14:paraId="5C440DB7" w14:textId="318C8977" w:rsidR="007516FE" w:rsidRPr="00F41E7F" w:rsidRDefault="00C726FD" w:rsidP="00207D75">
      <w:pPr>
        <w:spacing w:after="0"/>
      </w:pPr>
      <w:r w:rsidRPr="00C726FD">
        <w:rPr>
          <w:b/>
          <w:bCs/>
        </w:rPr>
        <w:t>Anticipated Upcoming Milestone</w:t>
      </w:r>
      <w:r w:rsidR="003E2849" w:rsidRPr="00EA7ED8">
        <w:rPr>
          <w:b/>
          <w:bCs/>
        </w:rPr>
        <w:t>s</w:t>
      </w:r>
    </w:p>
    <w:p w14:paraId="32A1F39C" w14:textId="77777777" w:rsidR="00A76F52" w:rsidRDefault="00A76F52" w:rsidP="005B120C">
      <w:pPr>
        <w:spacing w:after="0"/>
      </w:pPr>
    </w:p>
    <w:p w14:paraId="6E72AC89" w14:textId="5D88936C" w:rsidR="00B55C34" w:rsidRDefault="00505476" w:rsidP="00B55C34">
      <w:pPr>
        <w:pStyle w:val="ListParagraph"/>
        <w:numPr>
          <w:ilvl w:val="0"/>
          <w:numId w:val="1"/>
        </w:numPr>
        <w:spacing w:after="0"/>
      </w:pPr>
      <w:r>
        <w:rPr>
          <w:b/>
          <w:bCs/>
        </w:rPr>
        <w:t>Complete</w:t>
      </w:r>
      <w:r w:rsidR="00BA7AC0">
        <w:rPr>
          <w:b/>
          <w:bCs/>
        </w:rPr>
        <w:t xml:space="preserve"> </w:t>
      </w:r>
      <w:r w:rsidR="00C726FD" w:rsidRPr="00A76F52">
        <w:rPr>
          <w:b/>
          <w:bCs/>
        </w:rPr>
        <w:t>DMT310 Phase 3</w:t>
      </w:r>
      <w:r>
        <w:rPr>
          <w:b/>
          <w:bCs/>
        </w:rPr>
        <w:t xml:space="preserve"> STAR-1 </w:t>
      </w:r>
      <w:r w:rsidR="00B50584">
        <w:rPr>
          <w:b/>
          <w:bCs/>
        </w:rPr>
        <w:t>clinical trial</w:t>
      </w:r>
      <w:r w:rsidR="00B50584" w:rsidRPr="00A76F52">
        <w:rPr>
          <w:b/>
          <w:bCs/>
        </w:rPr>
        <w:t xml:space="preserve"> </w:t>
      </w:r>
      <w:r w:rsidR="00C726FD" w:rsidRPr="00A76F52">
        <w:rPr>
          <w:b/>
          <w:bCs/>
        </w:rPr>
        <w:t xml:space="preserve">in </w:t>
      </w:r>
      <w:r w:rsidR="00AD0C63">
        <w:rPr>
          <w:b/>
          <w:bCs/>
        </w:rPr>
        <w:t>m</w:t>
      </w:r>
      <w:r w:rsidR="00C726FD" w:rsidRPr="00A76F52">
        <w:rPr>
          <w:b/>
          <w:bCs/>
        </w:rPr>
        <w:t>oderate-to-</w:t>
      </w:r>
      <w:r w:rsidR="00AD0C63">
        <w:rPr>
          <w:b/>
          <w:bCs/>
        </w:rPr>
        <w:t>s</w:t>
      </w:r>
      <w:r w:rsidR="00C726FD" w:rsidRPr="00A76F52">
        <w:rPr>
          <w:b/>
          <w:bCs/>
        </w:rPr>
        <w:t xml:space="preserve">evere </w:t>
      </w:r>
      <w:r w:rsidR="00AD0C63">
        <w:rPr>
          <w:b/>
          <w:bCs/>
        </w:rPr>
        <w:t>a</w:t>
      </w:r>
      <w:r w:rsidR="0067240D" w:rsidRPr="00A76F52">
        <w:rPr>
          <w:b/>
          <w:bCs/>
        </w:rPr>
        <w:t>cne</w:t>
      </w:r>
      <w:r w:rsidR="00C726FD" w:rsidRPr="00EA7ED8">
        <w:rPr>
          <w:b/>
          <w:bCs/>
        </w:rPr>
        <w:t>.</w:t>
      </w:r>
      <w:r w:rsidR="00C726FD">
        <w:t xml:space="preserve"> </w:t>
      </w:r>
      <w:r>
        <w:t xml:space="preserve">Based on enrollment projections, Dermata expects to receive topline results from STAR-1 in the first quarter of 2025. </w:t>
      </w:r>
      <w:r w:rsidR="00604682">
        <w:t xml:space="preserve">STAR-1 </w:t>
      </w:r>
      <w:r w:rsidR="00A20236">
        <w:t>is</w:t>
      </w:r>
      <w:r w:rsidR="00604682">
        <w:t xml:space="preserve"> the first of two </w:t>
      </w:r>
      <w:r w:rsidR="00BF463F">
        <w:t xml:space="preserve">Phase 3 </w:t>
      </w:r>
      <w:r w:rsidR="00E47190">
        <w:t xml:space="preserve">clinical </w:t>
      </w:r>
      <w:r w:rsidR="000D3D05">
        <w:t xml:space="preserve">trials, </w:t>
      </w:r>
      <w:r w:rsidR="00403836">
        <w:t>plus a long-term extension study</w:t>
      </w:r>
      <w:r w:rsidR="000D3D05">
        <w:t>,</w:t>
      </w:r>
      <w:r w:rsidR="00604682">
        <w:t xml:space="preserve"> the Company will need to complete</w:t>
      </w:r>
      <w:r w:rsidR="001F1FD7">
        <w:t xml:space="preserve"> prior to filing a</w:t>
      </w:r>
      <w:r w:rsidR="00111C17">
        <w:t xml:space="preserve"> new drug application</w:t>
      </w:r>
      <w:r w:rsidR="00B549AC">
        <w:t>.</w:t>
      </w:r>
    </w:p>
    <w:p w14:paraId="22615C62" w14:textId="77777777" w:rsidR="00B55C34" w:rsidRDefault="00B55C34" w:rsidP="00B55C34">
      <w:pPr>
        <w:pStyle w:val="ListParagraph"/>
        <w:spacing w:after="0"/>
      </w:pPr>
    </w:p>
    <w:p w14:paraId="5C3D2A72" w14:textId="5A4F6775" w:rsidR="006674EF" w:rsidRPr="008D564D" w:rsidRDefault="008D564D" w:rsidP="006674EF">
      <w:pPr>
        <w:pStyle w:val="ListParagraph"/>
        <w:numPr>
          <w:ilvl w:val="0"/>
          <w:numId w:val="1"/>
        </w:numPr>
        <w:spacing w:after="0"/>
      </w:pPr>
      <w:r w:rsidRPr="00B55C34">
        <w:rPr>
          <w:b/>
          <w:bCs/>
        </w:rPr>
        <w:t>DMT410 Partnership Discussions.</w:t>
      </w:r>
      <w:r>
        <w:t xml:space="preserve"> </w:t>
      </w:r>
      <w:r w:rsidR="00036520">
        <w:t xml:space="preserve">The Company </w:t>
      </w:r>
      <w:r w:rsidR="00F974F6">
        <w:t xml:space="preserve">continues to make progress on </w:t>
      </w:r>
      <w:r w:rsidR="00E47190">
        <w:t xml:space="preserve">partnership discussions </w:t>
      </w:r>
      <w:r w:rsidR="00036520">
        <w:t xml:space="preserve">for </w:t>
      </w:r>
      <w:r w:rsidR="00E47190">
        <w:t>its DMT410</w:t>
      </w:r>
      <w:r w:rsidR="00036520">
        <w:t xml:space="preserve"> program</w:t>
      </w:r>
      <w:r w:rsidR="00E47190">
        <w:t xml:space="preserve"> </w:t>
      </w:r>
      <w:r>
        <w:t>for the topical delivery of botulinum toxin</w:t>
      </w:r>
      <w:r w:rsidR="00BF463F">
        <w:t>.</w:t>
      </w:r>
      <w:r w:rsidR="00A218A2">
        <w:t xml:space="preserve"> </w:t>
      </w:r>
      <w:r w:rsidR="006674EF">
        <w:t xml:space="preserve">DMT410 is the Company’s combination treatment regimen that uses the unique mechanical features of the Company’s </w:t>
      </w:r>
      <w:r w:rsidR="006674EF" w:rsidRPr="00B22163">
        <w:rPr>
          <w:i/>
          <w:iCs/>
        </w:rPr>
        <w:t>Spongilla</w:t>
      </w:r>
      <w:r w:rsidR="006674EF">
        <w:t xml:space="preserve"> technology to facilitate the intradermal delivery of botulinum toxin by topical application rather than through multiple injections with a needle. The Company has successfully completed proof-of-concept Phase 1 clinical trials using DMT410 in combination with BOTOX® for the treatment of primary axillary hyperhidrosis and for the treatment of multiple aesthetic skin conditions.</w:t>
      </w:r>
    </w:p>
    <w:p w14:paraId="0C03B875" w14:textId="77777777" w:rsidR="00C726FD" w:rsidRDefault="00C726FD" w:rsidP="00B55C34">
      <w:pPr>
        <w:pStyle w:val="ListParagraph"/>
        <w:spacing w:after="0"/>
      </w:pPr>
    </w:p>
    <w:p w14:paraId="45013454" w14:textId="4EAADFF9" w:rsidR="00C726FD" w:rsidRPr="00C726FD" w:rsidRDefault="00B549AC" w:rsidP="005B120C">
      <w:pPr>
        <w:spacing w:after="0"/>
        <w:rPr>
          <w:b/>
          <w:bCs/>
        </w:rPr>
      </w:pPr>
      <w:r>
        <w:rPr>
          <w:b/>
          <w:bCs/>
        </w:rPr>
        <w:t>First Quarter 2024</w:t>
      </w:r>
      <w:r w:rsidR="00C726FD" w:rsidRPr="00C726FD">
        <w:rPr>
          <w:b/>
          <w:bCs/>
        </w:rPr>
        <w:t xml:space="preserve"> Financial Results</w:t>
      </w:r>
    </w:p>
    <w:p w14:paraId="5A415268" w14:textId="77777777" w:rsidR="00C726FD" w:rsidRDefault="00C726FD" w:rsidP="005B120C">
      <w:pPr>
        <w:spacing w:after="0"/>
      </w:pPr>
    </w:p>
    <w:p w14:paraId="17033C19" w14:textId="5B8C8B1F" w:rsidR="00C726FD" w:rsidRPr="00174FCA" w:rsidRDefault="00C726FD" w:rsidP="005B120C">
      <w:pPr>
        <w:spacing w:after="0"/>
        <w:rPr>
          <w:rFonts w:cstheme="minorHAnsi"/>
        </w:rPr>
      </w:pPr>
      <w:r w:rsidRPr="00174FCA">
        <w:rPr>
          <w:rFonts w:cstheme="minorHAnsi"/>
        </w:rPr>
        <w:t xml:space="preserve">As of </w:t>
      </w:r>
      <w:r w:rsidR="00B549AC">
        <w:rPr>
          <w:rFonts w:cstheme="minorHAnsi"/>
        </w:rPr>
        <w:t>March 31, 2024</w:t>
      </w:r>
      <w:r w:rsidR="00F33A55" w:rsidRPr="00174FCA">
        <w:rPr>
          <w:rFonts w:cstheme="minorHAnsi"/>
        </w:rPr>
        <w:t xml:space="preserve">, </w:t>
      </w:r>
      <w:r w:rsidR="00C015A2" w:rsidRPr="00174FCA">
        <w:rPr>
          <w:rFonts w:cstheme="minorHAnsi"/>
        </w:rPr>
        <w:t>the Company</w:t>
      </w:r>
      <w:r w:rsidR="00F33A55" w:rsidRPr="00174FCA">
        <w:rPr>
          <w:rFonts w:cstheme="minorHAnsi"/>
        </w:rPr>
        <w:t xml:space="preserve"> had</w:t>
      </w:r>
      <w:r w:rsidR="00C015A2" w:rsidRPr="00174FCA">
        <w:rPr>
          <w:rFonts w:cstheme="minorHAnsi"/>
        </w:rPr>
        <w:t xml:space="preserve"> </w:t>
      </w:r>
      <w:r w:rsidR="00F33A55" w:rsidRPr="00174FCA">
        <w:rPr>
          <w:rFonts w:cstheme="minorHAnsi"/>
        </w:rPr>
        <w:t>$</w:t>
      </w:r>
      <w:r w:rsidR="00A7362C">
        <w:rPr>
          <w:rFonts w:cstheme="minorHAnsi"/>
        </w:rPr>
        <w:t>4.7</w:t>
      </w:r>
      <w:r w:rsidR="003005F1" w:rsidRPr="00174FCA">
        <w:rPr>
          <w:rFonts w:cstheme="minorHAnsi"/>
        </w:rPr>
        <w:t xml:space="preserve"> </w:t>
      </w:r>
      <w:r w:rsidR="00F33A55" w:rsidRPr="00174FCA">
        <w:rPr>
          <w:rFonts w:cstheme="minorHAnsi"/>
        </w:rPr>
        <w:t>million in cash and cash equivalents, compared to $</w:t>
      </w:r>
      <w:r w:rsidR="00A7362C">
        <w:rPr>
          <w:rFonts w:cstheme="minorHAnsi"/>
        </w:rPr>
        <w:t>7.4</w:t>
      </w:r>
      <w:r w:rsidRPr="00174FCA">
        <w:rPr>
          <w:rFonts w:cstheme="minorHAnsi"/>
        </w:rPr>
        <w:t xml:space="preserve"> million as of </w:t>
      </w:r>
      <w:r w:rsidR="00A7362C">
        <w:rPr>
          <w:rFonts w:cstheme="minorHAnsi"/>
        </w:rPr>
        <w:t xml:space="preserve">December </w:t>
      </w:r>
      <w:r w:rsidR="00B549AC">
        <w:rPr>
          <w:rFonts w:cstheme="minorHAnsi"/>
        </w:rPr>
        <w:t>31, 2023</w:t>
      </w:r>
      <w:r w:rsidRPr="00174FCA">
        <w:rPr>
          <w:rFonts w:cstheme="minorHAnsi"/>
        </w:rPr>
        <w:t xml:space="preserve">. </w:t>
      </w:r>
      <w:r w:rsidR="00F33A55" w:rsidRPr="00174FCA">
        <w:rPr>
          <w:rFonts w:cstheme="minorHAnsi"/>
        </w:rPr>
        <w:t xml:space="preserve">The </w:t>
      </w:r>
      <w:r w:rsidR="00A7362C">
        <w:rPr>
          <w:rFonts w:cstheme="minorHAnsi"/>
        </w:rPr>
        <w:t>de</w:t>
      </w:r>
      <w:r w:rsidR="00A7362C" w:rsidRPr="00174FCA">
        <w:rPr>
          <w:rFonts w:cstheme="minorHAnsi"/>
        </w:rPr>
        <w:t xml:space="preserve">crease </w:t>
      </w:r>
      <w:r w:rsidR="00F33A55" w:rsidRPr="00174FCA">
        <w:rPr>
          <w:rFonts w:cstheme="minorHAnsi"/>
        </w:rPr>
        <w:t>in cash and cash equivalents resulted from $</w:t>
      </w:r>
      <w:r w:rsidR="00A7362C">
        <w:rPr>
          <w:rFonts w:cstheme="minorHAnsi"/>
        </w:rPr>
        <w:t>3.</w:t>
      </w:r>
      <w:r w:rsidR="005B6C6D">
        <w:rPr>
          <w:rFonts w:cstheme="minorHAnsi"/>
        </w:rPr>
        <w:t>1</w:t>
      </w:r>
      <w:r w:rsidR="005B6C6D" w:rsidRPr="00174FCA">
        <w:rPr>
          <w:rFonts w:cstheme="minorHAnsi"/>
        </w:rPr>
        <w:t xml:space="preserve"> </w:t>
      </w:r>
      <w:r w:rsidR="00F33A55" w:rsidRPr="00174FCA">
        <w:rPr>
          <w:rFonts w:cstheme="minorHAnsi"/>
        </w:rPr>
        <w:t xml:space="preserve">million </w:t>
      </w:r>
      <w:r w:rsidR="00A7362C">
        <w:rPr>
          <w:rFonts w:cstheme="minorHAnsi"/>
        </w:rPr>
        <w:t xml:space="preserve">of net loss for the </w:t>
      </w:r>
      <w:r w:rsidR="003A1F5B">
        <w:rPr>
          <w:rFonts w:cstheme="minorHAnsi"/>
        </w:rPr>
        <w:t>quarter</w:t>
      </w:r>
      <w:r w:rsidR="00A7362C">
        <w:rPr>
          <w:rFonts w:cstheme="minorHAnsi"/>
        </w:rPr>
        <w:t xml:space="preserve"> ended March 31, </w:t>
      </w:r>
      <w:r w:rsidR="00D74E40">
        <w:rPr>
          <w:rFonts w:cstheme="minorHAnsi"/>
        </w:rPr>
        <w:t>2024,</w:t>
      </w:r>
      <w:r w:rsidR="005B6C6D">
        <w:rPr>
          <w:rFonts w:cstheme="minorHAnsi"/>
        </w:rPr>
        <w:t xml:space="preserve"> and $0.2 million of decreased accrued liabilities</w:t>
      </w:r>
      <w:r w:rsidR="00A7362C">
        <w:rPr>
          <w:rFonts w:cstheme="minorHAnsi"/>
        </w:rPr>
        <w:t xml:space="preserve">, offset by </w:t>
      </w:r>
      <w:r w:rsidR="00F33A55" w:rsidRPr="00174FCA">
        <w:rPr>
          <w:rFonts w:cstheme="minorHAnsi"/>
        </w:rPr>
        <w:t>$</w:t>
      </w:r>
      <w:r w:rsidR="00A7362C">
        <w:rPr>
          <w:rFonts w:cstheme="minorHAnsi"/>
        </w:rPr>
        <w:t>0.6</w:t>
      </w:r>
      <w:r w:rsidR="00F33A55" w:rsidRPr="00174FCA">
        <w:rPr>
          <w:rFonts w:cstheme="minorHAnsi"/>
        </w:rPr>
        <w:t xml:space="preserve"> million </w:t>
      </w:r>
      <w:r w:rsidR="00A7362C">
        <w:rPr>
          <w:rFonts w:cstheme="minorHAnsi"/>
        </w:rPr>
        <w:t xml:space="preserve">in stock-based compensation expense. </w:t>
      </w:r>
      <w:r w:rsidR="00C015A2" w:rsidRPr="00174FCA">
        <w:rPr>
          <w:rFonts w:cstheme="minorHAnsi"/>
        </w:rPr>
        <w:t>The Company</w:t>
      </w:r>
      <w:r w:rsidRPr="00174FCA">
        <w:rPr>
          <w:rFonts w:cstheme="minorHAnsi"/>
        </w:rPr>
        <w:t xml:space="preserve"> expects its current cash </w:t>
      </w:r>
      <w:r w:rsidR="00C35C98" w:rsidRPr="00174FCA">
        <w:rPr>
          <w:rFonts w:cstheme="minorHAnsi"/>
        </w:rPr>
        <w:t xml:space="preserve">resources </w:t>
      </w:r>
      <w:r w:rsidR="00442259" w:rsidRPr="00174FCA">
        <w:rPr>
          <w:rFonts w:cstheme="minorHAnsi"/>
        </w:rPr>
        <w:t>to be</w:t>
      </w:r>
      <w:r w:rsidRPr="00174FCA">
        <w:rPr>
          <w:rFonts w:cstheme="minorHAnsi"/>
        </w:rPr>
        <w:t xml:space="preserve"> sufficient to fund operations into </w:t>
      </w:r>
      <w:r w:rsidR="00F33A55" w:rsidRPr="00174FCA">
        <w:rPr>
          <w:rFonts w:cstheme="minorHAnsi"/>
        </w:rPr>
        <w:t xml:space="preserve">the </w:t>
      </w:r>
      <w:r w:rsidR="00442259" w:rsidRPr="00174FCA">
        <w:rPr>
          <w:rFonts w:cstheme="minorHAnsi"/>
        </w:rPr>
        <w:t>third</w:t>
      </w:r>
      <w:r w:rsidR="00BF463F" w:rsidRPr="00174FCA">
        <w:rPr>
          <w:rFonts w:cstheme="minorHAnsi"/>
        </w:rPr>
        <w:t xml:space="preserve"> </w:t>
      </w:r>
      <w:r w:rsidR="00F33A55" w:rsidRPr="00174FCA">
        <w:rPr>
          <w:rFonts w:cstheme="minorHAnsi"/>
        </w:rPr>
        <w:t>quarter of 2024</w:t>
      </w:r>
      <w:r w:rsidRPr="00174FCA">
        <w:rPr>
          <w:rFonts w:cstheme="minorHAnsi"/>
        </w:rPr>
        <w:t>.</w:t>
      </w:r>
    </w:p>
    <w:p w14:paraId="7225362A" w14:textId="77777777" w:rsidR="00C726FD" w:rsidRPr="00174FCA" w:rsidRDefault="00C726FD" w:rsidP="005B120C">
      <w:pPr>
        <w:spacing w:after="0"/>
        <w:rPr>
          <w:rFonts w:cstheme="minorHAnsi"/>
        </w:rPr>
      </w:pPr>
    </w:p>
    <w:p w14:paraId="64B5410E" w14:textId="01D73D90" w:rsidR="00442259" w:rsidRPr="00174FCA" w:rsidRDefault="00C726FD" w:rsidP="005B120C">
      <w:pPr>
        <w:spacing w:after="0"/>
        <w:rPr>
          <w:rFonts w:cstheme="minorHAnsi"/>
        </w:rPr>
      </w:pPr>
      <w:r w:rsidRPr="00174FCA">
        <w:rPr>
          <w:rFonts w:cstheme="minorHAnsi"/>
        </w:rPr>
        <w:t>Research and development expenses were $</w:t>
      </w:r>
      <w:r w:rsidR="005B6C6D">
        <w:rPr>
          <w:rFonts w:cstheme="minorHAnsi"/>
        </w:rPr>
        <w:t>1.6</w:t>
      </w:r>
      <w:r w:rsidRPr="00174FCA">
        <w:rPr>
          <w:rFonts w:cstheme="minorHAnsi"/>
        </w:rPr>
        <w:t xml:space="preserve"> million for the </w:t>
      </w:r>
      <w:r w:rsidR="00000D29">
        <w:rPr>
          <w:rFonts w:cstheme="minorHAnsi"/>
        </w:rPr>
        <w:t>quarter</w:t>
      </w:r>
      <w:r w:rsidR="00D24BA2" w:rsidRPr="00174FCA">
        <w:rPr>
          <w:rFonts w:cstheme="minorHAnsi"/>
        </w:rPr>
        <w:t xml:space="preserve"> </w:t>
      </w:r>
      <w:r w:rsidR="00BB56BF" w:rsidRPr="00174FCA">
        <w:rPr>
          <w:rFonts w:cstheme="minorHAnsi"/>
        </w:rPr>
        <w:t xml:space="preserve">ended </w:t>
      </w:r>
      <w:r w:rsidR="00000D29">
        <w:rPr>
          <w:rFonts w:cstheme="minorHAnsi"/>
        </w:rPr>
        <w:t>March 31, 2024</w:t>
      </w:r>
      <w:r w:rsidR="00BB56BF" w:rsidRPr="00174FCA">
        <w:rPr>
          <w:rFonts w:cstheme="minorHAnsi"/>
        </w:rPr>
        <w:t xml:space="preserve">, </w:t>
      </w:r>
      <w:r w:rsidRPr="00174FCA">
        <w:rPr>
          <w:rFonts w:cstheme="minorHAnsi"/>
        </w:rPr>
        <w:t>compared to $</w:t>
      </w:r>
      <w:r w:rsidR="003A1F5B">
        <w:rPr>
          <w:rFonts w:cstheme="minorHAnsi"/>
        </w:rPr>
        <w:t>1.2</w:t>
      </w:r>
      <w:r w:rsidRPr="00174FCA">
        <w:rPr>
          <w:rFonts w:cstheme="minorHAnsi"/>
        </w:rPr>
        <w:t xml:space="preserve"> million for the </w:t>
      </w:r>
      <w:r w:rsidR="00000D29">
        <w:rPr>
          <w:rFonts w:cstheme="minorHAnsi"/>
        </w:rPr>
        <w:t>quarter</w:t>
      </w:r>
      <w:r w:rsidR="00D24BA2" w:rsidRPr="00174FCA">
        <w:rPr>
          <w:rFonts w:cstheme="minorHAnsi"/>
        </w:rPr>
        <w:t xml:space="preserve"> ended </w:t>
      </w:r>
      <w:r w:rsidR="00000D29">
        <w:rPr>
          <w:rFonts w:cstheme="minorHAnsi"/>
        </w:rPr>
        <w:t>March 31, 2023</w:t>
      </w:r>
      <w:r w:rsidRPr="00174FCA">
        <w:rPr>
          <w:rFonts w:cstheme="minorHAnsi"/>
        </w:rPr>
        <w:t xml:space="preserve">. </w:t>
      </w:r>
      <w:r w:rsidR="00442259" w:rsidRPr="00174FCA">
        <w:rPr>
          <w:rFonts w:cstheme="minorHAnsi"/>
        </w:rPr>
        <w:t xml:space="preserve">The </w:t>
      </w:r>
      <w:r w:rsidR="003A1F5B">
        <w:rPr>
          <w:rFonts w:cstheme="minorHAnsi"/>
        </w:rPr>
        <w:t>in</w:t>
      </w:r>
      <w:r w:rsidR="003A1F5B" w:rsidRPr="00174FCA">
        <w:rPr>
          <w:rFonts w:cstheme="minorHAnsi"/>
        </w:rPr>
        <w:t xml:space="preserve">crease </w:t>
      </w:r>
      <w:r w:rsidR="00442259" w:rsidRPr="00174FCA">
        <w:rPr>
          <w:rFonts w:cstheme="minorHAnsi"/>
        </w:rPr>
        <w:t xml:space="preserve">in research and development expense was the result of </w:t>
      </w:r>
      <w:r w:rsidR="003A1F5B">
        <w:rPr>
          <w:rFonts w:cstheme="minorHAnsi"/>
        </w:rPr>
        <w:t>in</w:t>
      </w:r>
      <w:r w:rsidR="003A1F5B" w:rsidRPr="00174FCA">
        <w:rPr>
          <w:rFonts w:cstheme="minorHAnsi"/>
        </w:rPr>
        <w:t xml:space="preserve">creased </w:t>
      </w:r>
      <w:r w:rsidR="00442259" w:rsidRPr="00174FCA">
        <w:rPr>
          <w:rFonts w:cstheme="minorHAnsi"/>
        </w:rPr>
        <w:t xml:space="preserve">clinical trial </w:t>
      </w:r>
      <w:r w:rsidR="003A1F5B">
        <w:rPr>
          <w:rFonts w:cstheme="minorHAnsi"/>
        </w:rPr>
        <w:t xml:space="preserve">expenses from the Company’s STAR-1 clinical study </w:t>
      </w:r>
      <w:r w:rsidR="000D3D05">
        <w:rPr>
          <w:rFonts w:cstheme="minorHAnsi"/>
        </w:rPr>
        <w:t xml:space="preserve">as well as </w:t>
      </w:r>
      <w:r w:rsidR="003A1F5B">
        <w:rPr>
          <w:rFonts w:cstheme="minorHAnsi"/>
        </w:rPr>
        <w:t xml:space="preserve">stock-based compensation, offset by decreased </w:t>
      </w:r>
      <w:r w:rsidR="00442259" w:rsidRPr="00174FCA">
        <w:rPr>
          <w:rFonts w:cstheme="minorHAnsi"/>
        </w:rPr>
        <w:t>non-clinical</w:t>
      </w:r>
      <w:r w:rsidR="003A1F5B">
        <w:rPr>
          <w:rFonts w:cstheme="minorHAnsi"/>
        </w:rPr>
        <w:t xml:space="preserve"> and </w:t>
      </w:r>
      <w:r w:rsidR="00442259" w:rsidRPr="00174FCA">
        <w:rPr>
          <w:rFonts w:cstheme="minorHAnsi"/>
        </w:rPr>
        <w:t>chemistry, manufacturing, and control expenses</w:t>
      </w:r>
      <w:r w:rsidR="003A1F5B">
        <w:rPr>
          <w:rFonts w:cstheme="minorHAnsi"/>
        </w:rPr>
        <w:t xml:space="preserve"> during the first quarter of 2024. </w:t>
      </w:r>
      <w:r w:rsidR="009F1CD9">
        <w:rPr>
          <w:rFonts w:cstheme="minorHAnsi"/>
        </w:rPr>
        <w:t xml:space="preserve">Stock-based compensation attributable to research and development totaled $0.2 million for the </w:t>
      </w:r>
      <w:r w:rsidR="00000D29">
        <w:rPr>
          <w:rFonts w:cstheme="minorHAnsi"/>
        </w:rPr>
        <w:t>quarter</w:t>
      </w:r>
      <w:r w:rsidR="009F1CD9">
        <w:rPr>
          <w:rFonts w:cstheme="minorHAnsi"/>
        </w:rPr>
        <w:t xml:space="preserve"> ended </w:t>
      </w:r>
      <w:r w:rsidR="00000D29">
        <w:rPr>
          <w:rFonts w:cstheme="minorHAnsi"/>
        </w:rPr>
        <w:t>March 31, 2024</w:t>
      </w:r>
      <w:r w:rsidR="003A1F5B">
        <w:rPr>
          <w:rFonts w:cstheme="minorHAnsi"/>
        </w:rPr>
        <w:t>,</w:t>
      </w:r>
      <w:r w:rsidR="00000D29">
        <w:rPr>
          <w:rFonts w:cstheme="minorHAnsi"/>
        </w:rPr>
        <w:t xml:space="preserve"> and</w:t>
      </w:r>
      <w:r w:rsidR="000D3D05">
        <w:rPr>
          <w:rFonts w:cstheme="minorHAnsi"/>
        </w:rPr>
        <w:t xml:space="preserve"> less than</w:t>
      </w:r>
      <w:r w:rsidR="003A1F5B">
        <w:rPr>
          <w:rFonts w:cstheme="minorHAnsi"/>
        </w:rPr>
        <w:t xml:space="preserve"> $</w:t>
      </w:r>
      <w:r w:rsidR="000D3D05">
        <w:rPr>
          <w:rFonts w:cstheme="minorHAnsi"/>
        </w:rPr>
        <w:t>0.1</w:t>
      </w:r>
      <w:r w:rsidR="000D3D05" w:rsidDel="000D3D05">
        <w:rPr>
          <w:rFonts w:cstheme="minorHAnsi"/>
        </w:rPr>
        <w:t xml:space="preserve"> </w:t>
      </w:r>
      <w:r w:rsidR="003A1F5B">
        <w:rPr>
          <w:rFonts w:cstheme="minorHAnsi"/>
        </w:rPr>
        <w:t>million for the quarter ended March 31,</w:t>
      </w:r>
      <w:r w:rsidR="00000D29">
        <w:rPr>
          <w:rFonts w:cstheme="minorHAnsi"/>
        </w:rPr>
        <w:t xml:space="preserve"> 2023, respectively</w:t>
      </w:r>
      <w:r w:rsidR="009F1CD9">
        <w:rPr>
          <w:rFonts w:cstheme="minorHAnsi"/>
        </w:rPr>
        <w:t xml:space="preserve">. </w:t>
      </w:r>
    </w:p>
    <w:p w14:paraId="411A305E" w14:textId="14323202" w:rsidR="001702D6" w:rsidRPr="00174FCA" w:rsidRDefault="008055E5" w:rsidP="00174FCA">
      <w:pPr>
        <w:spacing w:after="0"/>
        <w:rPr>
          <w:rFonts w:cstheme="minorHAnsi"/>
        </w:rPr>
      </w:pPr>
      <w:r w:rsidRPr="00174FCA">
        <w:rPr>
          <w:rFonts w:cstheme="minorHAnsi"/>
        </w:rPr>
        <w:tab/>
      </w:r>
    </w:p>
    <w:p w14:paraId="7D773C75" w14:textId="7C5DB232" w:rsidR="00442259" w:rsidRPr="00174FCA" w:rsidRDefault="00442259" w:rsidP="00174FCA">
      <w:pPr>
        <w:pStyle w:val="NormalWeb"/>
        <w:spacing w:before="0" w:beforeAutospacing="0" w:after="0" w:afterAutospacing="0"/>
        <w:rPr>
          <w:rFonts w:asciiTheme="minorHAnsi" w:hAnsiTheme="minorHAnsi" w:cstheme="minorHAnsi"/>
          <w:sz w:val="22"/>
          <w:szCs w:val="22"/>
        </w:rPr>
      </w:pPr>
      <w:r w:rsidRPr="00174FCA">
        <w:rPr>
          <w:rFonts w:asciiTheme="minorHAnsi" w:hAnsiTheme="minorHAnsi" w:cstheme="minorHAnsi"/>
          <w:sz w:val="22"/>
          <w:szCs w:val="22"/>
        </w:rPr>
        <w:t>General and administrative expenses were $</w:t>
      </w:r>
      <w:r w:rsidR="002D5E1C">
        <w:rPr>
          <w:rFonts w:asciiTheme="minorHAnsi" w:hAnsiTheme="minorHAnsi" w:cstheme="minorHAnsi"/>
          <w:sz w:val="22"/>
          <w:szCs w:val="22"/>
        </w:rPr>
        <w:t>1.</w:t>
      </w:r>
      <w:r w:rsidR="00AB21B8">
        <w:rPr>
          <w:rFonts w:asciiTheme="minorHAnsi" w:hAnsiTheme="minorHAnsi" w:cstheme="minorHAnsi"/>
          <w:sz w:val="22"/>
          <w:szCs w:val="22"/>
        </w:rPr>
        <w:t xml:space="preserve">6 </w:t>
      </w:r>
      <w:r w:rsidR="00AB21B8" w:rsidRPr="00174FCA">
        <w:rPr>
          <w:rFonts w:asciiTheme="minorHAnsi" w:hAnsiTheme="minorHAnsi" w:cstheme="minorHAnsi"/>
          <w:sz w:val="22"/>
          <w:szCs w:val="22"/>
        </w:rPr>
        <w:t>million</w:t>
      </w:r>
      <w:r w:rsidRPr="00174FCA">
        <w:rPr>
          <w:rFonts w:asciiTheme="minorHAnsi" w:hAnsiTheme="minorHAnsi" w:cstheme="minorHAnsi"/>
          <w:sz w:val="22"/>
          <w:szCs w:val="22"/>
        </w:rPr>
        <w:t xml:space="preserve"> for the </w:t>
      </w:r>
      <w:r w:rsidR="00000D29">
        <w:rPr>
          <w:rFonts w:asciiTheme="minorHAnsi" w:hAnsiTheme="minorHAnsi" w:cstheme="minorHAnsi"/>
          <w:sz w:val="22"/>
          <w:szCs w:val="22"/>
        </w:rPr>
        <w:t>quarter</w:t>
      </w:r>
      <w:r w:rsidRPr="00174FCA">
        <w:rPr>
          <w:rFonts w:asciiTheme="minorHAnsi" w:hAnsiTheme="minorHAnsi" w:cstheme="minorHAnsi"/>
          <w:sz w:val="22"/>
          <w:szCs w:val="22"/>
        </w:rPr>
        <w:t xml:space="preserve"> ended </w:t>
      </w:r>
      <w:r w:rsidR="00000D29">
        <w:rPr>
          <w:rFonts w:asciiTheme="minorHAnsi" w:hAnsiTheme="minorHAnsi" w:cstheme="minorHAnsi"/>
          <w:sz w:val="22"/>
          <w:szCs w:val="22"/>
        </w:rPr>
        <w:t>March 31, 2024</w:t>
      </w:r>
      <w:r w:rsidR="002D5E1C">
        <w:rPr>
          <w:rFonts w:asciiTheme="minorHAnsi" w:hAnsiTheme="minorHAnsi" w:cstheme="minorHAnsi"/>
          <w:sz w:val="22"/>
          <w:szCs w:val="22"/>
        </w:rPr>
        <w:t>, compared to $1.</w:t>
      </w:r>
      <w:r w:rsidR="00AB21B8">
        <w:rPr>
          <w:rFonts w:asciiTheme="minorHAnsi" w:hAnsiTheme="minorHAnsi" w:cstheme="minorHAnsi"/>
          <w:sz w:val="22"/>
          <w:szCs w:val="22"/>
        </w:rPr>
        <w:t xml:space="preserve">1 </w:t>
      </w:r>
      <w:r w:rsidR="002D5E1C">
        <w:rPr>
          <w:rFonts w:asciiTheme="minorHAnsi" w:hAnsiTheme="minorHAnsi" w:cstheme="minorHAnsi"/>
          <w:sz w:val="22"/>
          <w:szCs w:val="22"/>
        </w:rPr>
        <w:t xml:space="preserve">million for the same period in </w:t>
      </w:r>
      <w:r w:rsidRPr="00174FCA">
        <w:rPr>
          <w:rFonts w:asciiTheme="minorHAnsi" w:hAnsiTheme="minorHAnsi" w:cstheme="minorHAnsi"/>
          <w:sz w:val="22"/>
          <w:szCs w:val="22"/>
        </w:rPr>
        <w:t>202</w:t>
      </w:r>
      <w:r w:rsidR="00000D29">
        <w:rPr>
          <w:rFonts w:asciiTheme="minorHAnsi" w:hAnsiTheme="minorHAnsi" w:cstheme="minorHAnsi"/>
          <w:sz w:val="22"/>
          <w:szCs w:val="22"/>
        </w:rPr>
        <w:t>3</w:t>
      </w:r>
      <w:r w:rsidRPr="00174FCA">
        <w:rPr>
          <w:rFonts w:asciiTheme="minorHAnsi" w:hAnsiTheme="minorHAnsi" w:cstheme="minorHAnsi"/>
          <w:sz w:val="22"/>
          <w:szCs w:val="22"/>
        </w:rPr>
        <w:t xml:space="preserve">. </w:t>
      </w:r>
      <w:r w:rsidR="002D5E1C">
        <w:rPr>
          <w:rFonts w:asciiTheme="minorHAnsi" w:hAnsiTheme="minorHAnsi" w:cstheme="minorHAnsi"/>
          <w:sz w:val="22"/>
          <w:szCs w:val="22"/>
        </w:rPr>
        <w:t xml:space="preserve">The increase in general and administrative </w:t>
      </w:r>
      <w:r w:rsidR="00AB21B8">
        <w:rPr>
          <w:rFonts w:asciiTheme="minorHAnsi" w:hAnsiTheme="minorHAnsi" w:cstheme="minorHAnsi"/>
          <w:sz w:val="22"/>
          <w:szCs w:val="22"/>
        </w:rPr>
        <w:t>expenses</w:t>
      </w:r>
      <w:r w:rsidR="002D5E1C">
        <w:rPr>
          <w:rFonts w:asciiTheme="minorHAnsi" w:hAnsiTheme="minorHAnsi" w:cstheme="minorHAnsi"/>
          <w:sz w:val="22"/>
          <w:szCs w:val="22"/>
        </w:rPr>
        <w:t xml:space="preserve"> resulted from increased stock-based compensation </w:t>
      </w:r>
      <w:r w:rsidR="00AB21B8">
        <w:rPr>
          <w:rFonts w:asciiTheme="minorHAnsi" w:hAnsiTheme="minorHAnsi" w:cstheme="minorHAnsi"/>
          <w:sz w:val="22"/>
          <w:szCs w:val="22"/>
        </w:rPr>
        <w:t>expenses</w:t>
      </w:r>
      <w:r w:rsidR="002D5E1C">
        <w:rPr>
          <w:rFonts w:asciiTheme="minorHAnsi" w:hAnsiTheme="minorHAnsi" w:cstheme="minorHAnsi"/>
          <w:sz w:val="22"/>
          <w:szCs w:val="22"/>
        </w:rPr>
        <w:t xml:space="preserve"> and increased public company costs, including audit fees.</w:t>
      </w:r>
      <w:r w:rsidR="00174FCA">
        <w:rPr>
          <w:rFonts w:asciiTheme="minorHAnsi" w:hAnsiTheme="minorHAnsi" w:cstheme="minorHAnsi"/>
          <w:sz w:val="22"/>
          <w:szCs w:val="22"/>
        </w:rPr>
        <w:t xml:space="preserve"> Stock-based compensation attributable to general and administrative totaled $0.</w:t>
      </w:r>
      <w:r w:rsidR="000D3D05">
        <w:rPr>
          <w:rFonts w:asciiTheme="minorHAnsi" w:hAnsiTheme="minorHAnsi" w:cstheme="minorHAnsi"/>
          <w:sz w:val="22"/>
          <w:szCs w:val="22"/>
        </w:rPr>
        <w:t xml:space="preserve">4 </w:t>
      </w:r>
      <w:r w:rsidR="00174FCA">
        <w:rPr>
          <w:rFonts w:asciiTheme="minorHAnsi" w:hAnsiTheme="minorHAnsi" w:cstheme="minorHAnsi"/>
          <w:sz w:val="22"/>
          <w:szCs w:val="22"/>
        </w:rPr>
        <w:t xml:space="preserve">million for the </w:t>
      </w:r>
      <w:r w:rsidR="00000D29">
        <w:rPr>
          <w:rFonts w:asciiTheme="minorHAnsi" w:hAnsiTheme="minorHAnsi" w:cstheme="minorHAnsi"/>
          <w:sz w:val="22"/>
          <w:szCs w:val="22"/>
        </w:rPr>
        <w:t>quarter</w:t>
      </w:r>
      <w:r w:rsidR="00174FCA">
        <w:rPr>
          <w:rFonts w:asciiTheme="minorHAnsi" w:hAnsiTheme="minorHAnsi" w:cstheme="minorHAnsi"/>
          <w:sz w:val="22"/>
          <w:szCs w:val="22"/>
        </w:rPr>
        <w:t xml:space="preserve"> ended </w:t>
      </w:r>
      <w:r w:rsidR="00000D29">
        <w:rPr>
          <w:rFonts w:asciiTheme="minorHAnsi" w:hAnsiTheme="minorHAnsi" w:cstheme="minorHAnsi"/>
          <w:sz w:val="22"/>
          <w:szCs w:val="22"/>
        </w:rPr>
        <w:t>March 31, 2024</w:t>
      </w:r>
      <w:r w:rsidR="00174FCA">
        <w:rPr>
          <w:rFonts w:asciiTheme="minorHAnsi" w:hAnsiTheme="minorHAnsi" w:cstheme="minorHAnsi"/>
          <w:sz w:val="22"/>
          <w:szCs w:val="22"/>
        </w:rPr>
        <w:t>, compared to</w:t>
      </w:r>
      <w:r w:rsidR="000D3D05">
        <w:rPr>
          <w:rFonts w:asciiTheme="minorHAnsi" w:hAnsiTheme="minorHAnsi" w:cstheme="minorHAnsi"/>
          <w:sz w:val="22"/>
          <w:szCs w:val="22"/>
        </w:rPr>
        <w:t xml:space="preserve"> </w:t>
      </w:r>
      <w:r w:rsidR="00174FCA">
        <w:rPr>
          <w:rFonts w:asciiTheme="minorHAnsi" w:hAnsiTheme="minorHAnsi" w:cstheme="minorHAnsi"/>
          <w:sz w:val="22"/>
          <w:szCs w:val="22"/>
        </w:rPr>
        <w:t>$0.</w:t>
      </w:r>
      <w:r w:rsidR="002D5E1C">
        <w:rPr>
          <w:rFonts w:asciiTheme="minorHAnsi" w:hAnsiTheme="minorHAnsi" w:cstheme="minorHAnsi"/>
          <w:sz w:val="22"/>
          <w:szCs w:val="22"/>
        </w:rPr>
        <w:t xml:space="preserve">1 </w:t>
      </w:r>
      <w:r w:rsidR="00174FCA">
        <w:rPr>
          <w:rFonts w:asciiTheme="minorHAnsi" w:hAnsiTheme="minorHAnsi" w:cstheme="minorHAnsi"/>
          <w:sz w:val="22"/>
          <w:szCs w:val="22"/>
        </w:rPr>
        <w:t xml:space="preserve">million for the </w:t>
      </w:r>
      <w:r w:rsidR="00000D29">
        <w:rPr>
          <w:rFonts w:asciiTheme="minorHAnsi" w:hAnsiTheme="minorHAnsi" w:cstheme="minorHAnsi"/>
          <w:sz w:val="22"/>
          <w:szCs w:val="22"/>
        </w:rPr>
        <w:t>quarter</w:t>
      </w:r>
      <w:r w:rsidR="00174FCA">
        <w:rPr>
          <w:rFonts w:asciiTheme="minorHAnsi" w:hAnsiTheme="minorHAnsi" w:cstheme="minorHAnsi"/>
          <w:sz w:val="22"/>
          <w:szCs w:val="22"/>
        </w:rPr>
        <w:t xml:space="preserve"> ended </w:t>
      </w:r>
      <w:r w:rsidR="00000D29">
        <w:rPr>
          <w:rFonts w:asciiTheme="minorHAnsi" w:hAnsiTheme="minorHAnsi" w:cstheme="minorHAnsi"/>
          <w:sz w:val="22"/>
          <w:szCs w:val="22"/>
        </w:rPr>
        <w:t>March 31, 2023</w:t>
      </w:r>
      <w:r w:rsidR="00174FCA">
        <w:rPr>
          <w:rFonts w:asciiTheme="minorHAnsi" w:hAnsiTheme="minorHAnsi" w:cstheme="minorHAnsi"/>
          <w:sz w:val="22"/>
          <w:szCs w:val="22"/>
        </w:rPr>
        <w:t>.</w:t>
      </w:r>
    </w:p>
    <w:p w14:paraId="7A7261FD" w14:textId="11262864" w:rsidR="0088733A" w:rsidRDefault="0088733A" w:rsidP="005B120C">
      <w:pPr>
        <w:spacing w:after="0"/>
      </w:pPr>
    </w:p>
    <w:p w14:paraId="2274D9F3" w14:textId="6B3D442D" w:rsidR="0088733A" w:rsidRPr="0088733A" w:rsidRDefault="0088733A" w:rsidP="005B120C">
      <w:pPr>
        <w:spacing w:after="0"/>
        <w:rPr>
          <w:b/>
          <w:bCs/>
        </w:rPr>
      </w:pPr>
      <w:r w:rsidRPr="0088733A">
        <w:rPr>
          <w:b/>
          <w:bCs/>
        </w:rPr>
        <w:t>About Dermata</w:t>
      </w:r>
      <w:r w:rsidR="00045D0B">
        <w:rPr>
          <w:b/>
          <w:bCs/>
        </w:rPr>
        <w:t xml:space="preserve"> Therapeutics </w:t>
      </w:r>
    </w:p>
    <w:p w14:paraId="77D9F6CC" w14:textId="77777777" w:rsidR="0088733A" w:rsidRDefault="0088733A" w:rsidP="005B120C">
      <w:pPr>
        <w:spacing w:after="0"/>
      </w:pPr>
    </w:p>
    <w:p w14:paraId="7FDDE0CC" w14:textId="76D84936" w:rsidR="0088733A" w:rsidRDefault="00C726FD" w:rsidP="005B120C">
      <w:pPr>
        <w:spacing w:after="0"/>
      </w:pPr>
      <w:r w:rsidRPr="00C726FD">
        <w:t xml:space="preserve">Dermata Therapeutics, Inc. is a </w:t>
      </w:r>
      <w:r w:rsidR="00505476">
        <w:t>late</w:t>
      </w:r>
      <w:r w:rsidRPr="00C726FD">
        <w:t>-stage biotechnology company focusing on the treatment of medical and aesthetic skin</w:t>
      </w:r>
      <w:r w:rsidR="00134733">
        <w:t xml:space="preserve"> diseases and</w:t>
      </w:r>
      <w:r w:rsidRPr="00C726FD">
        <w:t xml:space="preserve"> conditions. The Company's lead product candidate, DMT310, is the</w:t>
      </w:r>
      <w:r w:rsidR="00CD490F">
        <w:t xml:space="preserve"> Company’s</w:t>
      </w:r>
      <w:r w:rsidRPr="00C726FD">
        <w:t xml:space="preserve"> first product candidate being developed from its </w:t>
      </w:r>
      <w:r w:rsidRPr="00EB1BAD">
        <w:rPr>
          <w:i/>
        </w:rPr>
        <w:t>Spongilla</w:t>
      </w:r>
      <w:r w:rsidRPr="00C726FD">
        <w:t xml:space="preserve"> technology platform</w:t>
      </w:r>
      <w:r w:rsidR="00505476">
        <w:t xml:space="preserve"> and is currently being evaluated in a Phase 3 program</w:t>
      </w:r>
      <w:r w:rsidRPr="00C726FD">
        <w:t xml:space="preserve">. DMT310 is a once-weekly topical product candidate derived from a naturally sourced freshwater sponge with multiple unique mechanisms of action. DMT310 </w:t>
      </w:r>
      <w:r w:rsidR="007516FE">
        <w:t xml:space="preserve">has been </w:t>
      </w:r>
      <w:r w:rsidR="00DF3330">
        <w:t>studied</w:t>
      </w:r>
      <w:r w:rsidRPr="00C726FD">
        <w:t xml:space="preserve"> for the treatment of acne, rosacea, and psoriasis. The Company's second product candidate, DMT410, uses its </w:t>
      </w:r>
      <w:r w:rsidRPr="00EB1BAD">
        <w:rPr>
          <w:i/>
        </w:rPr>
        <w:t>Spongilla</w:t>
      </w:r>
      <w:r w:rsidRPr="00C726FD">
        <w:t xml:space="preserve"> technology as a new method for topical intradermal delivery of botulinum toxin for the treatment of hyperhidrosis and multiple aesthetic skin conditions. Dermata is headquartered in San Diego, California. </w:t>
      </w:r>
      <w:r w:rsidR="0088733A">
        <w:t xml:space="preserve">For more information, please visit </w:t>
      </w:r>
      <w:hyperlink r:id="rId12" w:history="1">
        <w:r w:rsidR="0088733A" w:rsidRPr="00F94184">
          <w:rPr>
            <w:rStyle w:val="Hyperlink"/>
          </w:rPr>
          <w:t>http://www.dermatarx.com/</w:t>
        </w:r>
      </w:hyperlink>
      <w:r w:rsidR="0088733A">
        <w:t>.</w:t>
      </w:r>
    </w:p>
    <w:p w14:paraId="7E05F980" w14:textId="77777777" w:rsidR="0088733A" w:rsidRDefault="0088733A" w:rsidP="005B120C">
      <w:pPr>
        <w:spacing w:after="0"/>
      </w:pPr>
    </w:p>
    <w:p w14:paraId="4641AC65" w14:textId="69B44EA9" w:rsidR="0088733A" w:rsidRPr="0088733A" w:rsidRDefault="0088733A" w:rsidP="005B120C">
      <w:pPr>
        <w:spacing w:after="0"/>
        <w:rPr>
          <w:b/>
          <w:bCs/>
        </w:rPr>
      </w:pPr>
      <w:r w:rsidRPr="0088733A">
        <w:rPr>
          <w:b/>
          <w:bCs/>
        </w:rPr>
        <w:t>Forward-Looking Statements</w:t>
      </w:r>
      <w:r w:rsidR="00EF3612">
        <w:rPr>
          <w:b/>
          <w:bCs/>
        </w:rPr>
        <w:t xml:space="preserve"> </w:t>
      </w:r>
    </w:p>
    <w:p w14:paraId="607F7322" w14:textId="75188A51" w:rsidR="0088733A" w:rsidRDefault="0088733A" w:rsidP="005B120C">
      <w:pPr>
        <w:spacing w:after="0"/>
      </w:pPr>
    </w:p>
    <w:p w14:paraId="465353DE" w14:textId="5524100D" w:rsidR="00C726FD" w:rsidRDefault="00C726FD" w:rsidP="005B120C">
      <w:pPr>
        <w:spacing w:after="0"/>
      </w:pPr>
      <w:r w:rsidRPr="00C726FD">
        <w:t>Statements in this press release that are not strictly historical in nature are forward-looking statements. These statements are based on the Company's current beliefs and expectations and new risks may emerge from time to time. Forward-looking statements are subject to known and unknown risks, uncertainties, assumptions</w:t>
      </w:r>
      <w:r w:rsidR="008853BC">
        <w:t>,</w:t>
      </w:r>
      <w:r w:rsidRPr="00C726FD">
        <w:t xml:space="preserve"> and other factors including, but are not limited to, statements related to: expectations with regard to the timing </w:t>
      </w:r>
      <w:r w:rsidR="00145A0F">
        <w:t xml:space="preserve">of meetings </w:t>
      </w:r>
      <w:r w:rsidRPr="00C726FD">
        <w:t xml:space="preserve">and/or </w:t>
      </w:r>
      <w:r w:rsidR="00145A0F">
        <w:t>responses</w:t>
      </w:r>
      <w:r w:rsidR="00145A0F" w:rsidRPr="00C726FD">
        <w:t xml:space="preserve"> </w:t>
      </w:r>
      <w:r w:rsidRPr="00C726FD">
        <w:t xml:space="preserve">from </w:t>
      </w:r>
      <w:r w:rsidR="00145A0F">
        <w:t>submissions</w:t>
      </w:r>
      <w:r w:rsidR="00145A0F" w:rsidRPr="00C726FD">
        <w:t xml:space="preserve"> </w:t>
      </w:r>
      <w:r w:rsidRPr="00C726FD">
        <w:t>with regulatory bodies;</w:t>
      </w:r>
      <w:r w:rsidR="002F4386">
        <w:t xml:space="preserve"> expectations with regard to the timing of submission of an NDA;</w:t>
      </w:r>
      <w:r w:rsidRPr="00C726FD">
        <w:t xml:space="preserve"> </w:t>
      </w:r>
      <w:r w:rsidR="003F4FB2">
        <w:t>the uncertainties inherent in clinical t</w:t>
      </w:r>
      <w:r w:rsidR="008853BC">
        <w:t>rials</w:t>
      </w:r>
      <w:r w:rsidR="00B53CD6">
        <w:t xml:space="preserve"> including</w:t>
      </w:r>
      <w:r w:rsidR="00556A06">
        <w:t xml:space="preserve"> enrolling an </w:t>
      </w:r>
      <w:r w:rsidR="00556A06" w:rsidRPr="00556A06">
        <w:t>adequate number of patients on time or be completed on schedule, if at all</w:t>
      </w:r>
      <w:r w:rsidR="003F4FB2">
        <w:t xml:space="preserve">; </w:t>
      </w:r>
      <w:r w:rsidR="00535F68">
        <w:t xml:space="preserve">timing and ability to </w:t>
      </w:r>
      <w:r w:rsidR="00535F68" w:rsidRPr="00535F68">
        <w:t>generate clinical data</w:t>
      </w:r>
      <w:r w:rsidR="00535F68">
        <w:t xml:space="preserve">; </w:t>
      </w:r>
      <w:r w:rsidRPr="00C726FD">
        <w:t xml:space="preserve">expectations with regard to any potential partnership </w:t>
      </w:r>
      <w:r w:rsidRPr="00C726FD">
        <w:lastRenderedPageBreak/>
        <w:t xml:space="preserve">opportunities for </w:t>
      </w:r>
      <w:r w:rsidR="003F4FB2">
        <w:t xml:space="preserve">any of </w:t>
      </w:r>
      <w:r w:rsidRPr="00C726FD">
        <w:t>the Company's product candidates; the Company's expectations with regard to current cash</w:t>
      </w:r>
      <w:r w:rsidR="00145A0F">
        <w:t xml:space="preserve"> and cash equivalen</w:t>
      </w:r>
      <w:r w:rsidR="003F4FB2">
        <w:t>ts</w:t>
      </w:r>
      <w:r w:rsidRPr="00C726FD">
        <w:t xml:space="preserve"> and the amount of time it will fund operations; the success, cost, and timing of its product candidates DMT310 and DMT410 development activities and ongoing and planned clinical trials; and whether the results of </w:t>
      </w:r>
      <w:r w:rsidR="007E05A8">
        <w:t xml:space="preserve">any ongoing or planned clinical trials of </w:t>
      </w:r>
      <w:r w:rsidRPr="00C726FD">
        <w:t xml:space="preserve">DMT310 or DMT410 will lead to future product development. These statements are only predictions based on current information and expectations and involve </w:t>
      </w:r>
      <w:proofErr w:type="gramStart"/>
      <w:r w:rsidRPr="00C726FD">
        <w:t>a number of</w:t>
      </w:r>
      <w:proofErr w:type="gramEnd"/>
      <w:r w:rsidRPr="00C726FD">
        <w:t xml:space="preserve"> risks and uncertainties. Actual events or results may differ materially from those projected in any of such statements due to various factors, including the risks and uncertainties inherent in drug development, approval</w:t>
      </w:r>
      <w:r w:rsidR="008853BC">
        <w:t>,</w:t>
      </w:r>
      <w:r w:rsidRPr="00C726FD">
        <w:t xml:space="preserve"> and commercialization, and the fact that past results of clinical trials may not be indicative of future trial results. For a discussion of these and other factors, please refer to Dermata's filings with the Securities and Exchange Commission. You are cautioned not to place undue reliance on these forward-looking statements, which speak only as of the date hereof. This caution is made under the safe harbor provisions of the Private Securities Litigation Reform Act of 1995. All forward-looking statements are qualified in their entirety by this cautionary statement and Dermata undertakes no obligation to revise or update this press release to reflect events or circumstances after the date hereof, except as required by law.</w:t>
      </w:r>
    </w:p>
    <w:p w14:paraId="38244FF4" w14:textId="233827CA" w:rsidR="00C726FD" w:rsidRDefault="00C726FD" w:rsidP="005B120C">
      <w:pPr>
        <w:spacing w:after="0"/>
      </w:pPr>
    </w:p>
    <w:p w14:paraId="3D14C405" w14:textId="367D3E38" w:rsidR="00C96D76" w:rsidRDefault="00C726FD" w:rsidP="008F54D3">
      <w:pPr>
        <w:jc w:val="center"/>
        <w:rPr>
          <w:rFonts w:ascii="effra" w:hAnsi="effra"/>
          <w:color w:val="1F1F1F"/>
          <w:spacing w:val="8"/>
          <w:shd w:val="clear" w:color="auto" w:fill="FFFFFF"/>
        </w:rPr>
      </w:pPr>
      <w:r>
        <w:rPr>
          <w:rStyle w:val="Strong"/>
          <w:rFonts w:ascii="effra" w:hAnsi="effra"/>
          <w:color w:val="1F1F1F"/>
          <w:spacing w:val="8"/>
          <w:shd w:val="clear" w:color="auto" w:fill="FFFFFF"/>
        </w:rPr>
        <w:t>DERMATA THERAPEUTICS, INC</w:t>
      </w:r>
      <w:r w:rsidR="00D32AA7">
        <w:rPr>
          <w:rStyle w:val="Strong"/>
          <w:rFonts w:ascii="effra" w:hAnsi="effra"/>
          <w:color w:val="1F1F1F"/>
          <w:spacing w:val="8"/>
          <w:shd w:val="clear" w:color="auto" w:fill="FFFFFF"/>
        </w:rPr>
        <w:t>.</w:t>
      </w:r>
    </w:p>
    <w:p w14:paraId="11B2DFCD" w14:textId="715D22B6" w:rsidR="00C726FD" w:rsidRDefault="00C726FD" w:rsidP="00B57336">
      <w:pPr>
        <w:spacing w:after="0"/>
        <w:jc w:val="center"/>
        <w:rPr>
          <w:rFonts w:ascii="effra" w:hAnsi="effra"/>
          <w:color w:val="1F1F1F"/>
          <w:spacing w:val="8"/>
          <w:shd w:val="clear" w:color="auto" w:fill="FFFFFF"/>
        </w:rPr>
      </w:pPr>
      <w:r>
        <w:rPr>
          <w:rFonts w:ascii="effra" w:hAnsi="effra"/>
          <w:color w:val="1F1F1F"/>
          <w:spacing w:val="8"/>
          <w:shd w:val="clear" w:color="auto" w:fill="FFFFFF"/>
        </w:rPr>
        <w:t>Balance Sheets</w:t>
      </w:r>
    </w:p>
    <w:p w14:paraId="43545646" w14:textId="157E9546" w:rsidR="00C726FD" w:rsidRDefault="00C726FD" w:rsidP="00C726FD">
      <w:pPr>
        <w:spacing w:after="0"/>
        <w:jc w:val="center"/>
        <w:rPr>
          <w:rFonts w:ascii="effra" w:hAnsi="effra"/>
          <w:color w:val="1F1F1F"/>
          <w:spacing w:val="8"/>
          <w:shd w:val="clear" w:color="auto" w:fill="FFFFFF"/>
        </w:rPr>
      </w:pPr>
    </w:p>
    <w:tbl>
      <w:tblPr>
        <w:tblW w:w="0" w:type="auto"/>
        <w:jc w:val="center"/>
        <w:tblLook w:val="04A0" w:firstRow="1" w:lastRow="0" w:firstColumn="1" w:lastColumn="0" w:noHBand="0" w:noVBand="1"/>
      </w:tblPr>
      <w:tblGrid>
        <w:gridCol w:w="4014"/>
        <w:gridCol w:w="1923"/>
        <w:gridCol w:w="266"/>
        <w:gridCol w:w="1980"/>
      </w:tblGrid>
      <w:tr w:rsidR="00D74E40" w:rsidRPr="00D74E40" w14:paraId="668678C2" w14:textId="77777777" w:rsidTr="00D74E40">
        <w:trPr>
          <w:trHeight w:val="288"/>
          <w:jc w:val="center"/>
        </w:trPr>
        <w:tc>
          <w:tcPr>
            <w:tcW w:w="0" w:type="auto"/>
            <w:tcBorders>
              <w:top w:val="nil"/>
              <w:left w:val="nil"/>
              <w:bottom w:val="nil"/>
              <w:right w:val="nil"/>
            </w:tcBorders>
            <w:shd w:val="clear" w:color="000000" w:fill="FFFFFF"/>
            <w:noWrap/>
            <w:vAlign w:val="bottom"/>
            <w:hideMark/>
          </w:tcPr>
          <w:p w14:paraId="668B374E" w14:textId="77777777" w:rsidR="00D74E40" w:rsidRPr="00D74E40" w:rsidRDefault="00D74E40" w:rsidP="00D74E40">
            <w:pPr>
              <w:spacing w:after="0" w:line="240" w:lineRule="auto"/>
              <w:rPr>
                <w:rFonts w:ascii="Calibri" w:eastAsia="Times New Roman" w:hAnsi="Calibri" w:cs="Calibri"/>
                <w:color w:val="000000"/>
              </w:rPr>
            </w:pPr>
            <w:r w:rsidRPr="00D74E40">
              <w:rPr>
                <w:rFonts w:ascii="Calibri" w:eastAsia="Times New Roman" w:hAnsi="Calibri" w:cs="Calibri"/>
                <w:color w:val="000000"/>
              </w:rPr>
              <w:t> </w:t>
            </w:r>
          </w:p>
        </w:tc>
        <w:tc>
          <w:tcPr>
            <w:tcW w:w="0" w:type="auto"/>
            <w:tcBorders>
              <w:top w:val="nil"/>
              <w:left w:val="nil"/>
              <w:bottom w:val="single" w:sz="4" w:space="0" w:color="auto"/>
              <w:right w:val="nil"/>
            </w:tcBorders>
            <w:shd w:val="clear" w:color="000000" w:fill="FFFFFF"/>
            <w:vAlign w:val="center"/>
            <w:hideMark/>
          </w:tcPr>
          <w:p w14:paraId="05D59B0F" w14:textId="77777777" w:rsidR="00D74E40" w:rsidRPr="00D74E40" w:rsidRDefault="00D74E40" w:rsidP="00D74E40">
            <w:pPr>
              <w:spacing w:after="0" w:line="240" w:lineRule="auto"/>
              <w:jc w:val="right"/>
              <w:rPr>
                <w:rFonts w:ascii="Calibri" w:eastAsia="Times New Roman" w:hAnsi="Calibri" w:cs="Calibri"/>
                <w:b/>
                <w:bCs/>
                <w:color w:val="000000"/>
              </w:rPr>
            </w:pPr>
            <w:r w:rsidRPr="00D74E40">
              <w:rPr>
                <w:rFonts w:ascii="Calibri" w:eastAsia="Times New Roman" w:hAnsi="Calibri" w:cs="Calibri"/>
                <w:b/>
                <w:bCs/>
                <w:color w:val="000000"/>
              </w:rPr>
              <w:t>March 31, 2024</w:t>
            </w:r>
          </w:p>
        </w:tc>
        <w:tc>
          <w:tcPr>
            <w:tcW w:w="0" w:type="auto"/>
            <w:tcBorders>
              <w:top w:val="nil"/>
              <w:left w:val="nil"/>
              <w:bottom w:val="nil"/>
              <w:right w:val="nil"/>
            </w:tcBorders>
            <w:shd w:val="clear" w:color="000000" w:fill="FFFFFF"/>
            <w:vAlign w:val="center"/>
            <w:hideMark/>
          </w:tcPr>
          <w:p w14:paraId="6EAA3B41" w14:textId="77777777" w:rsidR="00D74E40" w:rsidRPr="00D74E40" w:rsidRDefault="00D74E40" w:rsidP="00D74E40">
            <w:pPr>
              <w:spacing w:after="0" w:line="240" w:lineRule="auto"/>
              <w:jc w:val="right"/>
              <w:rPr>
                <w:rFonts w:ascii="Calibri" w:eastAsia="Times New Roman" w:hAnsi="Calibri" w:cs="Calibri"/>
                <w:b/>
                <w:bCs/>
                <w:color w:val="000000"/>
              </w:rPr>
            </w:pPr>
            <w:r w:rsidRPr="00D74E40">
              <w:rPr>
                <w:rFonts w:ascii="Calibri" w:eastAsia="Times New Roman" w:hAnsi="Calibri" w:cs="Calibri"/>
                <w:b/>
                <w:bCs/>
                <w:color w:val="000000"/>
              </w:rPr>
              <w:t> </w:t>
            </w:r>
          </w:p>
        </w:tc>
        <w:tc>
          <w:tcPr>
            <w:tcW w:w="0" w:type="auto"/>
            <w:tcBorders>
              <w:top w:val="nil"/>
              <w:left w:val="nil"/>
              <w:bottom w:val="single" w:sz="4" w:space="0" w:color="auto"/>
              <w:right w:val="nil"/>
            </w:tcBorders>
            <w:shd w:val="clear" w:color="000000" w:fill="FFFFFF"/>
            <w:vAlign w:val="center"/>
            <w:hideMark/>
          </w:tcPr>
          <w:p w14:paraId="13B01E48" w14:textId="77777777" w:rsidR="00D74E40" w:rsidRPr="00D74E40" w:rsidRDefault="00D74E40" w:rsidP="00D74E40">
            <w:pPr>
              <w:spacing w:after="0" w:line="240" w:lineRule="auto"/>
              <w:jc w:val="right"/>
              <w:rPr>
                <w:rFonts w:ascii="Calibri" w:eastAsia="Times New Roman" w:hAnsi="Calibri" w:cs="Calibri"/>
                <w:b/>
                <w:bCs/>
                <w:color w:val="000000"/>
              </w:rPr>
            </w:pPr>
            <w:r w:rsidRPr="00D74E40">
              <w:rPr>
                <w:rFonts w:ascii="Calibri" w:eastAsia="Times New Roman" w:hAnsi="Calibri" w:cs="Calibri"/>
                <w:b/>
                <w:bCs/>
                <w:color w:val="000000"/>
              </w:rPr>
              <w:t>December 31, 2023</w:t>
            </w:r>
          </w:p>
        </w:tc>
      </w:tr>
      <w:tr w:rsidR="00D74E40" w:rsidRPr="00D74E40" w14:paraId="13B2DD9A" w14:textId="77777777" w:rsidTr="00D74E40">
        <w:trPr>
          <w:trHeight w:val="264"/>
          <w:jc w:val="center"/>
        </w:trPr>
        <w:tc>
          <w:tcPr>
            <w:tcW w:w="0" w:type="auto"/>
            <w:tcBorders>
              <w:top w:val="nil"/>
              <w:left w:val="nil"/>
              <w:bottom w:val="nil"/>
              <w:right w:val="nil"/>
            </w:tcBorders>
            <w:shd w:val="clear" w:color="000000" w:fill="FFFFFF"/>
            <w:vAlign w:val="center"/>
            <w:hideMark/>
          </w:tcPr>
          <w:p w14:paraId="4FD3AB0E" w14:textId="77777777" w:rsidR="00D74E40" w:rsidRPr="00D74E40" w:rsidRDefault="00D74E40" w:rsidP="00D74E40">
            <w:pPr>
              <w:spacing w:after="0" w:line="240" w:lineRule="auto"/>
              <w:rPr>
                <w:rFonts w:ascii="Calibri" w:eastAsia="Times New Roman" w:hAnsi="Calibri" w:cs="Calibri"/>
                <w:i/>
                <w:iCs/>
                <w:color w:val="000000"/>
              </w:rPr>
            </w:pPr>
            <w:r w:rsidRPr="00D74E40">
              <w:rPr>
                <w:rFonts w:ascii="Calibri" w:eastAsia="Times New Roman" w:hAnsi="Calibri" w:cs="Calibri"/>
                <w:i/>
                <w:iCs/>
                <w:color w:val="000000"/>
              </w:rPr>
              <w:t>In thousands USD</w:t>
            </w:r>
          </w:p>
        </w:tc>
        <w:tc>
          <w:tcPr>
            <w:tcW w:w="0" w:type="auto"/>
            <w:tcBorders>
              <w:top w:val="nil"/>
              <w:left w:val="nil"/>
              <w:bottom w:val="nil"/>
              <w:right w:val="nil"/>
            </w:tcBorders>
            <w:shd w:val="clear" w:color="000000" w:fill="FFFFFF"/>
            <w:vAlign w:val="center"/>
            <w:hideMark/>
          </w:tcPr>
          <w:p w14:paraId="0656063D" w14:textId="77777777" w:rsidR="00D74E40" w:rsidRPr="00D74E40" w:rsidRDefault="00D74E40" w:rsidP="00D74E40">
            <w:pPr>
              <w:spacing w:after="0" w:line="240" w:lineRule="auto"/>
              <w:jc w:val="center"/>
              <w:rPr>
                <w:rFonts w:ascii="Calibri" w:eastAsia="Times New Roman" w:hAnsi="Calibri" w:cs="Calibri"/>
                <w:i/>
                <w:iCs/>
                <w:color w:val="000000"/>
              </w:rPr>
            </w:pPr>
            <w:r w:rsidRPr="00D74E40">
              <w:rPr>
                <w:rFonts w:ascii="Calibri" w:eastAsia="Times New Roman" w:hAnsi="Calibri" w:cs="Calibri"/>
                <w:i/>
                <w:iCs/>
                <w:color w:val="000000"/>
              </w:rPr>
              <w:t>(unaudited)</w:t>
            </w:r>
          </w:p>
        </w:tc>
        <w:tc>
          <w:tcPr>
            <w:tcW w:w="0" w:type="auto"/>
            <w:tcBorders>
              <w:top w:val="nil"/>
              <w:left w:val="nil"/>
              <w:bottom w:val="nil"/>
              <w:right w:val="nil"/>
            </w:tcBorders>
            <w:shd w:val="clear" w:color="000000" w:fill="FFFFFF"/>
            <w:vAlign w:val="center"/>
            <w:hideMark/>
          </w:tcPr>
          <w:p w14:paraId="2D3A16F2" w14:textId="77777777" w:rsidR="00D74E40" w:rsidRPr="00D74E40" w:rsidRDefault="00D74E40" w:rsidP="00D74E40">
            <w:pPr>
              <w:spacing w:after="0" w:line="240" w:lineRule="auto"/>
              <w:jc w:val="right"/>
              <w:rPr>
                <w:rFonts w:ascii="Calibri" w:eastAsia="Times New Roman" w:hAnsi="Calibri" w:cs="Calibri"/>
                <w:color w:val="000000"/>
              </w:rPr>
            </w:pPr>
            <w:r w:rsidRPr="00D74E40">
              <w:rPr>
                <w:rFonts w:ascii="Calibri" w:eastAsia="Times New Roman" w:hAnsi="Calibri" w:cs="Calibri"/>
                <w:color w:val="000000"/>
              </w:rPr>
              <w:t> </w:t>
            </w:r>
          </w:p>
        </w:tc>
        <w:tc>
          <w:tcPr>
            <w:tcW w:w="0" w:type="auto"/>
            <w:tcBorders>
              <w:top w:val="nil"/>
              <w:left w:val="nil"/>
              <w:bottom w:val="nil"/>
              <w:right w:val="nil"/>
            </w:tcBorders>
            <w:shd w:val="clear" w:color="000000" w:fill="FFFFFF"/>
            <w:vAlign w:val="center"/>
            <w:hideMark/>
          </w:tcPr>
          <w:p w14:paraId="288F1204" w14:textId="77777777" w:rsidR="00D74E40" w:rsidRPr="00D74E40" w:rsidRDefault="00D74E40" w:rsidP="00D74E40">
            <w:pPr>
              <w:spacing w:after="0" w:line="240" w:lineRule="auto"/>
              <w:rPr>
                <w:rFonts w:ascii="Calibri" w:eastAsia="Times New Roman" w:hAnsi="Calibri" w:cs="Calibri"/>
                <w:color w:val="000000"/>
              </w:rPr>
            </w:pPr>
            <w:r w:rsidRPr="00D74E40">
              <w:rPr>
                <w:rFonts w:ascii="Calibri" w:eastAsia="Times New Roman" w:hAnsi="Calibri" w:cs="Calibri"/>
                <w:color w:val="000000"/>
              </w:rPr>
              <w:t> </w:t>
            </w:r>
          </w:p>
        </w:tc>
      </w:tr>
      <w:tr w:rsidR="00D74E40" w:rsidRPr="00D74E40" w14:paraId="1F14FA04" w14:textId="77777777" w:rsidTr="00D74E40">
        <w:trPr>
          <w:trHeight w:val="264"/>
          <w:jc w:val="center"/>
        </w:trPr>
        <w:tc>
          <w:tcPr>
            <w:tcW w:w="0" w:type="auto"/>
            <w:tcBorders>
              <w:top w:val="nil"/>
              <w:left w:val="nil"/>
              <w:bottom w:val="nil"/>
              <w:right w:val="nil"/>
            </w:tcBorders>
            <w:shd w:val="clear" w:color="000000" w:fill="FFFFFF"/>
            <w:vAlign w:val="center"/>
            <w:hideMark/>
          </w:tcPr>
          <w:p w14:paraId="4FEC0E9F" w14:textId="77777777" w:rsidR="00D74E40" w:rsidRPr="00D74E40" w:rsidRDefault="00D74E40" w:rsidP="00D74E40">
            <w:pPr>
              <w:spacing w:after="0" w:line="240" w:lineRule="auto"/>
              <w:rPr>
                <w:rFonts w:ascii="Calibri" w:eastAsia="Times New Roman" w:hAnsi="Calibri" w:cs="Calibri"/>
                <w:b/>
                <w:bCs/>
                <w:color w:val="000000"/>
              </w:rPr>
            </w:pPr>
            <w:r w:rsidRPr="00D74E40">
              <w:rPr>
                <w:rFonts w:ascii="Calibri" w:eastAsia="Times New Roman" w:hAnsi="Calibri" w:cs="Calibri"/>
                <w:b/>
                <w:bCs/>
                <w:color w:val="000000"/>
              </w:rPr>
              <w:t>Assets</w:t>
            </w:r>
          </w:p>
        </w:tc>
        <w:tc>
          <w:tcPr>
            <w:tcW w:w="0" w:type="auto"/>
            <w:tcBorders>
              <w:top w:val="nil"/>
              <w:left w:val="nil"/>
              <w:bottom w:val="nil"/>
              <w:right w:val="nil"/>
            </w:tcBorders>
            <w:shd w:val="clear" w:color="000000" w:fill="FFFFFF"/>
            <w:vAlign w:val="center"/>
            <w:hideMark/>
          </w:tcPr>
          <w:p w14:paraId="2DF9D403" w14:textId="77777777" w:rsidR="00D74E40" w:rsidRPr="00D74E40" w:rsidRDefault="00D74E40" w:rsidP="00D74E40">
            <w:pPr>
              <w:spacing w:after="0" w:line="240" w:lineRule="auto"/>
              <w:jc w:val="right"/>
              <w:rPr>
                <w:rFonts w:ascii="Calibri" w:eastAsia="Times New Roman" w:hAnsi="Calibri" w:cs="Calibri"/>
                <w:color w:val="000000"/>
              </w:rPr>
            </w:pPr>
            <w:r w:rsidRPr="00D74E40">
              <w:rPr>
                <w:rFonts w:ascii="Calibri" w:eastAsia="Times New Roman" w:hAnsi="Calibri" w:cs="Calibri"/>
                <w:color w:val="000000"/>
              </w:rPr>
              <w:t> </w:t>
            </w:r>
          </w:p>
        </w:tc>
        <w:tc>
          <w:tcPr>
            <w:tcW w:w="0" w:type="auto"/>
            <w:tcBorders>
              <w:top w:val="nil"/>
              <w:left w:val="nil"/>
              <w:bottom w:val="nil"/>
              <w:right w:val="nil"/>
            </w:tcBorders>
            <w:shd w:val="clear" w:color="000000" w:fill="FFFFFF"/>
            <w:vAlign w:val="center"/>
            <w:hideMark/>
          </w:tcPr>
          <w:p w14:paraId="6447404B" w14:textId="77777777" w:rsidR="00D74E40" w:rsidRPr="00D74E40" w:rsidRDefault="00D74E40" w:rsidP="00D74E40">
            <w:pPr>
              <w:spacing w:after="0" w:line="240" w:lineRule="auto"/>
              <w:jc w:val="right"/>
              <w:rPr>
                <w:rFonts w:ascii="Calibri" w:eastAsia="Times New Roman" w:hAnsi="Calibri" w:cs="Calibri"/>
                <w:color w:val="000000"/>
              </w:rPr>
            </w:pPr>
            <w:r w:rsidRPr="00D74E40">
              <w:rPr>
                <w:rFonts w:ascii="Calibri" w:eastAsia="Times New Roman" w:hAnsi="Calibri" w:cs="Calibri"/>
                <w:color w:val="000000"/>
              </w:rPr>
              <w:t> </w:t>
            </w:r>
          </w:p>
        </w:tc>
        <w:tc>
          <w:tcPr>
            <w:tcW w:w="0" w:type="auto"/>
            <w:tcBorders>
              <w:top w:val="nil"/>
              <w:left w:val="nil"/>
              <w:bottom w:val="nil"/>
              <w:right w:val="nil"/>
            </w:tcBorders>
            <w:shd w:val="clear" w:color="000000" w:fill="FFFFFF"/>
            <w:vAlign w:val="center"/>
            <w:hideMark/>
          </w:tcPr>
          <w:p w14:paraId="1C7A68D8" w14:textId="77777777" w:rsidR="00D74E40" w:rsidRPr="00D74E40" w:rsidRDefault="00D74E40" w:rsidP="00D74E40">
            <w:pPr>
              <w:spacing w:after="0" w:line="240" w:lineRule="auto"/>
              <w:rPr>
                <w:rFonts w:ascii="Calibri" w:eastAsia="Times New Roman" w:hAnsi="Calibri" w:cs="Calibri"/>
                <w:color w:val="000000"/>
              </w:rPr>
            </w:pPr>
            <w:r w:rsidRPr="00D74E40">
              <w:rPr>
                <w:rFonts w:ascii="Calibri" w:eastAsia="Times New Roman" w:hAnsi="Calibri" w:cs="Calibri"/>
                <w:color w:val="000000"/>
              </w:rPr>
              <w:t> </w:t>
            </w:r>
          </w:p>
        </w:tc>
      </w:tr>
      <w:tr w:rsidR="00D74E40" w:rsidRPr="00D74E40" w14:paraId="169DC64D" w14:textId="77777777" w:rsidTr="00D74E40">
        <w:trPr>
          <w:trHeight w:val="264"/>
          <w:jc w:val="center"/>
        </w:trPr>
        <w:tc>
          <w:tcPr>
            <w:tcW w:w="0" w:type="auto"/>
            <w:tcBorders>
              <w:top w:val="nil"/>
              <w:left w:val="nil"/>
              <w:bottom w:val="nil"/>
              <w:right w:val="nil"/>
            </w:tcBorders>
            <w:shd w:val="clear" w:color="000000" w:fill="FFFFFF"/>
            <w:vAlign w:val="center"/>
            <w:hideMark/>
          </w:tcPr>
          <w:p w14:paraId="02C8333D" w14:textId="77777777" w:rsidR="00D74E40" w:rsidRPr="00D74E40" w:rsidRDefault="00D74E40" w:rsidP="00D74E40">
            <w:pPr>
              <w:spacing w:after="0" w:line="240" w:lineRule="auto"/>
              <w:rPr>
                <w:rFonts w:ascii="Calibri" w:eastAsia="Times New Roman" w:hAnsi="Calibri" w:cs="Calibri"/>
                <w:color w:val="000000"/>
              </w:rPr>
            </w:pPr>
            <w:r w:rsidRPr="00D74E40">
              <w:rPr>
                <w:rFonts w:ascii="Calibri" w:eastAsia="Times New Roman" w:hAnsi="Calibri" w:cs="Calibri"/>
                <w:color w:val="000000"/>
              </w:rPr>
              <w:t>Cash and cash equivalents</w:t>
            </w:r>
          </w:p>
        </w:tc>
        <w:tc>
          <w:tcPr>
            <w:tcW w:w="0" w:type="auto"/>
            <w:tcBorders>
              <w:top w:val="nil"/>
              <w:left w:val="nil"/>
              <w:bottom w:val="nil"/>
              <w:right w:val="nil"/>
            </w:tcBorders>
            <w:shd w:val="clear" w:color="000000" w:fill="FFFFFF"/>
            <w:vAlign w:val="center"/>
            <w:hideMark/>
          </w:tcPr>
          <w:p w14:paraId="55625F16" w14:textId="77777777" w:rsidR="00D74E40" w:rsidRPr="00D74E40" w:rsidRDefault="00D74E40" w:rsidP="00D74E40">
            <w:pPr>
              <w:spacing w:after="0" w:line="240" w:lineRule="auto"/>
              <w:jc w:val="right"/>
              <w:rPr>
                <w:rFonts w:ascii="Calibri" w:eastAsia="Times New Roman" w:hAnsi="Calibri" w:cs="Calibri"/>
                <w:color w:val="000000"/>
              </w:rPr>
            </w:pPr>
            <w:r w:rsidRPr="00D74E40">
              <w:rPr>
                <w:rFonts w:ascii="Calibri" w:eastAsia="Times New Roman" w:hAnsi="Calibri" w:cs="Calibri"/>
                <w:color w:val="000000"/>
              </w:rPr>
              <w:t xml:space="preserve"> $                     4,734 </w:t>
            </w:r>
          </w:p>
        </w:tc>
        <w:tc>
          <w:tcPr>
            <w:tcW w:w="0" w:type="auto"/>
            <w:tcBorders>
              <w:top w:val="nil"/>
              <w:left w:val="nil"/>
              <w:bottom w:val="nil"/>
              <w:right w:val="nil"/>
            </w:tcBorders>
            <w:shd w:val="clear" w:color="000000" w:fill="FFFFFF"/>
            <w:vAlign w:val="center"/>
            <w:hideMark/>
          </w:tcPr>
          <w:p w14:paraId="39E6A41D" w14:textId="77777777" w:rsidR="00D74E40" w:rsidRPr="00D74E40" w:rsidRDefault="00D74E40" w:rsidP="00D74E40">
            <w:pPr>
              <w:spacing w:after="0" w:line="240" w:lineRule="auto"/>
              <w:jc w:val="right"/>
              <w:rPr>
                <w:rFonts w:ascii="Calibri" w:eastAsia="Times New Roman" w:hAnsi="Calibri" w:cs="Calibri"/>
                <w:color w:val="000000"/>
              </w:rPr>
            </w:pPr>
            <w:r w:rsidRPr="00D74E40">
              <w:rPr>
                <w:rFonts w:ascii="Calibri" w:eastAsia="Times New Roman" w:hAnsi="Calibri" w:cs="Calibri"/>
                <w:color w:val="000000"/>
              </w:rPr>
              <w:t> </w:t>
            </w:r>
          </w:p>
        </w:tc>
        <w:tc>
          <w:tcPr>
            <w:tcW w:w="0" w:type="auto"/>
            <w:tcBorders>
              <w:top w:val="nil"/>
              <w:left w:val="nil"/>
              <w:bottom w:val="nil"/>
              <w:right w:val="nil"/>
            </w:tcBorders>
            <w:shd w:val="clear" w:color="000000" w:fill="FFFFFF"/>
            <w:vAlign w:val="center"/>
            <w:hideMark/>
          </w:tcPr>
          <w:p w14:paraId="6032C433" w14:textId="77777777" w:rsidR="00D74E40" w:rsidRPr="00D74E40" w:rsidRDefault="00D74E40" w:rsidP="00D74E40">
            <w:pPr>
              <w:spacing w:after="0" w:line="240" w:lineRule="auto"/>
              <w:jc w:val="right"/>
              <w:rPr>
                <w:rFonts w:ascii="Calibri" w:eastAsia="Times New Roman" w:hAnsi="Calibri" w:cs="Calibri"/>
                <w:color w:val="000000"/>
              </w:rPr>
            </w:pPr>
            <w:r w:rsidRPr="00D74E40">
              <w:rPr>
                <w:rFonts w:ascii="Calibri" w:eastAsia="Times New Roman" w:hAnsi="Calibri" w:cs="Calibri"/>
                <w:color w:val="000000"/>
              </w:rPr>
              <w:t xml:space="preserve"> $                     7,438 </w:t>
            </w:r>
          </w:p>
        </w:tc>
      </w:tr>
      <w:tr w:rsidR="00D74E40" w:rsidRPr="00D74E40" w14:paraId="707CA324" w14:textId="77777777" w:rsidTr="00D74E40">
        <w:trPr>
          <w:trHeight w:val="264"/>
          <w:jc w:val="center"/>
        </w:trPr>
        <w:tc>
          <w:tcPr>
            <w:tcW w:w="0" w:type="auto"/>
            <w:tcBorders>
              <w:top w:val="nil"/>
              <w:left w:val="nil"/>
              <w:bottom w:val="nil"/>
              <w:right w:val="nil"/>
            </w:tcBorders>
            <w:shd w:val="clear" w:color="000000" w:fill="FFFFFF"/>
            <w:vAlign w:val="center"/>
            <w:hideMark/>
          </w:tcPr>
          <w:p w14:paraId="3DCD2F6C" w14:textId="77777777" w:rsidR="00D74E40" w:rsidRPr="00D74E40" w:rsidRDefault="00D74E40" w:rsidP="00D74E40">
            <w:pPr>
              <w:spacing w:after="0" w:line="240" w:lineRule="auto"/>
              <w:rPr>
                <w:rFonts w:ascii="Calibri" w:eastAsia="Times New Roman" w:hAnsi="Calibri" w:cs="Calibri"/>
                <w:color w:val="000000"/>
              </w:rPr>
            </w:pPr>
            <w:r w:rsidRPr="00D74E40">
              <w:rPr>
                <w:rFonts w:ascii="Calibri" w:eastAsia="Times New Roman" w:hAnsi="Calibri" w:cs="Calibri"/>
                <w:color w:val="000000"/>
              </w:rPr>
              <w:t>Prepaid expenses and other current assets</w:t>
            </w:r>
          </w:p>
        </w:tc>
        <w:tc>
          <w:tcPr>
            <w:tcW w:w="0" w:type="auto"/>
            <w:tcBorders>
              <w:top w:val="nil"/>
              <w:left w:val="nil"/>
              <w:bottom w:val="single" w:sz="4" w:space="0" w:color="auto"/>
              <w:right w:val="nil"/>
            </w:tcBorders>
            <w:shd w:val="clear" w:color="000000" w:fill="FFFFFF"/>
            <w:vAlign w:val="center"/>
            <w:hideMark/>
          </w:tcPr>
          <w:p w14:paraId="03A10599" w14:textId="77777777" w:rsidR="00D74E40" w:rsidRPr="00D74E40" w:rsidRDefault="00D74E40" w:rsidP="00D74E40">
            <w:pPr>
              <w:spacing w:after="0" w:line="240" w:lineRule="auto"/>
              <w:jc w:val="right"/>
              <w:rPr>
                <w:rFonts w:ascii="Calibri" w:eastAsia="Times New Roman" w:hAnsi="Calibri" w:cs="Calibri"/>
                <w:color w:val="000000"/>
              </w:rPr>
            </w:pPr>
            <w:r w:rsidRPr="00D74E40">
              <w:rPr>
                <w:rFonts w:ascii="Calibri" w:eastAsia="Times New Roman" w:hAnsi="Calibri" w:cs="Calibri"/>
                <w:color w:val="000000"/>
              </w:rPr>
              <w:t xml:space="preserve">                           446 </w:t>
            </w:r>
          </w:p>
        </w:tc>
        <w:tc>
          <w:tcPr>
            <w:tcW w:w="0" w:type="auto"/>
            <w:tcBorders>
              <w:top w:val="nil"/>
              <w:left w:val="nil"/>
              <w:bottom w:val="single" w:sz="4" w:space="0" w:color="auto"/>
              <w:right w:val="nil"/>
            </w:tcBorders>
            <w:shd w:val="clear" w:color="000000" w:fill="FFFFFF"/>
            <w:vAlign w:val="center"/>
            <w:hideMark/>
          </w:tcPr>
          <w:p w14:paraId="53607D5F" w14:textId="77777777" w:rsidR="00D74E40" w:rsidRPr="00D74E40" w:rsidRDefault="00D74E40" w:rsidP="00D74E40">
            <w:pPr>
              <w:spacing w:after="0" w:line="240" w:lineRule="auto"/>
              <w:jc w:val="right"/>
              <w:rPr>
                <w:rFonts w:ascii="Calibri" w:eastAsia="Times New Roman" w:hAnsi="Calibri" w:cs="Calibri"/>
                <w:color w:val="000000"/>
              </w:rPr>
            </w:pPr>
            <w:r w:rsidRPr="00D74E40">
              <w:rPr>
                <w:rFonts w:ascii="Calibri" w:eastAsia="Times New Roman" w:hAnsi="Calibri" w:cs="Calibri"/>
                <w:color w:val="000000"/>
              </w:rPr>
              <w:t> </w:t>
            </w:r>
          </w:p>
        </w:tc>
        <w:tc>
          <w:tcPr>
            <w:tcW w:w="0" w:type="auto"/>
            <w:tcBorders>
              <w:top w:val="nil"/>
              <w:left w:val="nil"/>
              <w:bottom w:val="single" w:sz="4" w:space="0" w:color="auto"/>
              <w:right w:val="nil"/>
            </w:tcBorders>
            <w:shd w:val="clear" w:color="000000" w:fill="FFFFFF"/>
            <w:vAlign w:val="center"/>
            <w:hideMark/>
          </w:tcPr>
          <w:p w14:paraId="37B68798" w14:textId="77777777" w:rsidR="00D74E40" w:rsidRPr="00D74E40" w:rsidRDefault="00D74E40" w:rsidP="00D74E40">
            <w:pPr>
              <w:spacing w:after="0" w:line="240" w:lineRule="auto"/>
              <w:jc w:val="right"/>
              <w:rPr>
                <w:rFonts w:ascii="Calibri" w:eastAsia="Times New Roman" w:hAnsi="Calibri" w:cs="Calibri"/>
                <w:color w:val="000000"/>
              </w:rPr>
            </w:pPr>
            <w:r w:rsidRPr="00D74E40">
              <w:rPr>
                <w:rFonts w:ascii="Calibri" w:eastAsia="Times New Roman" w:hAnsi="Calibri" w:cs="Calibri"/>
                <w:color w:val="000000"/>
              </w:rPr>
              <w:t xml:space="preserve">                           541 </w:t>
            </w:r>
          </w:p>
        </w:tc>
      </w:tr>
      <w:tr w:rsidR="00D74E40" w:rsidRPr="00D74E40" w14:paraId="1A5DE345" w14:textId="77777777" w:rsidTr="00D74E40">
        <w:trPr>
          <w:trHeight w:val="264"/>
          <w:jc w:val="center"/>
        </w:trPr>
        <w:tc>
          <w:tcPr>
            <w:tcW w:w="0" w:type="auto"/>
            <w:tcBorders>
              <w:top w:val="nil"/>
              <w:left w:val="nil"/>
              <w:bottom w:val="nil"/>
              <w:right w:val="nil"/>
            </w:tcBorders>
            <w:shd w:val="clear" w:color="000000" w:fill="FFFFFF"/>
            <w:vAlign w:val="center"/>
            <w:hideMark/>
          </w:tcPr>
          <w:p w14:paraId="788B7C82" w14:textId="77777777" w:rsidR="00D74E40" w:rsidRPr="00D74E40" w:rsidRDefault="00D74E40" w:rsidP="00D74E40">
            <w:pPr>
              <w:spacing w:after="0" w:line="240" w:lineRule="auto"/>
              <w:rPr>
                <w:rFonts w:ascii="Calibri" w:eastAsia="Times New Roman" w:hAnsi="Calibri" w:cs="Calibri"/>
                <w:color w:val="000000"/>
              </w:rPr>
            </w:pPr>
            <w:r w:rsidRPr="00D74E40">
              <w:rPr>
                <w:rFonts w:ascii="Calibri" w:eastAsia="Times New Roman" w:hAnsi="Calibri" w:cs="Calibri"/>
                <w:color w:val="000000"/>
              </w:rPr>
              <w:t>Total assets</w:t>
            </w:r>
          </w:p>
        </w:tc>
        <w:tc>
          <w:tcPr>
            <w:tcW w:w="0" w:type="auto"/>
            <w:tcBorders>
              <w:top w:val="nil"/>
              <w:left w:val="nil"/>
              <w:bottom w:val="single" w:sz="4" w:space="0" w:color="auto"/>
              <w:right w:val="nil"/>
            </w:tcBorders>
            <w:shd w:val="clear" w:color="000000" w:fill="FFFFFF"/>
            <w:vAlign w:val="center"/>
            <w:hideMark/>
          </w:tcPr>
          <w:p w14:paraId="1A347EBD" w14:textId="77777777" w:rsidR="00D74E40" w:rsidRPr="00D74E40" w:rsidRDefault="00D74E40" w:rsidP="00D74E40">
            <w:pPr>
              <w:spacing w:after="0" w:line="240" w:lineRule="auto"/>
              <w:jc w:val="right"/>
              <w:rPr>
                <w:rFonts w:ascii="Calibri" w:eastAsia="Times New Roman" w:hAnsi="Calibri" w:cs="Calibri"/>
                <w:color w:val="000000"/>
              </w:rPr>
            </w:pPr>
            <w:r w:rsidRPr="00D74E40">
              <w:rPr>
                <w:rFonts w:ascii="Calibri" w:eastAsia="Times New Roman" w:hAnsi="Calibri" w:cs="Calibri"/>
                <w:color w:val="000000"/>
              </w:rPr>
              <w:t xml:space="preserve">                        5,180 </w:t>
            </w:r>
          </w:p>
        </w:tc>
        <w:tc>
          <w:tcPr>
            <w:tcW w:w="0" w:type="auto"/>
            <w:tcBorders>
              <w:top w:val="nil"/>
              <w:left w:val="nil"/>
              <w:bottom w:val="nil"/>
              <w:right w:val="nil"/>
            </w:tcBorders>
            <w:shd w:val="clear" w:color="000000" w:fill="FFFFFF"/>
            <w:vAlign w:val="center"/>
            <w:hideMark/>
          </w:tcPr>
          <w:p w14:paraId="6AEEE7B5" w14:textId="77777777" w:rsidR="00D74E40" w:rsidRPr="00D74E40" w:rsidRDefault="00D74E40" w:rsidP="00D74E40">
            <w:pPr>
              <w:spacing w:after="0" w:line="240" w:lineRule="auto"/>
              <w:jc w:val="right"/>
              <w:rPr>
                <w:rFonts w:ascii="Calibri" w:eastAsia="Times New Roman" w:hAnsi="Calibri" w:cs="Calibri"/>
                <w:color w:val="000000"/>
              </w:rPr>
            </w:pPr>
            <w:r w:rsidRPr="00D74E40">
              <w:rPr>
                <w:rFonts w:ascii="Calibri" w:eastAsia="Times New Roman" w:hAnsi="Calibri" w:cs="Calibri"/>
                <w:color w:val="000000"/>
              </w:rPr>
              <w:t> </w:t>
            </w:r>
          </w:p>
        </w:tc>
        <w:tc>
          <w:tcPr>
            <w:tcW w:w="0" w:type="auto"/>
            <w:tcBorders>
              <w:top w:val="nil"/>
              <w:left w:val="nil"/>
              <w:bottom w:val="single" w:sz="4" w:space="0" w:color="auto"/>
              <w:right w:val="nil"/>
            </w:tcBorders>
            <w:shd w:val="clear" w:color="000000" w:fill="FFFFFF"/>
            <w:vAlign w:val="center"/>
            <w:hideMark/>
          </w:tcPr>
          <w:p w14:paraId="6A3BFCCB" w14:textId="77777777" w:rsidR="00D74E40" w:rsidRPr="00D74E40" w:rsidRDefault="00D74E40" w:rsidP="00D74E40">
            <w:pPr>
              <w:spacing w:after="0" w:line="240" w:lineRule="auto"/>
              <w:jc w:val="right"/>
              <w:rPr>
                <w:rFonts w:ascii="Calibri" w:eastAsia="Times New Roman" w:hAnsi="Calibri" w:cs="Calibri"/>
                <w:color w:val="000000"/>
              </w:rPr>
            </w:pPr>
            <w:r w:rsidRPr="00D74E40">
              <w:rPr>
                <w:rFonts w:ascii="Calibri" w:eastAsia="Times New Roman" w:hAnsi="Calibri" w:cs="Calibri"/>
                <w:color w:val="000000"/>
              </w:rPr>
              <w:t xml:space="preserve">                        7,979 </w:t>
            </w:r>
          </w:p>
        </w:tc>
      </w:tr>
      <w:tr w:rsidR="00D74E40" w:rsidRPr="00D74E40" w14:paraId="745AD2DD" w14:textId="77777777" w:rsidTr="00D74E40">
        <w:trPr>
          <w:trHeight w:val="264"/>
          <w:jc w:val="center"/>
        </w:trPr>
        <w:tc>
          <w:tcPr>
            <w:tcW w:w="0" w:type="auto"/>
            <w:tcBorders>
              <w:top w:val="nil"/>
              <w:left w:val="nil"/>
              <w:bottom w:val="nil"/>
              <w:right w:val="nil"/>
            </w:tcBorders>
            <w:shd w:val="clear" w:color="000000" w:fill="FFFFFF"/>
            <w:vAlign w:val="center"/>
            <w:hideMark/>
          </w:tcPr>
          <w:p w14:paraId="1EE49AA5" w14:textId="77777777" w:rsidR="00D74E40" w:rsidRPr="00D74E40" w:rsidRDefault="00D74E40" w:rsidP="00D74E40">
            <w:pPr>
              <w:spacing w:after="0" w:line="240" w:lineRule="auto"/>
              <w:rPr>
                <w:rFonts w:ascii="Calibri" w:eastAsia="Times New Roman" w:hAnsi="Calibri" w:cs="Calibri"/>
                <w:b/>
                <w:bCs/>
                <w:color w:val="000000"/>
              </w:rPr>
            </w:pPr>
            <w:r w:rsidRPr="00D74E40">
              <w:rPr>
                <w:rFonts w:ascii="Calibri" w:eastAsia="Times New Roman" w:hAnsi="Calibri" w:cs="Calibri"/>
                <w:b/>
                <w:bCs/>
                <w:color w:val="000000"/>
              </w:rPr>
              <w:t>Liabilities</w:t>
            </w:r>
          </w:p>
        </w:tc>
        <w:tc>
          <w:tcPr>
            <w:tcW w:w="0" w:type="auto"/>
            <w:tcBorders>
              <w:top w:val="nil"/>
              <w:left w:val="nil"/>
              <w:bottom w:val="nil"/>
              <w:right w:val="nil"/>
            </w:tcBorders>
            <w:shd w:val="clear" w:color="000000" w:fill="FFFFFF"/>
            <w:vAlign w:val="center"/>
            <w:hideMark/>
          </w:tcPr>
          <w:p w14:paraId="430D77D8" w14:textId="77777777" w:rsidR="00D74E40" w:rsidRPr="00D74E40" w:rsidRDefault="00D74E40" w:rsidP="00D74E40">
            <w:pPr>
              <w:spacing w:after="0" w:line="240" w:lineRule="auto"/>
              <w:jc w:val="right"/>
              <w:rPr>
                <w:rFonts w:ascii="Calibri" w:eastAsia="Times New Roman" w:hAnsi="Calibri" w:cs="Calibri"/>
                <w:color w:val="000000"/>
              </w:rPr>
            </w:pPr>
            <w:r w:rsidRPr="00D74E40">
              <w:rPr>
                <w:rFonts w:ascii="Calibri" w:eastAsia="Times New Roman" w:hAnsi="Calibri" w:cs="Calibri"/>
                <w:color w:val="000000"/>
              </w:rPr>
              <w:t> </w:t>
            </w:r>
          </w:p>
        </w:tc>
        <w:tc>
          <w:tcPr>
            <w:tcW w:w="0" w:type="auto"/>
            <w:tcBorders>
              <w:top w:val="nil"/>
              <w:left w:val="nil"/>
              <w:bottom w:val="nil"/>
              <w:right w:val="nil"/>
            </w:tcBorders>
            <w:shd w:val="clear" w:color="000000" w:fill="FFFFFF"/>
            <w:vAlign w:val="center"/>
            <w:hideMark/>
          </w:tcPr>
          <w:p w14:paraId="76BB7361" w14:textId="77777777" w:rsidR="00D74E40" w:rsidRPr="00D74E40" w:rsidRDefault="00D74E40" w:rsidP="00D74E40">
            <w:pPr>
              <w:spacing w:after="0" w:line="240" w:lineRule="auto"/>
              <w:jc w:val="right"/>
              <w:rPr>
                <w:rFonts w:ascii="Calibri" w:eastAsia="Times New Roman" w:hAnsi="Calibri" w:cs="Calibri"/>
                <w:color w:val="000000"/>
              </w:rPr>
            </w:pPr>
            <w:r w:rsidRPr="00D74E40">
              <w:rPr>
                <w:rFonts w:ascii="Calibri" w:eastAsia="Times New Roman" w:hAnsi="Calibri" w:cs="Calibri"/>
                <w:color w:val="000000"/>
              </w:rPr>
              <w:t> </w:t>
            </w:r>
          </w:p>
        </w:tc>
        <w:tc>
          <w:tcPr>
            <w:tcW w:w="0" w:type="auto"/>
            <w:tcBorders>
              <w:top w:val="nil"/>
              <w:left w:val="nil"/>
              <w:bottom w:val="nil"/>
              <w:right w:val="nil"/>
            </w:tcBorders>
            <w:shd w:val="clear" w:color="000000" w:fill="FFFFFF"/>
            <w:vAlign w:val="center"/>
            <w:hideMark/>
          </w:tcPr>
          <w:p w14:paraId="10464F3F" w14:textId="77777777" w:rsidR="00D74E40" w:rsidRPr="00D74E40" w:rsidRDefault="00D74E40" w:rsidP="00D74E40">
            <w:pPr>
              <w:spacing w:after="0" w:line="240" w:lineRule="auto"/>
              <w:jc w:val="right"/>
              <w:rPr>
                <w:rFonts w:ascii="Calibri" w:eastAsia="Times New Roman" w:hAnsi="Calibri" w:cs="Calibri"/>
                <w:color w:val="000000"/>
              </w:rPr>
            </w:pPr>
            <w:r w:rsidRPr="00D74E40">
              <w:rPr>
                <w:rFonts w:ascii="Calibri" w:eastAsia="Times New Roman" w:hAnsi="Calibri" w:cs="Calibri"/>
                <w:color w:val="000000"/>
              </w:rPr>
              <w:t> </w:t>
            </w:r>
          </w:p>
        </w:tc>
      </w:tr>
      <w:tr w:rsidR="00D74E40" w:rsidRPr="00D74E40" w14:paraId="5874941F" w14:textId="77777777" w:rsidTr="00D74E40">
        <w:trPr>
          <w:trHeight w:val="264"/>
          <w:jc w:val="center"/>
        </w:trPr>
        <w:tc>
          <w:tcPr>
            <w:tcW w:w="0" w:type="auto"/>
            <w:tcBorders>
              <w:top w:val="nil"/>
              <w:left w:val="nil"/>
              <w:bottom w:val="nil"/>
              <w:right w:val="nil"/>
            </w:tcBorders>
            <w:shd w:val="clear" w:color="000000" w:fill="FFFFFF"/>
            <w:vAlign w:val="center"/>
            <w:hideMark/>
          </w:tcPr>
          <w:p w14:paraId="5B586437" w14:textId="77777777" w:rsidR="00D74E40" w:rsidRPr="00D74E40" w:rsidRDefault="00D74E40" w:rsidP="00D74E40">
            <w:pPr>
              <w:spacing w:after="0" w:line="240" w:lineRule="auto"/>
              <w:rPr>
                <w:rFonts w:ascii="Calibri" w:eastAsia="Times New Roman" w:hAnsi="Calibri" w:cs="Calibri"/>
                <w:color w:val="000000"/>
              </w:rPr>
            </w:pPr>
            <w:r w:rsidRPr="00D74E40">
              <w:rPr>
                <w:rFonts w:ascii="Calibri" w:eastAsia="Times New Roman" w:hAnsi="Calibri" w:cs="Calibri"/>
                <w:color w:val="000000"/>
              </w:rPr>
              <w:t>Accounts payable</w:t>
            </w:r>
          </w:p>
        </w:tc>
        <w:tc>
          <w:tcPr>
            <w:tcW w:w="0" w:type="auto"/>
            <w:tcBorders>
              <w:top w:val="nil"/>
              <w:left w:val="nil"/>
              <w:bottom w:val="nil"/>
              <w:right w:val="nil"/>
            </w:tcBorders>
            <w:shd w:val="clear" w:color="000000" w:fill="FFFFFF"/>
            <w:vAlign w:val="center"/>
            <w:hideMark/>
          </w:tcPr>
          <w:p w14:paraId="69097C9A" w14:textId="77777777" w:rsidR="00D74E40" w:rsidRPr="00D74E40" w:rsidRDefault="00D74E40" w:rsidP="00D74E40">
            <w:pPr>
              <w:spacing w:after="0" w:line="240" w:lineRule="auto"/>
              <w:jc w:val="right"/>
              <w:rPr>
                <w:rFonts w:ascii="Calibri" w:eastAsia="Times New Roman" w:hAnsi="Calibri" w:cs="Calibri"/>
                <w:color w:val="000000"/>
              </w:rPr>
            </w:pPr>
            <w:r w:rsidRPr="00D74E40">
              <w:rPr>
                <w:rFonts w:ascii="Calibri" w:eastAsia="Times New Roman" w:hAnsi="Calibri" w:cs="Calibri"/>
                <w:color w:val="000000"/>
              </w:rPr>
              <w:t xml:space="preserve">                           823 </w:t>
            </w:r>
          </w:p>
        </w:tc>
        <w:tc>
          <w:tcPr>
            <w:tcW w:w="0" w:type="auto"/>
            <w:tcBorders>
              <w:top w:val="nil"/>
              <w:left w:val="nil"/>
              <w:bottom w:val="nil"/>
              <w:right w:val="nil"/>
            </w:tcBorders>
            <w:shd w:val="clear" w:color="000000" w:fill="FFFFFF"/>
            <w:vAlign w:val="center"/>
            <w:hideMark/>
          </w:tcPr>
          <w:p w14:paraId="2BFE0BFE" w14:textId="77777777" w:rsidR="00D74E40" w:rsidRPr="00D74E40" w:rsidRDefault="00D74E40" w:rsidP="00D74E40">
            <w:pPr>
              <w:spacing w:after="0" w:line="240" w:lineRule="auto"/>
              <w:jc w:val="right"/>
              <w:rPr>
                <w:rFonts w:ascii="Calibri" w:eastAsia="Times New Roman" w:hAnsi="Calibri" w:cs="Calibri"/>
                <w:color w:val="000000"/>
              </w:rPr>
            </w:pPr>
            <w:r w:rsidRPr="00D74E40">
              <w:rPr>
                <w:rFonts w:ascii="Calibri" w:eastAsia="Times New Roman" w:hAnsi="Calibri" w:cs="Calibri"/>
                <w:color w:val="000000"/>
              </w:rPr>
              <w:t> </w:t>
            </w:r>
          </w:p>
        </w:tc>
        <w:tc>
          <w:tcPr>
            <w:tcW w:w="0" w:type="auto"/>
            <w:tcBorders>
              <w:top w:val="nil"/>
              <w:left w:val="nil"/>
              <w:bottom w:val="nil"/>
              <w:right w:val="nil"/>
            </w:tcBorders>
            <w:shd w:val="clear" w:color="000000" w:fill="FFFFFF"/>
            <w:vAlign w:val="center"/>
            <w:hideMark/>
          </w:tcPr>
          <w:p w14:paraId="4C1EE644" w14:textId="77777777" w:rsidR="00D74E40" w:rsidRPr="00D74E40" w:rsidRDefault="00D74E40" w:rsidP="00D74E40">
            <w:pPr>
              <w:spacing w:after="0" w:line="240" w:lineRule="auto"/>
              <w:jc w:val="right"/>
              <w:rPr>
                <w:rFonts w:ascii="Calibri" w:eastAsia="Times New Roman" w:hAnsi="Calibri" w:cs="Calibri"/>
                <w:color w:val="000000"/>
              </w:rPr>
            </w:pPr>
            <w:r w:rsidRPr="00D74E40">
              <w:rPr>
                <w:rFonts w:ascii="Calibri" w:eastAsia="Times New Roman" w:hAnsi="Calibri" w:cs="Calibri"/>
                <w:color w:val="000000"/>
              </w:rPr>
              <w:t xml:space="preserve">                           866 </w:t>
            </w:r>
          </w:p>
        </w:tc>
      </w:tr>
      <w:tr w:rsidR="00D74E40" w:rsidRPr="00D74E40" w14:paraId="2B3EB615" w14:textId="77777777" w:rsidTr="00D74E40">
        <w:trPr>
          <w:trHeight w:val="264"/>
          <w:jc w:val="center"/>
        </w:trPr>
        <w:tc>
          <w:tcPr>
            <w:tcW w:w="0" w:type="auto"/>
            <w:tcBorders>
              <w:top w:val="nil"/>
              <w:left w:val="nil"/>
              <w:bottom w:val="nil"/>
              <w:right w:val="nil"/>
            </w:tcBorders>
            <w:shd w:val="clear" w:color="000000" w:fill="FFFFFF"/>
            <w:vAlign w:val="center"/>
            <w:hideMark/>
          </w:tcPr>
          <w:p w14:paraId="0B6345CD" w14:textId="77777777" w:rsidR="00D74E40" w:rsidRPr="00D74E40" w:rsidRDefault="00D74E40" w:rsidP="00D74E40">
            <w:pPr>
              <w:spacing w:after="0" w:line="240" w:lineRule="auto"/>
              <w:rPr>
                <w:rFonts w:ascii="Calibri" w:eastAsia="Times New Roman" w:hAnsi="Calibri" w:cs="Calibri"/>
                <w:color w:val="000000"/>
              </w:rPr>
            </w:pPr>
            <w:r w:rsidRPr="00D74E40">
              <w:rPr>
                <w:rFonts w:ascii="Calibri" w:eastAsia="Times New Roman" w:hAnsi="Calibri" w:cs="Calibri"/>
                <w:color w:val="000000"/>
              </w:rPr>
              <w:t>Accrued liabilities</w:t>
            </w:r>
          </w:p>
        </w:tc>
        <w:tc>
          <w:tcPr>
            <w:tcW w:w="0" w:type="auto"/>
            <w:tcBorders>
              <w:top w:val="nil"/>
              <w:left w:val="nil"/>
              <w:bottom w:val="single" w:sz="4" w:space="0" w:color="auto"/>
              <w:right w:val="nil"/>
            </w:tcBorders>
            <w:shd w:val="clear" w:color="000000" w:fill="FFFFFF"/>
            <w:vAlign w:val="center"/>
            <w:hideMark/>
          </w:tcPr>
          <w:p w14:paraId="7A798975" w14:textId="77777777" w:rsidR="00D74E40" w:rsidRPr="00D74E40" w:rsidRDefault="00D74E40" w:rsidP="00D74E40">
            <w:pPr>
              <w:spacing w:after="0" w:line="240" w:lineRule="auto"/>
              <w:jc w:val="right"/>
              <w:rPr>
                <w:rFonts w:ascii="Calibri" w:eastAsia="Times New Roman" w:hAnsi="Calibri" w:cs="Calibri"/>
                <w:color w:val="000000"/>
              </w:rPr>
            </w:pPr>
            <w:r w:rsidRPr="00D74E40">
              <w:rPr>
                <w:rFonts w:ascii="Calibri" w:eastAsia="Times New Roman" w:hAnsi="Calibri" w:cs="Calibri"/>
                <w:color w:val="000000"/>
              </w:rPr>
              <w:t xml:space="preserve">                           549 </w:t>
            </w:r>
          </w:p>
        </w:tc>
        <w:tc>
          <w:tcPr>
            <w:tcW w:w="0" w:type="auto"/>
            <w:tcBorders>
              <w:top w:val="nil"/>
              <w:left w:val="nil"/>
              <w:bottom w:val="nil"/>
              <w:right w:val="nil"/>
            </w:tcBorders>
            <w:shd w:val="clear" w:color="000000" w:fill="FFFFFF"/>
            <w:vAlign w:val="center"/>
            <w:hideMark/>
          </w:tcPr>
          <w:p w14:paraId="239B525B" w14:textId="77777777" w:rsidR="00D74E40" w:rsidRPr="00D74E40" w:rsidRDefault="00D74E40" w:rsidP="00D74E40">
            <w:pPr>
              <w:spacing w:after="0" w:line="240" w:lineRule="auto"/>
              <w:jc w:val="right"/>
              <w:rPr>
                <w:rFonts w:ascii="Calibri" w:eastAsia="Times New Roman" w:hAnsi="Calibri" w:cs="Calibri"/>
                <w:color w:val="000000"/>
              </w:rPr>
            </w:pPr>
            <w:r w:rsidRPr="00D74E40">
              <w:rPr>
                <w:rFonts w:ascii="Calibri" w:eastAsia="Times New Roman" w:hAnsi="Calibri" w:cs="Calibri"/>
                <w:color w:val="000000"/>
              </w:rPr>
              <w:t> </w:t>
            </w:r>
          </w:p>
        </w:tc>
        <w:tc>
          <w:tcPr>
            <w:tcW w:w="0" w:type="auto"/>
            <w:tcBorders>
              <w:top w:val="nil"/>
              <w:left w:val="nil"/>
              <w:bottom w:val="single" w:sz="4" w:space="0" w:color="auto"/>
              <w:right w:val="nil"/>
            </w:tcBorders>
            <w:shd w:val="clear" w:color="000000" w:fill="FFFFFF"/>
            <w:vAlign w:val="center"/>
            <w:hideMark/>
          </w:tcPr>
          <w:p w14:paraId="18B3227C" w14:textId="77777777" w:rsidR="00D74E40" w:rsidRPr="00D74E40" w:rsidRDefault="00D74E40" w:rsidP="00D74E40">
            <w:pPr>
              <w:spacing w:after="0" w:line="240" w:lineRule="auto"/>
              <w:jc w:val="right"/>
              <w:rPr>
                <w:rFonts w:ascii="Calibri" w:eastAsia="Times New Roman" w:hAnsi="Calibri" w:cs="Calibri"/>
                <w:color w:val="000000"/>
              </w:rPr>
            </w:pPr>
            <w:r w:rsidRPr="00D74E40">
              <w:rPr>
                <w:rFonts w:ascii="Calibri" w:eastAsia="Times New Roman" w:hAnsi="Calibri" w:cs="Calibri"/>
                <w:color w:val="000000"/>
              </w:rPr>
              <w:t xml:space="preserve">                           757 </w:t>
            </w:r>
          </w:p>
        </w:tc>
      </w:tr>
      <w:tr w:rsidR="00D74E40" w:rsidRPr="00D74E40" w14:paraId="330909A4" w14:textId="77777777" w:rsidTr="00D74E40">
        <w:trPr>
          <w:trHeight w:val="264"/>
          <w:jc w:val="center"/>
        </w:trPr>
        <w:tc>
          <w:tcPr>
            <w:tcW w:w="0" w:type="auto"/>
            <w:tcBorders>
              <w:top w:val="nil"/>
              <w:left w:val="nil"/>
              <w:bottom w:val="nil"/>
              <w:right w:val="nil"/>
            </w:tcBorders>
            <w:shd w:val="clear" w:color="000000" w:fill="FFFFFF"/>
            <w:vAlign w:val="center"/>
            <w:hideMark/>
          </w:tcPr>
          <w:p w14:paraId="1FDBFE9A" w14:textId="77777777" w:rsidR="00D74E40" w:rsidRPr="00D74E40" w:rsidRDefault="00D74E40" w:rsidP="00D74E40">
            <w:pPr>
              <w:spacing w:after="0" w:line="240" w:lineRule="auto"/>
              <w:rPr>
                <w:rFonts w:ascii="Calibri" w:eastAsia="Times New Roman" w:hAnsi="Calibri" w:cs="Calibri"/>
                <w:color w:val="000000"/>
              </w:rPr>
            </w:pPr>
            <w:r w:rsidRPr="00D74E40">
              <w:rPr>
                <w:rFonts w:ascii="Calibri" w:eastAsia="Times New Roman" w:hAnsi="Calibri" w:cs="Calibri"/>
                <w:color w:val="000000"/>
              </w:rPr>
              <w:t>Total liabilities</w:t>
            </w:r>
          </w:p>
        </w:tc>
        <w:tc>
          <w:tcPr>
            <w:tcW w:w="0" w:type="auto"/>
            <w:tcBorders>
              <w:top w:val="nil"/>
              <w:left w:val="nil"/>
              <w:bottom w:val="nil"/>
              <w:right w:val="nil"/>
            </w:tcBorders>
            <w:shd w:val="clear" w:color="000000" w:fill="FFFFFF"/>
            <w:vAlign w:val="center"/>
            <w:hideMark/>
          </w:tcPr>
          <w:p w14:paraId="55C30B8C" w14:textId="77777777" w:rsidR="00D74E40" w:rsidRPr="00D74E40" w:rsidRDefault="00D74E40" w:rsidP="00D74E40">
            <w:pPr>
              <w:spacing w:after="0" w:line="240" w:lineRule="auto"/>
              <w:jc w:val="right"/>
              <w:rPr>
                <w:rFonts w:ascii="Calibri" w:eastAsia="Times New Roman" w:hAnsi="Calibri" w:cs="Calibri"/>
                <w:color w:val="000000"/>
              </w:rPr>
            </w:pPr>
            <w:r w:rsidRPr="00D74E40">
              <w:rPr>
                <w:rFonts w:ascii="Calibri" w:eastAsia="Times New Roman" w:hAnsi="Calibri" w:cs="Calibri"/>
                <w:color w:val="000000"/>
              </w:rPr>
              <w:t xml:space="preserve">                        1,372 </w:t>
            </w:r>
          </w:p>
        </w:tc>
        <w:tc>
          <w:tcPr>
            <w:tcW w:w="0" w:type="auto"/>
            <w:tcBorders>
              <w:top w:val="nil"/>
              <w:left w:val="nil"/>
              <w:bottom w:val="nil"/>
              <w:right w:val="nil"/>
            </w:tcBorders>
            <w:shd w:val="clear" w:color="000000" w:fill="FFFFFF"/>
            <w:vAlign w:val="center"/>
            <w:hideMark/>
          </w:tcPr>
          <w:p w14:paraId="369EDD24" w14:textId="77777777" w:rsidR="00D74E40" w:rsidRPr="00D74E40" w:rsidRDefault="00D74E40" w:rsidP="00D74E40">
            <w:pPr>
              <w:spacing w:after="0" w:line="240" w:lineRule="auto"/>
              <w:jc w:val="right"/>
              <w:rPr>
                <w:rFonts w:ascii="Calibri" w:eastAsia="Times New Roman" w:hAnsi="Calibri" w:cs="Calibri"/>
                <w:color w:val="000000"/>
              </w:rPr>
            </w:pPr>
            <w:r w:rsidRPr="00D74E40">
              <w:rPr>
                <w:rFonts w:ascii="Calibri" w:eastAsia="Times New Roman" w:hAnsi="Calibri" w:cs="Calibri"/>
                <w:color w:val="000000"/>
              </w:rPr>
              <w:t> </w:t>
            </w:r>
          </w:p>
        </w:tc>
        <w:tc>
          <w:tcPr>
            <w:tcW w:w="0" w:type="auto"/>
            <w:tcBorders>
              <w:top w:val="nil"/>
              <w:left w:val="nil"/>
              <w:bottom w:val="nil"/>
              <w:right w:val="nil"/>
            </w:tcBorders>
            <w:shd w:val="clear" w:color="000000" w:fill="FFFFFF"/>
            <w:vAlign w:val="center"/>
            <w:hideMark/>
          </w:tcPr>
          <w:p w14:paraId="07967B68" w14:textId="77777777" w:rsidR="00D74E40" w:rsidRPr="00D74E40" w:rsidRDefault="00D74E40" w:rsidP="00D74E40">
            <w:pPr>
              <w:spacing w:after="0" w:line="240" w:lineRule="auto"/>
              <w:jc w:val="right"/>
              <w:rPr>
                <w:rFonts w:ascii="Calibri" w:eastAsia="Times New Roman" w:hAnsi="Calibri" w:cs="Calibri"/>
                <w:color w:val="000000"/>
              </w:rPr>
            </w:pPr>
            <w:r w:rsidRPr="00D74E40">
              <w:rPr>
                <w:rFonts w:ascii="Calibri" w:eastAsia="Times New Roman" w:hAnsi="Calibri" w:cs="Calibri"/>
                <w:color w:val="000000"/>
              </w:rPr>
              <w:t xml:space="preserve">                        1,623 </w:t>
            </w:r>
          </w:p>
        </w:tc>
      </w:tr>
      <w:tr w:rsidR="00D74E40" w:rsidRPr="00D74E40" w14:paraId="3CCC2E2A" w14:textId="77777777" w:rsidTr="00D74E40">
        <w:trPr>
          <w:trHeight w:val="264"/>
          <w:jc w:val="center"/>
        </w:trPr>
        <w:tc>
          <w:tcPr>
            <w:tcW w:w="0" w:type="auto"/>
            <w:tcBorders>
              <w:top w:val="nil"/>
              <w:left w:val="nil"/>
              <w:bottom w:val="nil"/>
              <w:right w:val="nil"/>
            </w:tcBorders>
            <w:shd w:val="clear" w:color="000000" w:fill="FFFFFF"/>
            <w:vAlign w:val="center"/>
            <w:hideMark/>
          </w:tcPr>
          <w:p w14:paraId="7CC3AFA4" w14:textId="77777777" w:rsidR="00D74E40" w:rsidRPr="00D74E40" w:rsidRDefault="00D74E40" w:rsidP="00D74E40">
            <w:pPr>
              <w:spacing w:after="0" w:line="240" w:lineRule="auto"/>
              <w:rPr>
                <w:rFonts w:ascii="Calibri" w:eastAsia="Times New Roman" w:hAnsi="Calibri" w:cs="Calibri"/>
                <w:b/>
                <w:bCs/>
                <w:color w:val="000000"/>
              </w:rPr>
            </w:pPr>
            <w:r w:rsidRPr="00D74E40">
              <w:rPr>
                <w:rFonts w:ascii="Calibri" w:eastAsia="Times New Roman" w:hAnsi="Calibri" w:cs="Calibri"/>
                <w:b/>
                <w:bCs/>
                <w:color w:val="000000"/>
              </w:rPr>
              <w:t>Equity</w:t>
            </w:r>
          </w:p>
        </w:tc>
        <w:tc>
          <w:tcPr>
            <w:tcW w:w="0" w:type="auto"/>
            <w:tcBorders>
              <w:top w:val="single" w:sz="4" w:space="0" w:color="auto"/>
              <w:left w:val="nil"/>
              <w:bottom w:val="single" w:sz="4" w:space="0" w:color="auto"/>
              <w:right w:val="nil"/>
            </w:tcBorders>
            <w:shd w:val="clear" w:color="000000" w:fill="FFFFFF"/>
            <w:vAlign w:val="center"/>
            <w:hideMark/>
          </w:tcPr>
          <w:p w14:paraId="7A362953" w14:textId="77777777" w:rsidR="00D74E40" w:rsidRPr="00D74E40" w:rsidRDefault="00D74E40" w:rsidP="00D74E40">
            <w:pPr>
              <w:spacing w:after="0" w:line="240" w:lineRule="auto"/>
              <w:jc w:val="right"/>
              <w:rPr>
                <w:rFonts w:ascii="Calibri" w:eastAsia="Times New Roman" w:hAnsi="Calibri" w:cs="Calibri"/>
                <w:color w:val="000000"/>
              </w:rPr>
            </w:pPr>
            <w:r w:rsidRPr="00D74E40">
              <w:rPr>
                <w:rFonts w:ascii="Calibri" w:eastAsia="Times New Roman" w:hAnsi="Calibri" w:cs="Calibri"/>
                <w:color w:val="000000"/>
              </w:rPr>
              <w:t xml:space="preserve">                        3,808 </w:t>
            </w:r>
          </w:p>
        </w:tc>
        <w:tc>
          <w:tcPr>
            <w:tcW w:w="0" w:type="auto"/>
            <w:tcBorders>
              <w:top w:val="nil"/>
              <w:left w:val="nil"/>
              <w:bottom w:val="nil"/>
              <w:right w:val="nil"/>
            </w:tcBorders>
            <w:shd w:val="clear" w:color="000000" w:fill="FFFFFF"/>
            <w:vAlign w:val="center"/>
            <w:hideMark/>
          </w:tcPr>
          <w:p w14:paraId="0ADC5402" w14:textId="77777777" w:rsidR="00D74E40" w:rsidRPr="00D74E40" w:rsidRDefault="00D74E40" w:rsidP="00D74E40">
            <w:pPr>
              <w:spacing w:after="0" w:line="240" w:lineRule="auto"/>
              <w:jc w:val="right"/>
              <w:rPr>
                <w:rFonts w:ascii="Calibri" w:eastAsia="Times New Roman" w:hAnsi="Calibri" w:cs="Calibri"/>
                <w:color w:val="000000"/>
              </w:rPr>
            </w:pPr>
            <w:r w:rsidRPr="00D74E40">
              <w:rPr>
                <w:rFonts w:ascii="Calibri" w:eastAsia="Times New Roman" w:hAnsi="Calibri" w:cs="Calibri"/>
                <w:color w:val="000000"/>
              </w:rPr>
              <w:t> </w:t>
            </w:r>
          </w:p>
        </w:tc>
        <w:tc>
          <w:tcPr>
            <w:tcW w:w="0" w:type="auto"/>
            <w:tcBorders>
              <w:top w:val="single" w:sz="4" w:space="0" w:color="auto"/>
              <w:left w:val="nil"/>
              <w:bottom w:val="single" w:sz="4" w:space="0" w:color="auto"/>
              <w:right w:val="nil"/>
            </w:tcBorders>
            <w:shd w:val="clear" w:color="000000" w:fill="FFFFFF"/>
            <w:vAlign w:val="center"/>
            <w:hideMark/>
          </w:tcPr>
          <w:p w14:paraId="418F9822" w14:textId="77777777" w:rsidR="00D74E40" w:rsidRPr="00D74E40" w:rsidRDefault="00D74E40" w:rsidP="00D74E40">
            <w:pPr>
              <w:spacing w:after="0" w:line="240" w:lineRule="auto"/>
              <w:jc w:val="right"/>
              <w:rPr>
                <w:rFonts w:ascii="Calibri" w:eastAsia="Times New Roman" w:hAnsi="Calibri" w:cs="Calibri"/>
                <w:color w:val="000000"/>
              </w:rPr>
            </w:pPr>
            <w:r w:rsidRPr="00D74E40">
              <w:rPr>
                <w:rFonts w:ascii="Calibri" w:eastAsia="Times New Roman" w:hAnsi="Calibri" w:cs="Calibri"/>
                <w:color w:val="000000"/>
              </w:rPr>
              <w:t xml:space="preserve">                        6,356 </w:t>
            </w:r>
          </w:p>
        </w:tc>
      </w:tr>
      <w:tr w:rsidR="00D74E40" w:rsidRPr="00D74E40" w14:paraId="32E0BAD2" w14:textId="77777777" w:rsidTr="00D74E40">
        <w:trPr>
          <w:trHeight w:val="272"/>
          <w:jc w:val="center"/>
        </w:trPr>
        <w:tc>
          <w:tcPr>
            <w:tcW w:w="0" w:type="auto"/>
            <w:tcBorders>
              <w:top w:val="nil"/>
              <w:left w:val="nil"/>
              <w:bottom w:val="nil"/>
              <w:right w:val="nil"/>
            </w:tcBorders>
            <w:shd w:val="clear" w:color="000000" w:fill="FFFFFF"/>
            <w:noWrap/>
            <w:vAlign w:val="bottom"/>
            <w:hideMark/>
          </w:tcPr>
          <w:p w14:paraId="0013C49F" w14:textId="77777777" w:rsidR="00D74E40" w:rsidRPr="00D74E40" w:rsidRDefault="00D74E40" w:rsidP="00D74E40">
            <w:pPr>
              <w:spacing w:after="0" w:line="240" w:lineRule="auto"/>
              <w:rPr>
                <w:rFonts w:ascii="Calibri" w:eastAsia="Times New Roman" w:hAnsi="Calibri" w:cs="Calibri"/>
                <w:b/>
                <w:bCs/>
                <w:color w:val="000000"/>
              </w:rPr>
            </w:pPr>
            <w:r w:rsidRPr="00D74E40">
              <w:rPr>
                <w:rFonts w:ascii="Calibri" w:eastAsia="Times New Roman" w:hAnsi="Calibri" w:cs="Calibri"/>
                <w:b/>
                <w:bCs/>
                <w:color w:val="000000"/>
              </w:rPr>
              <w:t>Total liabilities and equity</w:t>
            </w:r>
          </w:p>
        </w:tc>
        <w:tc>
          <w:tcPr>
            <w:tcW w:w="0" w:type="auto"/>
            <w:tcBorders>
              <w:top w:val="nil"/>
              <w:left w:val="nil"/>
              <w:bottom w:val="single" w:sz="8" w:space="0" w:color="auto"/>
              <w:right w:val="nil"/>
            </w:tcBorders>
            <w:shd w:val="clear" w:color="000000" w:fill="FFFFFF"/>
            <w:vAlign w:val="center"/>
            <w:hideMark/>
          </w:tcPr>
          <w:p w14:paraId="116AC68E" w14:textId="77777777" w:rsidR="00D74E40" w:rsidRPr="00D74E40" w:rsidRDefault="00D74E40" w:rsidP="00D74E40">
            <w:pPr>
              <w:spacing w:after="0" w:line="240" w:lineRule="auto"/>
              <w:jc w:val="right"/>
              <w:rPr>
                <w:rFonts w:ascii="Calibri" w:eastAsia="Times New Roman" w:hAnsi="Calibri" w:cs="Calibri"/>
                <w:color w:val="000000"/>
              </w:rPr>
            </w:pPr>
            <w:r w:rsidRPr="00D74E40">
              <w:rPr>
                <w:rFonts w:ascii="Calibri" w:eastAsia="Times New Roman" w:hAnsi="Calibri" w:cs="Calibri"/>
                <w:color w:val="000000"/>
              </w:rPr>
              <w:t xml:space="preserve"> $                     5,180 </w:t>
            </w:r>
          </w:p>
        </w:tc>
        <w:tc>
          <w:tcPr>
            <w:tcW w:w="0" w:type="auto"/>
            <w:tcBorders>
              <w:top w:val="nil"/>
              <w:left w:val="nil"/>
              <w:bottom w:val="nil"/>
              <w:right w:val="nil"/>
            </w:tcBorders>
            <w:shd w:val="clear" w:color="000000" w:fill="FFFFFF"/>
            <w:vAlign w:val="center"/>
            <w:hideMark/>
          </w:tcPr>
          <w:p w14:paraId="484FF14E" w14:textId="77777777" w:rsidR="00D74E40" w:rsidRPr="00D74E40" w:rsidRDefault="00D74E40" w:rsidP="00D74E40">
            <w:pPr>
              <w:spacing w:after="0" w:line="240" w:lineRule="auto"/>
              <w:jc w:val="right"/>
              <w:rPr>
                <w:rFonts w:ascii="Calibri" w:eastAsia="Times New Roman" w:hAnsi="Calibri" w:cs="Calibri"/>
                <w:color w:val="000000"/>
              </w:rPr>
            </w:pPr>
            <w:r w:rsidRPr="00D74E40">
              <w:rPr>
                <w:rFonts w:ascii="Calibri" w:eastAsia="Times New Roman" w:hAnsi="Calibri" w:cs="Calibri"/>
                <w:color w:val="000000"/>
              </w:rPr>
              <w:t> </w:t>
            </w:r>
          </w:p>
        </w:tc>
        <w:tc>
          <w:tcPr>
            <w:tcW w:w="0" w:type="auto"/>
            <w:tcBorders>
              <w:top w:val="nil"/>
              <w:left w:val="nil"/>
              <w:bottom w:val="single" w:sz="8" w:space="0" w:color="auto"/>
              <w:right w:val="nil"/>
            </w:tcBorders>
            <w:shd w:val="clear" w:color="000000" w:fill="FFFFFF"/>
            <w:vAlign w:val="center"/>
            <w:hideMark/>
          </w:tcPr>
          <w:p w14:paraId="3DE91BEA" w14:textId="77777777" w:rsidR="00D74E40" w:rsidRPr="00D74E40" w:rsidRDefault="00D74E40" w:rsidP="00D74E40">
            <w:pPr>
              <w:spacing w:after="0" w:line="240" w:lineRule="auto"/>
              <w:jc w:val="right"/>
              <w:rPr>
                <w:rFonts w:ascii="Calibri" w:eastAsia="Times New Roman" w:hAnsi="Calibri" w:cs="Calibri"/>
                <w:color w:val="000000"/>
              </w:rPr>
            </w:pPr>
            <w:r w:rsidRPr="00D74E40">
              <w:rPr>
                <w:rFonts w:ascii="Calibri" w:eastAsia="Times New Roman" w:hAnsi="Calibri" w:cs="Calibri"/>
                <w:color w:val="000000"/>
              </w:rPr>
              <w:t xml:space="preserve"> $                     7,979 </w:t>
            </w:r>
          </w:p>
        </w:tc>
      </w:tr>
    </w:tbl>
    <w:p w14:paraId="343149BD" w14:textId="6B51BFDD" w:rsidR="00C726FD" w:rsidRDefault="00C726FD" w:rsidP="00C726FD">
      <w:pPr>
        <w:spacing w:after="0"/>
        <w:jc w:val="center"/>
        <w:rPr>
          <w:rFonts w:ascii="effra" w:hAnsi="effra"/>
          <w:color w:val="1F1F1F"/>
          <w:spacing w:val="8"/>
          <w:shd w:val="clear" w:color="auto" w:fill="FFFFFF"/>
        </w:rPr>
      </w:pPr>
    </w:p>
    <w:p w14:paraId="6A230DF2" w14:textId="5C21589C" w:rsidR="00C726FD" w:rsidRDefault="00C726FD" w:rsidP="00C726FD">
      <w:pPr>
        <w:spacing w:after="0"/>
        <w:jc w:val="center"/>
        <w:rPr>
          <w:rFonts w:ascii="effra" w:hAnsi="effra"/>
          <w:color w:val="1F1F1F"/>
          <w:spacing w:val="8"/>
          <w:shd w:val="clear" w:color="auto" w:fill="FFFFFF"/>
        </w:rPr>
      </w:pPr>
    </w:p>
    <w:p w14:paraId="60C5CFBE" w14:textId="644F432C" w:rsidR="00C726FD" w:rsidRDefault="00C726FD" w:rsidP="00C726FD">
      <w:pPr>
        <w:spacing w:after="0"/>
        <w:jc w:val="center"/>
        <w:rPr>
          <w:rFonts w:ascii="effra" w:hAnsi="effra"/>
          <w:color w:val="1F1F1F"/>
          <w:spacing w:val="8"/>
          <w:shd w:val="clear" w:color="auto" w:fill="FFFFFF"/>
        </w:rPr>
      </w:pPr>
    </w:p>
    <w:p w14:paraId="1A6E48CA" w14:textId="1493B73B" w:rsidR="0010647F" w:rsidRDefault="0010647F" w:rsidP="00600053">
      <w:pPr>
        <w:jc w:val="center"/>
        <w:rPr>
          <w:rStyle w:val="Strong"/>
          <w:rFonts w:ascii="effra" w:hAnsi="effra"/>
          <w:color w:val="1F1F1F"/>
          <w:spacing w:val="8"/>
          <w:shd w:val="clear" w:color="auto" w:fill="FFFFFF"/>
        </w:rPr>
      </w:pPr>
      <w:r>
        <w:rPr>
          <w:rStyle w:val="Strong"/>
          <w:rFonts w:ascii="effra" w:hAnsi="effra"/>
          <w:color w:val="1F1F1F"/>
          <w:spacing w:val="8"/>
          <w:shd w:val="clear" w:color="auto" w:fill="FFFFFF"/>
        </w:rPr>
        <w:br w:type="page"/>
      </w:r>
    </w:p>
    <w:p w14:paraId="6BD30845" w14:textId="7D88D1F3" w:rsidR="00C96D76" w:rsidRDefault="00C726FD" w:rsidP="00C726FD">
      <w:pPr>
        <w:spacing w:after="0"/>
        <w:jc w:val="center"/>
        <w:rPr>
          <w:rFonts w:ascii="effra" w:hAnsi="effra"/>
          <w:color w:val="1F1F1F"/>
          <w:spacing w:val="8"/>
          <w:shd w:val="clear" w:color="auto" w:fill="FFFFFF"/>
        </w:rPr>
      </w:pPr>
      <w:r>
        <w:rPr>
          <w:rStyle w:val="Strong"/>
          <w:rFonts w:ascii="effra" w:hAnsi="effra"/>
          <w:color w:val="1F1F1F"/>
          <w:spacing w:val="8"/>
          <w:shd w:val="clear" w:color="auto" w:fill="FFFFFF"/>
        </w:rPr>
        <w:lastRenderedPageBreak/>
        <w:t>DERMATA THERAPEUTICS, INC.</w:t>
      </w:r>
    </w:p>
    <w:p w14:paraId="0AB850C0" w14:textId="19F13C80" w:rsidR="00C726FD" w:rsidRDefault="00C726FD" w:rsidP="00C726FD">
      <w:pPr>
        <w:spacing w:after="0"/>
        <w:jc w:val="center"/>
        <w:rPr>
          <w:rFonts w:ascii="effra" w:hAnsi="effra"/>
          <w:color w:val="1F1F1F"/>
          <w:spacing w:val="8"/>
          <w:shd w:val="clear" w:color="auto" w:fill="FFFFFF"/>
        </w:rPr>
      </w:pPr>
      <w:r>
        <w:rPr>
          <w:rFonts w:ascii="effra" w:hAnsi="effra"/>
          <w:color w:val="1F1F1F"/>
          <w:spacing w:val="8"/>
          <w:shd w:val="clear" w:color="auto" w:fill="FFFFFF"/>
        </w:rPr>
        <w:t>Statement</w:t>
      </w:r>
      <w:r w:rsidR="00C96D76">
        <w:rPr>
          <w:rFonts w:ascii="effra" w:hAnsi="effra"/>
          <w:color w:val="1F1F1F"/>
          <w:spacing w:val="8"/>
          <w:shd w:val="clear" w:color="auto" w:fill="FFFFFF"/>
        </w:rPr>
        <w:t>s</w:t>
      </w:r>
      <w:r>
        <w:rPr>
          <w:rFonts w:ascii="effra" w:hAnsi="effra"/>
          <w:color w:val="1F1F1F"/>
          <w:spacing w:val="8"/>
          <w:shd w:val="clear" w:color="auto" w:fill="FFFFFF"/>
        </w:rPr>
        <w:t xml:space="preserve"> of Operations</w:t>
      </w:r>
    </w:p>
    <w:p w14:paraId="15551B18" w14:textId="6D69A876" w:rsidR="00C56AD4" w:rsidRPr="009465EF" w:rsidRDefault="009465EF" w:rsidP="00C726FD">
      <w:pPr>
        <w:spacing w:after="0"/>
        <w:jc w:val="center"/>
        <w:rPr>
          <w:rFonts w:ascii="effra" w:hAnsi="effra"/>
          <w:i/>
          <w:iCs/>
          <w:color w:val="1F1F1F"/>
          <w:spacing w:val="8"/>
          <w:shd w:val="clear" w:color="auto" w:fill="FFFFFF"/>
        </w:rPr>
      </w:pPr>
      <w:r w:rsidRPr="009465EF">
        <w:rPr>
          <w:rFonts w:ascii="effra" w:hAnsi="effra"/>
          <w:i/>
          <w:iCs/>
          <w:color w:val="1F1F1F"/>
          <w:spacing w:val="8"/>
          <w:shd w:val="clear" w:color="auto" w:fill="FFFFFF"/>
        </w:rPr>
        <w:t>(unaudited)</w:t>
      </w:r>
    </w:p>
    <w:p w14:paraId="47B66FF9" w14:textId="6F34ED38" w:rsidR="00B57336" w:rsidRDefault="00B57336" w:rsidP="00C726FD">
      <w:pPr>
        <w:spacing w:after="0"/>
        <w:jc w:val="center"/>
        <w:rPr>
          <w:rFonts w:ascii="effra" w:hAnsi="effra"/>
          <w:color w:val="1F1F1F"/>
          <w:spacing w:val="8"/>
          <w:shd w:val="clear" w:color="auto" w:fill="FFFFFF"/>
        </w:rPr>
      </w:pPr>
    </w:p>
    <w:p w14:paraId="3A19EC56" w14:textId="2425C6C6" w:rsidR="00B57336" w:rsidRDefault="00B57336" w:rsidP="00B57336">
      <w:pPr>
        <w:spacing w:after="0"/>
        <w:jc w:val="both"/>
      </w:pPr>
    </w:p>
    <w:tbl>
      <w:tblPr>
        <w:tblW w:w="0" w:type="auto"/>
        <w:tblLook w:val="04A0" w:firstRow="1" w:lastRow="0" w:firstColumn="1" w:lastColumn="0" w:noHBand="0" w:noVBand="1"/>
      </w:tblPr>
      <w:tblGrid>
        <w:gridCol w:w="5357"/>
        <w:gridCol w:w="262"/>
        <w:gridCol w:w="318"/>
        <w:gridCol w:w="1336"/>
        <w:gridCol w:w="262"/>
        <w:gridCol w:w="262"/>
        <w:gridCol w:w="318"/>
        <w:gridCol w:w="1245"/>
      </w:tblGrid>
      <w:tr w:rsidR="00D74E40" w:rsidRPr="00D74E40" w14:paraId="58E443CC" w14:textId="77777777" w:rsidTr="00D74E40">
        <w:trPr>
          <w:trHeight w:val="310"/>
        </w:trPr>
        <w:tc>
          <w:tcPr>
            <w:tcW w:w="0" w:type="auto"/>
            <w:tcBorders>
              <w:top w:val="nil"/>
              <w:left w:val="nil"/>
              <w:bottom w:val="nil"/>
              <w:right w:val="nil"/>
            </w:tcBorders>
            <w:shd w:val="clear" w:color="000000" w:fill="FFFFFF"/>
            <w:vAlign w:val="center"/>
            <w:hideMark/>
          </w:tcPr>
          <w:p w14:paraId="3FEA6EF9"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1FB027DE"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gridSpan w:val="6"/>
            <w:tcBorders>
              <w:top w:val="nil"/>
              <w:left w:val="nil"/>
              <w:bottom w:val="single" w:sz="4" w:space="0" w:color="auto"/>
              <w:right w:val="nil"/>
            </w:tcBorders>
            <w:shd w:val="clear" w:color="000000" w:fill="FFFFFF"/>
            <w:vAlign w:val="center"/>
            <w:hideMark/>
          </w:tcPr>
          <w:p w14:paraId="43F63F39" w14:textId="77777777" w:rsidR="00D74E40" w:rsidRPr="00D74E40" w:rsidRDefault="00D74E40" w:rsidP="00D74E40">
            <w:pPr>
              <w:spacing w:after="0" w:line="240" w:lineRule="auto"/>
              <w:jc w:val="center"/>
              <w:rPr>
                <w:rFonts w:ascii="Calibri" w:eastAsia="Times New Roman" w:hAnsi="Calibri" w:cs="Calibri"/>
                <w:b/>
                <w:bCs/>
                <w:color w:val="000000"/>
                <w:sz w:val="20"/>
                <w:szCs w:val="20"/>
              </w:rPr>
            </w:pPr>
            <w:r w:rsidRPr="00D74E40">
              <w:rPr>
                <w:rFonts w:ascii="Calibri" w:eastAsia="Times New Roman" w:hAnsi="Calibri" w:cs="Calibri"/>
                <w:b/>
                <w:bCs/>
                <w:color w:val="000000"/>
                <w:sz w:val="20"/>
                <w:szCs w:val="20"/>
              </w:rPr>
              <w:t>Quarter Ended March 31,</w:t>
            </w:r>
          </w:p>
        </w:tc>
      </w:tr>
      <w:tr w:rsidR="00D74E40" w:rsidRPr="00D74E40" w14:paraId="1FAE79BD" w14:textId="77777777" w:rsidTr="00D74E40">
        <w:trPr>
          <w:trHeight w:val="285"/>
        </w:trPr>
        <w:tc>
          <w:tcPr>
            <w:tcW w:w="0" w:type="auto"/>
            <w:tcBorders>
              <w:top w:val="nil"/>
              <w:left w:val="nil"/>
              <w:bottom w:val="nil"/>
              <w:right w:val="nil"/>
            </w:tcBorders>
            <w:shd w:val="clear" w:color="000000" w:fill="FFFFFF"/>
            <w:vAlign w:val="center"/>
            <w:hideMark/>
          </w:tcPr>
          <w:p w14:paraId="4809DDFF" w14:textId="77777777" w:rsidR="00D74E40" w:rsidRPr="00D74E40" w:rsidRDefault="00D74E40" w:rsidP="00D74E40">
            <w:pPr>
              <w:spacing w:after="0" w:line="240" w:lineRule="auto"/>
              <w:rPr>
                <w:rFonts w:ascii="Calibri" w:eastAsia="Times New Roman" w:hAnsi="Calibri" w:cs="Calibri"/>
                <w:i/>
                <w:iCs/>
                <w:color w:val="000000"/>
                <w:sz w:val="20"/>
                <w:szCs w:val="20"/>
              </w:rPr>
            </w:pPr>
            <w:r w:rsidRPr="00D74E40">
              <w:rPr>
                <w:rFonts w:ascii="Calibri" w:eastAsia="Times New Roman" w:hAnsi="Calibri" w:cs="Calibri"/>
                <w:i/>
                <w:iCs/>
                <w:color w:val="000000"/>
                <w:sz w:val="20"/>
                <w:szCs w:val="20"/>
              </w:rPr>
              <w:t>In thousands, except share and per share data</w:t>
            </w:r>
          </w:p>
        </w:tc>
        <w:tc>
          <w:tcPr>
            <w:tcW w:w="0" w:type="auto"/>
            <w:tcBorders>
              <w:top w:val="nil"/>
              <w:left w:val="nil"/>
              <w:bottom w:val="nil"/>
              <w:right w:val="nil"/>
            </w:tcBorders>
            <w:shd w:val="clear" w:color="000000" w:fill="FFFFFF"/>
            <w:vAlign w:val="center"/>
            <w:hideMark/>
          </w:tcPr>
          <w:p w14:paraId="3D966743"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gridSpan w:val="2"/>
            <w:tcBorders>
              <w:top w:val="nil"/>
              <w:left w:val="nil"/>
              <w:bottom w:val="single" w:sz="4" w:space="0" w:color="auto"/>
              <w:right w:val="nil"/>
            </w:tcBorders>
            <w:shd w:val="clear" w:color="000000" w:fill="FFFFFF"/>
            <w:vAlign w:val="center"/>
            <w:hideMark/>
          </w:tcPr>
          <w:p w14:paraId="4E045732" w14:textId="77777777" w:rsidR="00D74E40" w:rsidRPr="00D74E40" w:rsidRDefault="00D74E40" w:rsidP="00D74E40">
            <w:pPr>
              <w:spacing w:after="0" w:line="240" w:lineRule="auto"/>
              <w:jc w:val="center"/>
              <w:rPr>
                <w:rFonts w:ascii="Calibri" w:eastAsia="Times New Roman" w:hAnsi="Calibri" w:cs="Calibri"/>
                <w:b/>
                <w:bCs/>
                <w:color w:val="000000"/>
                <w:sz w:val="20"/>
                <w:szCs w:val="20"/>
              </w:rPr>
            </w:pPr>
            <w:r w:rsidRPr="00D74E40">
              <w:rPr>
                <w:rFonts w:ascii="Calibri" w:eastAsia="Times New Roman" w:hAnsi="Calibri" w:cs="Calibri"/>
                <w:b/>
                <w:bCs/>
                <w:color w:val="000000"/>
                <w:sz w:val="20"/>
                <w:szCs w:val="20"/>
              </w:rPr>
              <w:t>2024</w:t>
            </w:r>
          </w:p>
        </w:tc>
        <w:tc>
          <w:tcPr>
            <w:tcW w:w="0" w:type="auto"/>
            <w:tcBorders>
              <w:top w:val="nil"/>
              <w:left w:val="nil"/>
              <w:bottom w:val="nil"/>
              <w:right w:val="nil"/>
            </w:tcBorders>
            <w:shd w:val="clear" w:color="000000" w:fill="FFFFFF"/>
            <w:vAlign w:val="center"/>
            <w:hideMark/>
          </w:tcPr>
          <w:p w14:paraId="1791FB8C"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566BF04A"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gridSpan w:val="2"/>
            <w:tcBorders>
              <w:top w:val="nil"/>
              <w:left w:val="nil"/>
              <w:bottom w:val="single" w:sz="4" w:space="0" w:color="auto"/>
              <w:right w:val="nil"/>
            </w:tcBorders>
            <w:shd w:val="clear" w:color="000000" w:fill="FFFFFF"/>
            <w:vAlign w:val="center"/>
            <w:hideMark/>
          </w:tcPr>
          <w:p w14:paraId="05EE3D33" w14:textId="77777777" w:rsidR="00D74E40" w:rsidRPr="00D74E40" w:rsidRDefault="00D74E40" w:rsidP="00D74E40">
            <w:pPr>
              <w:spacing w:after="0" w:line="240" w:lineRule="auto"/>
              <w:jc w:val="center"/>
              <w:rPr>
                <w:rFonts w:ascii="Calibri" w:eastAsia="Times New Roman" w:hAnsi="Calibri" w:cs="Calibri"/>
                <w:b/>
                <w:bCs/>
                <w:color w:val="000000"/>
                <w:sz w:val="20"/>
                <w:szCs w:val="20"/>
              </w:rPr>
            </w:pPr>
            <w:r w:rsidRPr="00D74E40">
              <w:rPr>
                <w:rFonts w:ascii="Calibri" w:eastAsia="Times New Roman" w:hAnsi="Calibri" w:cs="Calibri"/>
                <w:b/>
                <w:bCs/>
                <w:color w:val="000000"/>
                <w:sz w:val="20"/>
                <w:szCs w:val="20"/>
              </w:rPr>
              <w:t>2023</w:t>
            </w:r>
          </w:p>
        </w:tc>
      </w:tr>
      <w:tr w:rsidR="00D74E40" w:rsidRPr="00D74E40" w14:paraId="316E700D" w14:textId="77777777" w:rsidTr="00D74E40">
        <w:trPr>
          <w:trHeight w:val="285"/>
        </w:trPr>
        <w:tc>
          <w:tcPr>
            <w:tcW w:w="0" w:type="auto"/>
            <w:tcBorders>
              <w:top w:val="nil"/>
              <w:left w:val="nil"/>
              <w:bottom w:val="nil"/>
              <w:right w:val="nil"/>
            </w:tcBorders>
            <w:shd w:val="clear" w:color="000000" w:fill="FFFFFF"/>
            <w:vAlign w:val="center"/>
            <w:hideMark/>
          </w:tcPr>
          <w:p w14:paraId="03810195" w14:textId="77777777" w:rsidR="00D74E40" w:rsidRPr="00D74E40" w:rsidRDefault="00D74E40" w:rsidP="00D74E40">
            <w:pPr>
              <w:spacing w:after="0" w:line="240" w:lineRule="auto"/>
              <w:jc w:val="both"/>
              <w:rPr>
                <w:rFonts w:ascii="Calibri" w:eastAsia="Times New Roman" w:hAnsi="Calibri" w:cs="Calibri"/>
                <w:b/>
                <w:bCs/>
                <w:color w:val="000000"/>
                <w:sz w:val="20"/>
                <w:szCs w:val="20"/>
              </w:rPr>
            </w:pPr>
            <w:r w:rsidRPr="00D74E40">
              <w:rPr>
                <w:rFonts w:ascii="Calibri" w:eastAsia="Times New Roman" w:hAnsi="Calibri" w:cs="Calibri"/>
                <w:b/>
                <w:bCs/>
                <w:color w:val="000000"/>
                <w:sz w:val="20"/>
                <w:szCs w:val="20"/>
              </w:rPr>
              <w:t>Operating expenses</w:t>
            </w:r>
          </w:p>
        </w:tc>
        <w:tc>
          <w:tcPr>
            <w:tcW w:w="0" w:type="auto"/>
            <w:tcBorders>
              <w:top w:val="nil"/>
              <w:left w:val="nil"/>
              <w:bottom w:val="nil"/>
              <w:right w:val="nil"/>
            </w:tcBorders>
            <w:shd w:val="clear" w:color="000000" w:fill="FFFFFF"/>
            <w:vAlign w:val="center"/>
            <w:hideMark/>
          </w:tcPr>
          <w:p w14:paraId="07267445"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694724F3"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69616CB8" w14:textId="77777777" w:rsidR="00D74E40" w:rsidRPr="00D74E40" w:rsidRDefault="00D74E40" w:rsidP="00D74E40">
            <w:pPr>
              <w:spacing w:after="0" w:line="240" w:lineRule="auto"/>
              <w:jc w:val="right"/>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5994C501"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3B56A25D"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059F8BF3"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54C8ABAA" w14:textId="77777777" w:rsidR="00D74E40" w:rsidRPr="00D74E40" w:rsidRDefault="00D74E40" w:rsidP="00D74E40">
            <w:pPr>
              <w:spacing w:after="0" w:line="240" w:lineRule="auto"/>
              <w:jc w:val="right"/>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r>
      <w:tr w:rsidR="00D74E40" w:rsidRPr="00D74E40" w14:paraId="4BBEB5CE" w14:textId="77777777" w:rsidTr="00D74E40">
        <w:trPr>
          <w:trHeight w:val="285"/>
        </w:trPr>
        <w:tc>
          <w:tcPr>
            <w:tcW w:w="0" w:type="auto"/>
            <w:tcBorders>
              <w:top w:val="nil"/>
              <w:left w:val="nil"/>
              <w:bottom w:val="nil"/>
              <w:right w:val="nil"/>
            </w:tcBorders>
            <w:shd w:val="clear" w:color="000000" w:fill="FFFFFF"/>
            <w:vAlign w:val="center"/>
            <w:hideMark/>
          </w:tcPr>
          <w:p w14:paraId="74CD6DA6"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Research and development (1)</w:t>
            </w:r>
          </w:p>
        </w:tc>
        <w:tc>
          <w:tcPr>
            <w:tcW w:w="0" w:type="auto"/>
            <w:tcBorders>
              <w:top w:val="nil"/>
              <w:left w:val="nil"/>
              <w:bottom w:val="nil"/>
              <w:right w:val="nil"/>
            </w:tcBorders>
            <w:shd w:val="clear" w:color="000000" w:fill="FFFFFF"/>
            <w:vAlign w:val="center"/>
            <w:hideMark/>
          </w:tcPr>
          <w:p w14:paraId="07F46BB9"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46D559C5"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w:t>
            </w:r>
          </w:p>
        </w:tc>
        <w:tc>
          <w:tcPr>
            <w:tcW w:w="0" w:type="auto"/>
            <w:tcBorders>
              <w:top w:val="nil"/>
              <w:left w:val="nil"/>
              <w:bottom w:val="nil"/>
              <w:right w:val="nil"/>
            </w:tcBorders>
            <w:shd w:val="clear" w:color="auto" w:fill="auto"/>
            <w:noWrap/>
            <w:vAlign w:val="bottom"/>
            <w:hideMark/>
          </w:tcPr>
          <w:p w14:paraId="01E1B1F0" w14:textId="77777777" w:rsidR="00D74E40" w:rsidRPr="00D74E40" w:rsidRDefault="00D74E40" w:rsidP="00D74E40">
            <w:pPr>
              <w:spacing w:after="0" w:line="240" w:lineRule="auto"/>
              <w:jc w:val="right"/>
              <w:rPr>
                <w:rFonts w:ascii="Calibri" w:eastAsia="Times New Roman" w:hAnsi="Calibri" w:cs="Calibri"/>
                <w:color w:val="000000"/>
                <w:sz w:val="20"/>
                <w:szCs w:val="20"/>
              </w:rPr>
            </w:pPr>
            <w:r w:rsidRPr="00D74E40">
              <w:rPr>
                <w:rFonts w:ascii="Calibri" w:eastAsia="Times New Roman" w:hAnsi="Calibri" w:cs="Calibri"/>
                <w:color w:val="000000"/>
                <w:sz w:val="20"/>
                <w:szCs w:val="20"/>
              </w:rPr>
              <w:t xml:space="preserve">             1,600 </w:t>
            </w:r>
          </w:p>
        </w:tc>
        <w:tc>
          <w:tcPr>
            <w:tcW w:w="0" w:type="auto"/>
            <w:tcBorders>
              <w:top w:val="nil"/>
              <w:left w:val="nil"/>
              <w:bottom w:val="nil"/>
              <w:right w:val="nil"/>
            </w:tcBorders>
            <w:shd w:val="clear" w:color="000000" w:fill="FFFFFF"/>
            <w:vAlign w:val="center"/>
            <w:hideMark/>
          </w:tcPr>
          <w:p w14:paraId="4A73EFB8"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5CC05424"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5968C1F1"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w:t>
            </w:r>
          </w:p>
        </w:tc>
        <w:tc>
          <w:tcPr>
            <w:tcW w:w="0" w:type="auto"/>
            <w:tcBorders>
              <w:top w:val="nil"/>
              <w:left w:val="nil"/>
              <w:bottom w:val="nil"/>
              <w:right w:val="nil"/>
            </w:tcBorders>
            <w:shd w:val="clear" w:color="000000" w:fill="FFFFFF"/>
            <w:noWrap/>
            <w:vAlign w:val="bottom"/>
            <w:hideMark/>
          </w:tcPr>
          <w:p w14:paraId="22E524BA" w14:textId="77777777" w:rsidR="00D74E40" w:rsidRPr="00D74E40" w:rsidRDefault="00D74E40" w:rsidP="00D74E40">
            <w:pPr>
              <w:spacing w:after="0" w:line="240" w:lineRule="auto"/>
              <w:jc w:val="right"/>
              <w:rPr>
                <w:rFonts w:ascii="Calibri" w:eastAsia="Times New Roman" w:hAnsi="Calibri" w:cs="Calibri"/>
                <w:color w:val="000000"/>
                <w:sz w:val="20"/>
                <w:szCs w:val="20"/>
              </w:rPr>
            </w:pPr>
            <w:r w:rsidRPr="00D74E40">
              <w:rPr>
                <w:rFonts w:ascii="Calibri" w:eastAsia="Times New Roman" w:hAnsi="Calibri" w:cs="Calibri"/>
                <w:color w:val="000000"/>
                <w:sz w:val="20"/>
                <w:szCs w:val="20"/>
              </w:rPr>
              <w:t xml:space="preserve">            1,193 </w:t>
            </w:r>
          </w:p>
        </w:tc>
      </w:tr>
      <w:tr w:rsidR="00D74E40" w:rsidRPr="00D74E40" w14:paraId="0E36DF81" w14:textId="77777777" w:rsidTr="00D74E40">
        <w:trPr>
          <w:trHeight w:val="285"/>
        </w:trPr>
        <w:tc>
          <w:tcPr>
            <w:tcW w:w="0" w:type="auto"/>
            <w:tcBorders>
              <w:top w:val="nil"/>
              <w:left w:val="nil"/>
              <w:bottom w:val="nil"/>
              <w:right w:val="nil"/>
            </w:tcBorders>
            <w:shd w:val="clear" w:color="000000" w:fill="FFFFFF"/>
            <w:vAlign w:val="center"/>
            <w:hideMark/>
          </w:tcPr>
          <w:p w14:paraId="6E518F8D"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General and administrative (1)</w:t>
            </w:r>
          </w:p>
        </w:tc>
        <w:tc>
          <w:tcPr>
            <w:tcW w:w="0" w:type="auto"/>
            <w:tcBorders>
              <w:top w:val="nil"/>
              <w:left w:val="nil"/>
              <w:bottom w:val="nil"/>
              <w:right w:val="nil"/>
            </w:tcBorders>
            <w:shd w:val="clear" w:color="000000" w:fill="FFFFFF"/>
            <w:vAlign w:val="center"/>
            <w:hideMark/>
          </w:tcPr>
          <w:p w14:paraId="49FD0DC2"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0C0596EF"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single" w:sz="4" w:space="0" w:color="auto"/>
              <w:right w:val="nil"/>
            </w:tcBorders>
            <w:shd w:val="clear" w:color="000000" w:fill="FFFFFF"/>
            <w:noWrap/>
            <w:vAlign w:val="bottom"/>
            <w:hideMark/>
          </w:tcPr>
          <w:p w14:paraId="4D7BFEED" w14:textId="77777777" w:rsidR="00D74E40" w:rsidRPr="00D74E40" w:rsidRDefault="00D74E40" w:rsidP="00D74E40">
            <w:pPr>
              <w:spacing w:after="0" w:line="240" w:lineRule="auto"/>
              <w:jc w:val="right"/>
              <w:rPr>
                <w:rFonts w:ascii="Calibri" w:eastAsia="Times New Roman" w:hAnsi="Calibri" w:cs="Calibri"/>
                <w:color w:val="000000"/>
                <w:sz w:val="20"/>
                <w:szCs w:val="20"/>
              </w:rPr>
            </w:pPr>
            <w:r w:rsidRPr="00D74E40">
              <w:rPr>
                <w:rFonts w:ascii="Calibri" w:eastAsia="Times New Roman" w:hAnsi="Calibri" w:cs="Calibri"/>
                <w:color w:val="000000"/>
                <w:sz w:val="20"/>
                <w:szCs w:val="20"/>
              </w:rPr>
              <w:t xml:space="preserve">             1,603 </w:t>
            </w:r>
          </w:p>
        </w:tc>
        <w:tc>
          <w:tcPr>
            <w:tcW w:w="0" w:type="auto"/>
            <w:tcBorders>
              <w:top w:val="nil"/>
              <w:left w:val="nil"/>
              <w:bottom w:val="nil"/>
              <w:right w:val="nil"/>
            </w:tcBorders>
            <w:shd w:val="clear" w:color="000000" w:fill="FFFFFF"/>
            <w:vAlign w:val="center"/>
            <w:hideMark/>
          </w:tcPr>
          <w:p w14:paraId="28EFBB77"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0FF79741"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287255FB"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single" w:sz="4" w:space="0" w:color="auto"/>
              <w:right w:val="nil"/>
            </w:tcBorders>
            <w:shd w:val="clear" w:color="000000" w:fill="FFFFFF"/>
            <w:noWrap/>
            <w:vAlign w:val="bottom"/>
            <w:hideMark/>
          </w:tcPr>
          <w:p w14:paraId="45594EF5" w14:textId="77777777" w:rsidR="00D74E40" w:rsidRPr="00D74E40" w:rsidRDefault="00D74E40" w:rsidP="00D74E40">
            <w:pPr>
              <w:spacing w:after="0" w:line="240" w:lineRule="auto"/>
              <w:jc w:val="right"/>
              <w:rPr>
                <w:rFonts w:ascii="Calibri" w:eastAsia="Times New Roman" w:hAnsi="Calibri" w:cs="Calibri"/>
                <w:color w:val="000000"/>
                <w:sz w:val="20"/>
                <w:szCs w:val="20"/>
              </w:rPr>
            </w:pPr>
            <w:r w:rsidRPr="00D74E40">
              <w:rPr>
                <w:rFonts w:ascii="Calibri" w:eastAsia="Times New Roman" w:hAnsi="Calibri" w:cs="Calibri"/>
                <w:color w:val="000000"/>
                <w:sz w:val="20"/>
                <w:szCs w:val="20"/>
              </w:rPr>
              <w:t xml:space="preserve">1,085 </w:t>
            </w:r>
          </w:p>
        </w:tc>
      </w:tr>
      <w:tr w:rsidR="00D74E40" w:rsidRPr="00D74E40" w14:paraId="2321058E" w14:textId="77777777" w:rsidTr="00D74E40">
        <w:trPr>
          <w:trHeight w:val="285"/>
        </w:trPr>
        <w:tc>
          <w:tcPr>
            <w:tcW w:w="0" w:type="auto"/>
            <w:tcBorders>
              <w:top w:val="nil"/>
              <w:left w:val="nil"/>
              <w:bottom w:val="nil"/>
              <w:right w:val="nil"/>
            </w:tcBorders>
            <w:shd w:val="clear" w:color="000000" w:fill="FFFFFF"/>
            <w:vAlign w:val="center"/>
            <w:hideMark/>
          </w:tcPr>
          <w:p w14:paraId="6A290AD0"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Total operating expenses</w:t>
            </w:r>
          </w:p>
        </w:tc>
        <w:tc>
          <w:tcPr>
            <w:tcW w:w="0" w:type="auto"/>
            <w:tcBorders>
              <w:top w:val="nil"/>
              <w:left w:val="nil"/>
              <w:bottom w:val="nil"/>
              <w:right w:val="nil"/>
            </w:tcBorders>
            <w:shd w:val="clear" w:color="000000" w:fill="FFFFFF"/>
            <w:vAlign w:val="center"/>
            <w:hideMark/>
          </w:tcPr>
          <w:p w14:paraId="4390BB2F"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2269C9F3"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single" w:sz="4" w:space="0" w:color="auto"/>
              <w:right w:val="nil"/>
            </w:tcBorders>
            <w:shd w:val="clear" w:color="000000" w:fill="FFFFFF"/>
            <w:noWrap/>
            <w:vAlign w:val="bottom"/>
            <w:hideMark/>
          </w:tcPr>
          <w:p w14:paraId="4F753AE1" w14:textId="77777777" w:rsidR="00D74E40" w:rsidRPr="00D74E40" w:rsidRDefault="00D74E40" w:rsidP="00D74E40">
            <w:pPr>
              <w:spacing w:after="0" w:line="240" w:lineRule="auto"/>
              <w:jc w:val="right"/>
              <w:rPr>
                <w:rFonts w:ascii="Calibri" w:eastAsia="Times New Roman" w:hAnsi="Calibri" w:cs="Calibri"/>
                <w:color w:val="000000"/>
                <w:sz w:val="20"/>
                <w:szCs w:val="20"/>
              </w:rPr>
            </w:pPr>
            <w:r w:rsidRPr="00D74E40">
              <w:rPr>
                <w:rFonts w:ascii="Calibri" w:eastAsia="Times New Roman" w:hAnsi="Calibri" w:cs="Calibri"/>
                <w:color w:val="000000"/>
                <w:sz w:val="20"/>
                <w:szCs w:val="20"/>
              </w:rPr>
              <w:t xml:space="preserve">             3,203 </w:t>
            </w:r>
          </w:p>
        </w:tc>
        <w:tc>
          <w:tcPr>
            <w:tcW w:w="0" w:type="auto"/>
            <w:tcBorders>
              <w:top w:val="nil"/>
              <w:left w:val="nil"/>
              <w:bottom w:val="nil"/>
              <w:right w:val="nil"/>
            </w:tcBorders>
            <w:shd w:val="clear" w:color="000000" w:fill="FFFFFF"/>
            <w:vAlign w:val="center"/>
            <w:hideMark/>
          </w:tcPr>
          <w:p w14:paraId="5F60AE24"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1B058435"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3DAD92A9"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single" w:sz="4" w:space="0" w:color="auto"/>
              <w:right w:val="nil"/>
            </w:tcBorders>
            <w:shd w:val="clear" w:color="000000" w:fill="FFFFFF"/>
            <w:noWrap/>
            <w:vAlign w:val="bottom"/>
            <w:hideMark/>
          </w:tcPr>
          <w:p w14:paraId="46E03A15" w14:textId="77777777" w:rsidR="00D74E40" w:rsidRPr="00D74E40" w:rsidRDefault="00D74E40" w:rsidP="00D74E40">
            <w:pPr>
              <w:spacing w:after="0" w:line="240" w:lineRule="auto"/>
              <w:jc w:val="right"/>
              <w:rPr>
                <w:rFonts w:ascii="Calibri" w:eastAsia="Times New Roman" w:hAnsi="Calibri" w:cs="Calibri"/>
                <w:color w:val="000000"/>
                <w:sz w:val="20"/>
                <w:szCs w:val="20"/>
              </w:rPr>
            </w:pPr>
            <w:r w:rsidRPr="00D74E40">
              <w:rPr>
                <w:rFonts w:ascii="Calibri" w:eastAsia="Times New Roman" w:hAnsi="Calibri" w:cs="Calibri"/>
                <w:color w:val="000000"/>
                <w:sz w:val="20"/>
                <w:szCs w:val="20"/>
              </w:rPr>
              <w:t xml:space="preserve">2,278 </w:t>
            </w:r>
          </w:p>
        </w:tc>
      </w:tr>
      <w:tr w:rsidR="00D74E40" w:rsidRPr="00D74E40" w14:paraId="44471CAE" w14:textId="77777777" w:rsidTr="00D74E40">
        <w:trPr>
          <w:trHeight w:val="285"/>
        </w:trPr>
        <w:tc>
          <w:tcPr>
            <w:tcW w:w="0" w:type="auto"/>
            <w:tcBorders>
              <w:top w:val="nil"/>
              <w:left w:val="nil"/>
              <w:bottom w:val="nil"/>
              <w:right w:val="nil"/>
            </w:tcBorders>
            <w:shd w:val="clear" w:color="000000" w:fill="FFFFFF"/>
            <w:vAlign w:val="center"/>
            <w:hideMark/>
          </w:tcPr>
          <w:p w14:paraId="44DEEED4"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Loss from operations</w:t>
            </w:r>
          </w:p>
        </w:tc>
        <w:tc>
          <w:tcPr>
            <w:tcW w:w="0" w:type="auto"/>
            <w:tcBorders>
              <w:top w:val="nil"/>
              <w:left w:val="nil"/>
              <w:bottom w:val="nil"/>
              <w:right w:val="nil"/>
            </w:tcBorders>
            <w:shd w:val="clear" w:color="000000" w:fill="FFFFFF"/>
            <w:vAlign w:val="center"/>
            <w:hideMark/>
          </w:tcPr>
          <w:p w14:paraId="377D177A"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54FA82B4"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single" w:sz="4" w:space="0" w:color="auto"/>
              <w:right w:val="nil"/>
            </w:tcBorders>
            <w:shd w:val="clear" w:color="000000" w:fill="FFFFFF"/>
            <w:noWrap/>
            <w:vAlign w:val="bottom"/>
            <w:hideMark/>
          </w:tcPr>
          <w:p w14:paraId="297515FF" w14:textId="77777777" w:rsidR="00D74E40" w:rsidRPr="00D74E40" w:rsidRDefault="00D74E40" w:rsidP="00D74E40">
            <w:pPr>
              <w:spacing w:after="0" w:line="240" w:lineRule="auto"/>
              <w:jc w:val="right"/>
              <w:rPr>
                <w:rFonts w:ascii="Calibri" w:eastAsia="Times New Roman" w:hAnsi="Calibri" w:cs="Calibri"/>
                <w:color w:val="000000"/>
                <w:sz w:val="20"/>
                <w:szCs w:val="20"/>
              </w:rPr>
            </w:pPr>
            <w:r w:rsidRPr="00D74E40">
              <w:rPr>
                <w:rFonts w:ascii="Calibri" w:eastAsia="Times New Roman" w:hAnsi="Calibri" w:cs="Calibri"/>
                <w:color w:val="000000"/>
                <w:sz w:val="20"/>
                <w:szCs w:val="20"/>
              </w:rPr>
              <w:t xml:space="preserve">            (3,203)</w:t>
            </w:r>
          </w:p>
        </w:tc>
        <w:tc>
          <w:tcPr>
            <w:tcW w:w="0" w:type="auto"/>
            <w:tcBorders>
              <w:top w:val="nil"/>
              <w:left w:val="nil"/>
              <w:bottom w:val="nil"/>
              <w:right w:val="nil"/>
            </w:tcBorders>
            <w:shd w:val="clear" w:color="000000" w:fill="FFFFFF"/>
            <w:vAlign w:val="center"/>
            <w:hideMark/>
          </w:tcPr>
          <w:p w14:paraId="0BD9B2FA"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39B3E468"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454E3D7A"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single" w:sz="4" w:space="0" w:color="auto"/>
              <w:right w:val="nil"/>
            </w:tcBorders>
            <w:shd w:val="clear" w:color="000000" w:fill="FFFFFF"/>
            <w:noWrap/>
            <w:vAlign w:val="bottom"/>
            <w:hideMark/>
          </w:tcPr>
          <w:p w14:paraId="65994709" w14:textId="77777777" w:rsidR="00D74E40" w:rsidRPr="00D74E40" w:rsidRDefault="00D74E40" w:rsidP="00D74E40">
            <w:pPr>
              <w:spacing w:after="0" w:line="240" w:lineRule="auto"/>
              <w:jc w:val="right"/>
              <w:rPr>
                <w:rFonts w:ascii="Calibri" w:eastAsia="Times New Roman" w:hAnsi="Calibri" w:cs="Calibri"/>
                <w:color w:val="000000"/>
                <w:sz w:val="20"/>
                <w:szCs w:val="20"/>
              </w:rPr>
            </w:pPr>
            <w:r w:rsidRPr="00D74E40">
              <w:rPr>
                <w:rFonts w:ascii="Calibri" w:eastAsia="Times New Roman" w:hAnsi="Calibri" w:cs="Calibri"/>
                <w:color w:val="000000"/>
                <w:sz w:val="20"/>
                <w:szCs w:val="20"/>
              </w:rPr>
              <w:t>(2,278)</w:t>
            </w:r>
          </w:p>
        </w:tc>
      </w:tr>
      <w:tr w:rsidR="00D74E40" w:rsidRPr="00D74E40" w14:paraId="0C8BFAAD" w14:textId="77777777" w:rsidTr="00D74E40">
        <w:trPr>
          <w:trHeight w:val="285"/>
        </w:trPr>
        <w:tc>
          <w:tcPr>
            <w:tcW w:w="0" w:type="auto"/>
            <w:tcBorders>
              <w:top w:val="nil"/>
              <w:left w:val="nil"/>
              <w:bottom w:val="nil"/>
              <w:right w:val="nil"/>
            </w:tcBorders>
            <w:shd w:val="clear" w:color="000000" w:fill="FFFFFF"/>
            <w:vAlign w:val="center"/>
            <w:hideMark/>
          </w:tcPr>
          <w:p w14:paraId="77241513"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Interest income, net</w:t>
            </w:r>
          </w:p>
        </w:tc>
        <w:tc>
          <w:tcPr>
            <w:tcW w:w="0" w:type="auto"/>
            <w:tcBorders>
              <w:top w:val="nil"/>
              <w:left w:val="nil"/>
              <w:bottom w:val="nil"/>
              <w:right w:val="nil"/>
            </w:tcBorders>
            <w:shd w:val="clear" w:color="000000" w:fill="FFFFFF"/>
            <w:vAlign w:val="center"/>
            <w:hideMark/>
          </w:tcPr>
          <w:p w14:paraId="3E498040"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24C9E4F4"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single" w:sz="4" w:space="0" w:color="auto"/>
              <w:right w:val="nil"/>
            </w:tcBorders>
            <w:shd w:val="clear" w:color="000000" w:fill="FFFFFF"/>
            <w:noWrap/>
            <w:vAlign w:val="bottom"/>
            <w:hideMark/>
          </w:tcPr>
          <w:p w14:paraId="706125FA" w14:textId="77777777" w:rsidR="00D74E40" w:rsidRPr="00D74E40" w:rsidRDefault="00D74E40" w:rsidP="00D74E40">
            <w:pPr>
              <w:spacing w:after="0" w:line="240" w:lineRule="auto"/>
              <w:jc w:val="right"/>
              <w:rPr>
                <w:rFonts w:ascii="Calibri" w:eastAsia="Times New Roman" w:hAnsi="Calibri" w:cs="Calibri"/>
                <w:color w:val="000000"/>
                <w:sz w:val="20"/>
                <w:szCs w:val="20"/>
              </w:rPr>
            </w:pPr>
            <w:r w:rsidRPr="00D74E40">
              <w:rPr>
                <w:rFonts w:ascii="Calibri" w:eastAsia="Times New Roman" w:hAnsi="Calibri" w:cs="Calibri"/>
                <w:color w:val="000000"/>
                <w:sz w:val="20"/>
                <w:szCs w:val="20"/>
              </w:rPr>
              <w:t xml:space="preserve">                   69 </w:t>
            </w:r>
          </w:p>
        </w:tc>
        <w:tc>
          <w:tcPr>
            <w:tcW w:w="0" w:type="auto"/>
            <w:tcBorders>
              <w:top w:val="nil"/>
              <w:left w:val="nil"/>
              <w:bottom w:val="nil"/>
              <w:right w:val="nil"/>
            </w:tcBorders>
            <w:shd w:val="clear" w:color="000000" w:fill="FFFFFF"/>
            <w:vAlign w:val="center"/>
            <w:hideMark/>
          </w:tcPr>
          <w:p w14:paraId="59FAD0A5"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06232848"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0DCCF992"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single" w:sz="4" w:space="0" w:color="auto"/>
              <w:right w:val="nil"/>
            </w:tcBorders>
            <w:shd w:val="clear" w:color="000000" w:fill="FFFFFF"/>
            <w:noWrap/>
            <w:vAlign w:val="bottom"/>
            <w:hideMark/>
          </w:tcPr>
          <w:p w14:paraId="0B8F1E59" w14:textId="77777777" w:rsidR="00D74E40" w:rsidRPr="00D74E40" w:rsidRDefault="00D74E40" w:rsidP="00D74E40">
            <w:pPr>
              <w:spacing w:after="0" w:line="240" w:lineRule="auto"/>
              <w:jc w:val="right"/>
              <w:rPr>
                <w:rFonts w:ascii="Calibri" w:eastAsia="Times New Roman" w:hAnsi="Calibri" w:cs="Calibri"/>
                <w:color w:val="000000"/>
                <w:sz w:val="20"/>
                <w:szCs w:val="20"/>
              </w:rPr>
            </w:pPr>
            <w:r w:rsidRPr="00D74E40">
              <w:rPr>
                <w:rFonts w:ascii="Calibri" w:eastAsia="Times New Roman" w:hAnsi="Calibri" w:cs="Calibri"/>
                <w:color w:val="000000"/>
                <w:sz w:val="20"/>
                <w:szCs w:val="20"/>
              </w:rPr>
              <w:t xml:space="preserve">38 </w:t>
            </w:r>
          </w:p>
        </w:tc>
      </w:tr>
      <w:tr w:rsidR="00D74E40" w:rsidRPr="00D74E40" w14:paraId="3308E8E7" w14:textId="77777777" w:rsidTr="00D74E40">
        <w:trPr>
          <w:trHeight w:val="293"/>
        </w:trPr>
        <w:tc>
          <w:tcPr>
            <w:tcW w:w="0" w:type="auto"/>
            <w:tcBorders>
              <w:top w:val="nil"/>
              <w:left w:val="nil"/>
              <w:bottom w:val="nil"/>
              <w:right w:val="nil"/>
            </w:tcBorders>
            <w:shd w:val="clear" w:color="000000" w:fill="FFFFFF"/>
            <w:vAlign w:val="center"/>
            <w:hideMark/>
          </w:tcPr>
          <w:p w14:paraId="711C771E" w14:textId="77777777" w:rsidR="00D74E40" w:rsidRPr="00D74E40" w:rsidRDefault="00D74E40" w:rsidP="00D74E40">
            <w:pPr>
              <w:spacing w:after="0" w:line="240" w:lineRule="auto"/>
              <w:jc w:val="both"/>
              <w:rPr>
                <w:rFonts w:ascii="Calibri" w:eastAsia="Times New Roman" w:hAnsi="Calibri" w:cs="Calibri"/>
                <w:b/>
                <w:bCs/>
                <w:color w:val="000000"/>
                <w:sz w:val="20"/>
                <w:szCs w:val="20"/>
              </w:rPr>
            </w:pPr>
            <w:r w:rsidRPr="00D74E40">
              <w:rPr>
                <w:rFonts w:ascii="Calibri" w:eastAsia="Times New Roman" w:hAnsi="Calibri" w:cs="Calibri"/>
                <w:b/>
                <w:bCs/>
                <w:color w:val="000000"/>
                <w:sz w:val="20"/>
                <w:szCs w:val="20"/>
              </w:rPr>
              <w:t>Net loss</w:t>
            </w:r>
          </w:p>
        </w:tc>
        <w:tc>
          <w:tcPr>
            <w:tcW w:w="0" w:type="auto"/>
            <w:tcBorders>
              <w:top w:val="nil"/>
              <w:left w:val="nil"/>
              <w:bottom w:val="nil"/>
              <w:right w:val="nil"/>
            </w:tcBorders>
            <w:shd w:val="clear" w:color="000000" w:fill="FFFFFF"/>
            <w:vAlign w:val="center"/>
            <w:hideMark/>
          </w:tcPr>
          <w:p w14:paraId="6C12A38C"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22191032"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w:t>
            </w:r>
          </w:p>
        </w:tc>
        <w:tc>
          <w:tcPr>
            <w:tcW w:w="0" w:type="auto"/>
            <w:tcBorders>
              <w:top w:val="single" w:sz="4" w:space="0" w:color="auto"/>
              <w:left w:val="nil"/>
              <w:bottom w:val="double" w:sz="6" w:space="0" w:color="auto"/>
              <w:right w:val="nil"/>
            </w:tcBorders>
            <w:shd w:val="clear" w:color="000000" w:fill="FFFFFF"/>
            <w:noWrap/>
            <w:vAlign w:val="bottom"/>
            <w:hideMark/>
          </w:tcPr>
          <w:p w14:paraId="368F1C04" w14:textId="77777777" w:rsidR="00D74E40" w:rsidRPr="00D74E40" w:rsidRDefault="00D74E40" w:rsidP="00D74E40">
            <w:pPr>
              <w:spacing w:after="0" w:line="240" w:lineRule="auto"/>
              <w:jc w:val="right"/>
              <w:rPr>
                <w:rFonts w:ascii="Calibri" w:eastAsia="Times New Roman" w:hAnsi="Calibri" w:cs="Calibri"/>
                <w:color w:val="000000"/>
                <w:sz w:val="20"/>
                <w:szCs w:val="20"/>
              </w:rPr>
            </w:pPr>
            <w:r w:rsidRPr="00D74E40">
              <w:rPr>
                <w:rFonts w:ascii="Calibri" w:eastAsia="Times New Roman" w:hAnsi="Calibri" w:cs="Calibri"/>
                <w:color w:val="000000"/>
                <w:sz w:val="20"/>
                <w:szCs w:val="20"/>
              </w:rPr>
              <w:t xml:space="preserve">            (3,134)</w:t>
            </w:r>
          </w:p>
        </w:tc>
        <w:tc>
          <w:tcPr>
            <w:tcW w:w="0" w:type="auto"/>
            <w:tcBorders>
              <w:top w:val="nil"/>
              <w:left w:val="nil"/>
              <w:bottom w:val="nil"/>
              <w:right w:val="nil"/>
            </w:tcBorders>
            <w:shd w:val="clear" w:color="000000" w:fill="FFFFFF"/>
            <w:vAlign w:val="center"/>
            <w:hideMark/>
          </w:tcPr>
          <w:p w14:paraId="2B3294BB"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4E808427"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335AAB2E"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w:t>
            </w:r>
          </w:p>
        </w:tc>
        <w:tc>
          <w:tcPr>
            <w:tcW w:w="0" w:type="auto"/>
            <w:tcBorders>
              <w:top w:val="single" w:sz="4" w:space="0" w:color="auto"/>
              <w:left w:val="nil"/>
              <w:bottom w:val="double" w:sz="6" w:space="0" w:color="auto"/>
              <w:right w:val="nil"/>
            </w:tcBorders>
            <w:shd w:val="clear" w:color="000000" w:fill="FFFFFF"/>
            <w:noWrap/>
            <w:vAlign w:val="bottom"/>
            <w:hideMark/>
          </w:tcPr>
          <w:p w14:paraId="3865C37A" w14:textId="77777777" w:rsidR="00D74E40" w:rsidRPr="00D74E40" w:rsidRDefault="00D74E40" w:rsidP="00D74E40">
            <w:pPr>
              <w:spacing w:after="0" w:line="240" w:lineRule="auto"/>
              <w:jc w:val="right"/>
              <w:rPr>
                <w:rFonts w:ascii="Calibri" w:eastAsia="Times New Roman" w:hAnsi="Calibri" w:cs="Calibri"/>
                <w:color w:val="000000"/>
                <w:sz w:val="20"/>
                <w:szCs w:val="20"/>
              </w:rPr>
            </w:pPr>
            <w:r w:rsidRPr="00D74E40">
              <w:rPr>
                <w:rFonts w:ascii="Calibri" w:eastAsia="Times New Roman" w:hAnsi="Calibri" w:cs="Calibri"/>
                <w:color w:val="000000"/>
                <w:sz w:val="20"/>
                <w:szCs w:val="20"/>
              </w:rPr>
              <w:t xml:space="preserve">          (2,240)</w:t>
            </w:r>
          </w:p>
        </w:tc>
      </w:tr>
      <w:tr w:rsidR="00D74E40" w:rsidRPr="00D74E40" w14:paraId="3CA30288" w14:textId="77777777" w:rsidTr="00D74E40">
        <w:trPr>
          <w:trHeight w:val="293"/>
        </w:trPr>
        <w:tc>
          <w:tcPr>
            <w:tcW w:w="0" w:type="auto"/>
            <w:tcBorders>
              <w:top w:val="nil"/>
              <w:left w:val="nil"/>
              <w:bottom w:val="nil"/>
              <w:right w:val="nil"/>
            </w:tcBorders>
            <w:shd w:val="clear" w:color="000000" w:fill="FFFFFF"/>
            <w:noWrap/>
            <w:vAlign w:val="bottom"/>
            <w:hideMark/>
          </w:tcPr>
          <w:p w14:paraId="77DBA7A1" w14:textId="77777777" w:rsidR="00D74E40" w:rsidRPr="00D74E40" w:rsidRDefault="00D74E40" w:rsidP="00D74E40">
            <w:pPr>
              <w:spacing w:after="0" w:line="240" w:lineRule="auto"/>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40BAB0CB"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551D2566"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noWrap/>
            <w:vAlign w:val="bottom"/>
            <w:hideMark/>
          </w:tcPr>
          <w:p w14:paraId="5A30A919" w14:textId="77777777" w:rsidR="00D74E40" w:rsidRPr="00D74E40" w:rsidRDefault="00D74E40" w:rsidP="00D74E40">
            <w:pPr>
              <w:spacing w:after="0" w:line="240" w:lineRule="auto"/>
              <w:jc w:val="right"/>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17D40544"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3BDACBBC"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53C6B074"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noWrap/>
            <w:vAlign w:val="bottom"/>
            <w:hideMark/>
          </w:tcPr>
          <w:p w14:paraId="086C4516" w14:textId="77777777" w:rsidR="00D74E40" w:rsidRPr="00D74E40" w:rsidRDefault="00D74E40" w:rsidP="00D74E40">
            <w:pPr>
              <w:spacing w:after="0" w:line="240" w:lineRule="auto"/>
              <w:jc w:val="right"/>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r>
      <w:tr w:rsidR="00D74E40" w:rsidRPr="00D74E40" w14:paraId="54FA0ED8" w14:textId="77777777" w:rsidTr="00D74E40">
        <w:trPr>
          <w:trHeight w:val="293"/>
        </w:trPr>
        <w:tc>
          <w:tcPr>
            <w:tcW w:w="0" w:type="auto"/>
            <w:tcBorders>
              <w:top w:val="nil"/>
              <w:left w:val="nil"/>
              <w:bottom w:val="nil"/>
              <w:right w:val="nil"/>
            </w:tcBorders>
            <w:shd w:val="clear" w:color="000000" w:fill="FFFFFF"/>
            <w:vAlign w:val="center"/>
            <w:hideMark/>
          </w:tcPr>
          <w:p w14:paraId="54A4F552"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Net loss per common share, basic and diluted</w:t>
            </w:r>
          </w:p>
        </w:tc>
        <w:tc>
          <w:tcPr>
            <w:tcW w:w="0" w:type="auto"/>
            <w:tcBorders>
              <w:top w:val="nil"/>
              <w:left w:val="nil"/>
              <w:bottom w:val="nil"/>
              <w:right w:val="nil"/>
            </w:tcBorders>
            <w:shd w:val="clear" w:color="000000" w:fill="FFFFFF"/>
            <w:vAlign w:val="center"/>
            <w:hideMark/>
          </w:tcPr>
          <w:p w14:paraId="5764236E"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37B0083B"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w:t>
            </w:r>
          </w:p>
        </w:tc>
        <w:tc>
          <w:tcPr>
            <w:tcW w:w="0" w:type="auto"/>
            <w:tcBorders>
              <w:top w:val="nil"/>
              <w:left w:val="nil"/>
              <w:bottom w:val="double" w:sz="6" w:space="0" w:color="auto"/>
              <w:right w:val="nil"/>
            </w:tcBorders>
            <w:shd w:val="clear" w:color="000000" w:fill="FFFFFF"/>
            <w:vAlign w:val="center"/>
            <w:hideMark/>
          </w:tcPr>
          <w:p w14:paraId="77388E08" w14:textId="77777777" w:rsidR="00D74E40" w:rsidRPr="00D74E40" w:rsidRDefault="00D74E40" w:rsidP="00D74E40">
            <w:pPr>
              <w:spacing w:after="0" w:line="240" w:lineRule="auto"/>
              <w:jc w:val="right"/>
              <w:rPr>
                <w:rFonts w:ascii="Calibri" w:eastAsia="Times New Roman" w:hAnsi="Calibri" w:cs="Calibri"/>
                <w:color w:val="000000"/>
                <w:sz w:val="20"/>
                <w:szCs w:val="20"/>
              </w:rPr>
            </w:pPr>
            <w:r w:rsidRPr="00D74E40">
              <w:rPr>
                <w:rFonts w:ascii="Calibri" w:eastAsia="Times New Roman" w:hAnsi="Calibri" w:cs="Calibri"/>
                <w:color w:val="000000"/>
                <w:sz w:val="20"/>
                <w:szCs w:val="20"/>
              </w:rPr>
              <w:t xml:space="preserve">              (0.47)</w:t>
            </w:r>
          </w:p>
        </w:tc>
        <w:tc>
          <w:tcPr>
            <w:tcW w:w="0" w:type="auto"/>
            <w:tcBorders>
              <w:top w:val="nil"/>
              <w:left w:val="nil"/>
              <w:bottom w:val="nil"/>
              <w:right w:val="nil"/>
            </w:tcBorders>
            <w:shd w:val="clear" w:color="000000" w:fill="FFFFFF"/>
            <w:vAlign w:val="center"/>
            <w:hideMark/>
          </w:tcPr>
          <w:p w14:paraId="4FADB780"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5665873C"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1001EB8E"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w:t>
            </w:r>
          </w:p>
        </w:tc>
        <w:tc>
          <w:tcPr>
            <w:tcW w:w="0" w:type="auto"/>
            <w:tcBorders>
              <w:top w:val="nil"/>
              <w:left w:val="nil"/>
              <w:bottom w:val="double" w:sz="6" w:space="0" w:color="auto"/>
              <w:right w:val="nil"/>
            </w:tcBorders>
            <w:shd w:val="clear" w:color="000000" w:fill="FFFFFF"/>
            <w:vAlign w:val="center"/>
            <w:hideMark/>
          </w:tcPr>
          <w:p w14:paraId="34B6697F" w14:textId="77777777" w:rsidR="00D74E40" w:rsidRPr="00D74E40" w:rsidRDefault="00D74E40" w:rsidP="00D74E40">
            <w:pPr>
              <w:spacing w:after="0" w:line="240" w:lineRule="auto"/>
              <w:jc w:val="right"/>
              <w:rPr>
                <w:rFonts w:ascii="Calibri" w:eastAsia="Times New Roman" w:hAnsi="Calibri" w:cs="Calibri"/>
                <w:color w:val="000000"/>
                <w:sz w:val="20"/>
                <w:szCs w:val="20"/>
              </w:rPr>
            </w:pPr>
            <w:r w:rsidRPr="00D74E40">
              <w:rPr>
                <w:rFonts w:ascii="Calibri" w:eastAsia="Times New Roman" w:hAnsi="Calibri" w:cs="Calibri"/>
                <w:color w:val="000000"/>
                <w:sz w:val="20"/>
                <w:szCs w:val="20"/>
              </w:rPr>
              <w:t xml:space="preserve">            (2.27)</w:t>
            </w:r>
          </w:p>
        </w:tc>
      </w:tr>
      <w:tr w:rsidR="00D74E40" w:rsidRPr="00D74E40" w14:paraId="50234D92" w14:textId="77777777" w:rsidTr="00D74E40">
        <w:trPr>
          <w:trHeight w:val="300"/>
        </w:trPr>
        <w:tc>
          <w:tcPr>
            <w:tcW w:w="0" w:type="auto"/>
            <w:tcBorders>
              <w:top w:val="nil"/>
              <w:left w:val="nil"/>
              <w:bottom w:val="nil"/>
              <w:right w:val="nil"/>
            </w:tcBorders>
            <w:shd w:val="clear" w:color="000000" w:fill="FFFFFF"/>
            <w:vAlign w:val="center"/>
            <w:hideMark/>
          </w:tcPr>
          <w:p w14:paraId="181848EA"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xml:space="preserve">Weighted average common shares outstanding, </w:t>
            </w:r>
            <w:proofErr w:type="gramStart"/>
            <w:r w:rsidRPr="00D74E40">
              <w:rPr>
                <w:rFonts w:ascii="Calibri" w:eastAsia="Times New Roman" w:hAnsi="Calibri" w:cs="Calibri"/>
                <w:color w:val="000000"/>
                <w:sz w:val="20"/>
                <w:szCs w:val="20"/>
              </w:rPr>
              <w:t>basic</w:t>
            </w:r>
            <w:proofErr w:type="gramEnd"/>
            <w:r w:rsidRPr="00D74E40">
              <w:rPr>
                <w:rFonts w:ascii="Calibri" w:eastAsia="Times New Roman" w:hAnsi="Calibri" w:cs="Calibri"/>
                <w:color w:val="000000"/>
                <w:sz w:val="20"/>
                <w:szCs w:val="20"/>
              </w:rPr>
              <w:t xml:space="preserve"> and diluted</w:t>
            </w:r>
          </w:p>
        </w:tc>
        <w:tc>
          <w:tcPr>
            <w:tcW w:w="0" w:type="auto"/>
            <w:tcBorders>
              <w:top w:val="nil"/>
              <w:left w:val="nil"/>
              <w:bottom w:val="nil"/>
              <w:right w:val="nil"/>
            </w:tcBorders>
            <w:shd w:val="clear" w:color="000000" w:fill="FFFFFF"/>
            <w:vAlign w:val="center"/>
            <w:hideMark/>
          </w:tcPr>
          <w:p w14:paraId="76B207AE"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26DD93C6"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double" w:sz="6" w:space="0" w:color="auto"/>
              <w:right w:val="nil"/>
            </w:tcBorders>
            <w:shd w:val="clear" w:color="000000" w:fill="FFFFFF"/>
            <w:vAlign w:val="center"/>
            <w:hideMark/>
          </w:tcPr>
          <w:p w14:paraId="1D7AEC9F" w14:textId="77777777" w:rsidR="00D74E40" w:rsidRPr="00D74E40" w:rsidRDefault="00D74E40" w:rsidP="00D74E40">
            <w:pPr>
              <w:spacing w:after="0" w:line="240" w:lineRule="auto"/>
              <w:jc w:val="right"/>
              <w:rPr>
                <w:rFonts w:ascii="Calibri" w:eastAsia="Times New Roman" w:hAnsi="Calibri" w:cs="Calibri"/>
                <w:color w:val="000000"/>
                <w:sz w:val="20"/>
                <w:szCs w:val="20"/>
              </w:rPr>
            </w:pPr>
            <w:r w:rsidRPr="00D74E40">
              <w:rPr>
                <w:rFonts w:ascii="Calibri" w:eastAsia="Times New Roman" w:hAnsi="Calibri" w:cs="Calibri"/>
                <w:color w:val="000000"/>
                <w:sz w:val="20"/>
                <w:szCs w:val="20"/>
              </w:rPr>
              <w:t>6,660,840</w:t>
            </w:r>
          </w:p>
        </w:tc>
        <w:tc>
          <w:tcPr>
            <w:tcW w:w="0" w:type="auto"/>
            <w:tcBorders>
              <w:top w:val="nil"/>
              <w:left w:val="nil"/>
              <w:bottom w:val="nil"/>
              <w:right w:val="nil"/>
            </w:tcBorders>
            <w:shd w:val="clear" w:color="000000" w:fill="FFFFFF"/>
            <w:vAlign w:val="center"/>
            <w:hideMark/>
          </w:tcPr>
          <w:p w14:paraId="0FD45380"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5F9410C4"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4E54230B"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double" w:sz="6" w:space="0" w:color="auto"/>
              <w:right w:val="nil"/>
            </w:tcBorders>
            <w:shd w:val="clear" w:color="000000" w:fill="FFFFFF"/>
            <w:vAlign w:val="center"/>
            <w:hideMark/>
          </w:tcPr>
          <w:p w14:paraId="0CD12FCC" w14:textId="77777777" w:rsidR="00D74E40" w:rsidRPr="00D74E40" w:rsidRDefault="00D74E40" w:rsidP="00D74E40">
            <w:pPr>
              <w:spacing w:after="0" w:line="240" w:lineRule="auto"/>
              <w:jc w:val="right"/>
              <w:rPr>
                <w:rFonts w:ascii="Calibri" w:eastAsia="Times New Roman" w:hAnsi="Calibri" w:cs="Calibri"/>
                <w:color w:val="000000"/>
                <w:sz w:val="20"/>
                <w:szCs w:val="20"/>
              </w:rPr>
            </w:pPr>
            <w:r w:rsidRPr="00D74E40">
              <w:rPr>
                <w:rFonts w:ascii="Calibri" w:eastAsia="Times New Roman" w:hAnsi="Calibri" w:cs="Calibri"/>
                <w:color w:val="000000"/>
                <w:sz w:val="20"/>
                <w:szCs w:val="20"/>
              </w:rPr>
              <w:t>985,848</w:t>
            </w:r>
          </w:p>
        </w:tc>
      </w:tr>
      <w:tr w:rsidR="00D74E40" w:rsidRPr="00D74E40" w14:paraId="4FDEBC57" w14:textId="77777777" w:rsidTr="00D74E40">
        <w:trPr>
          <w:trHeight w:val="293"/>
        </w:trPr>
        <w:tc>
          <w:tcPr>
            <w:tcW w:w="0" w:type="auto"/>
            <w:tcBorders>
              <w:top w:val="nil"/>
              <w:left w:val="nil"/>
              <w:bottom w:val="nil"/>
              <w:right w:val="nil"/>
            </w:tcBorders>
            <w:shd w:val="clear" w:color="000000" w:fill="FFFFFF"/>
            <w:noWrap/>
            <w:vAlign w:val="bottom"/>
            <w:hideMark/>
          </w:tcPr>
          <w:p w14:paraId="7563B72C" w14:textId="77777777" w:rsidR="00D74E40" w:rsidRPr="00D74E40" w:rsidRDefault="00D74E40" w:rsidP="00D74E40">
            <w:pPr>
              <w:spacing w:after="0" w:line="240" w:lineRule="auto"/>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noWrap/>
            <w:vAlign w:val="bottom"/>
            <w:hideMark/>
          </w:tcPr>
          <w:p w14:paraId="0D770AB9" w14:textId="77777777" w:rsidR="00D74E40" w:rsidRPr="00D74E40" w:rsidRDefault="00D74E40" w:rsidP="00D74E40">
            <w:pPr>
              <w:spacing w:after="0" w:line="240" w:lineRule="auto"/>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noWrap/>
            <w:vAlign w:val="bottom"/>
            <w:hideMark/>
          </w:tcPr>
          <w:p w14:paraId="2AE318E0" w14:textId="77777777" w:rsidR="00D74E40" w:rsidRPr="00D74E40" w:rsidRDefault="00D74E40" w:rsidP="00D74E40">
            <w:pPr>
              <w:spacing w:after="0" w:line="240" w:lineRule="auto"/>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noWrap/>
            <w:vAlign w:val="bottom"/>
            <w:hideMark/>
          </w:tcPr>
          <w:p w14:paraId="653E0FA8" w14:textId="77777777" w:rsidR="00D74E40" w:rsidRPr="00D74E40" w:rsidRDefault="00D74E40" w:rsidP="00D74E40">
            <w:pPr>
              <w:spacing w:after="0" w:line="240" w:lineRule="auto"/>
              <w:jc w:val="right"/>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noWrap/>
            <w:vAlign w:val="bottom"/>
            <w:hideMark/>
          </w:tcPr>
          <w:p w14:paraId="18EB8869" w14:textId="77777777" w:rsidR="00D74E40" w:rsidRPr="00D74E40" w:rsidRDefault="00D74E40" w:rsidP="00D74E40">
            <w:pPr>
              <w:spacing w:after="0" w:line="240" w:lineRule="auto"/>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noWrap/>
            <w:vAlign w:val="bottom"/>
            <w:hideMark/>
          </w:tcPr>
          <w:p w14:paraId="1EDCD899" w14:textId="77777777" w:rsidR="00D74E40" w:rsidRPr="00D74E40" w:rsidRDefault="00D74E40" w:rsidP="00D74E40">
            <w:pPr>
              <w:spacing w:after="0" w:line="240" w:lineRule="auto"/>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noWrap/>
            <w:vAlign w:val="bottom"/>
            <w:hideMark/>
          </w:tcPr>
          <w:p w14:paraId="196E1EC1" w14:textId="77777777" w:rsidR="00D74E40" w:rsidRPr="00D74E40" w:rsidRDefault="00D74E40" w:rsidP="00D74E40">
            <w:pPr>
              <w:spacing w:after="0" w:line="240" w:lineRule="auto"/>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noWrap/>
            <w:vAlign w:val="bottom"/>
            <w:hideMark/>
          </w:tcPr>
          <w:p w14:paraId="309E9C4B" w14:textId="77777777" w:rsidR="00D74E40" w:rsidRPr="00D74E40" w:rsidRDefault="00D74E40" w:rsidP="00D74E40">
            <w:pPr>
              <w:spacing w:after="0" w:line="240" w:lineRule="auto"/>
              <w:jc w:val="right"/>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r>
      <w:tr w:rsidR="00D74E40" w:rsidRPr="00D74E40" w14:paraId="6EE4C3A1" w14:textId="77777777" w:rsidTr="00D74E40">
        <w:trPr>
          <w:trHeight w:val="285"/>
        </w:trPr>
        <w:tc>
          <w:tcPr>
            <w:tcW w:w="0" w:type="auto"/>
            <w:tcBorders>
              <w:top w:val="nil"/>
              <w:left w:val="nil"/>
              <w:bottom w:val="nil"/>
              <w:right w:val="nil"/>
            </w:tcBorders>
            <w:shd w:val="clear" w:color="000000" w:fill="FFFFFF"/>
            <w:noWrap/>
            <w:vAlign w:val="center"/>
            <w:hideMark/>
          </w:tcPr>
          <w:p w14:paraId="2EEC404E"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(1) Includes the following stock-based compensation expense</w:t>
            </w:r>
          </w:p>
        </w:tc>
        <w:tc>
          <w:tcPr>
            <w:tcW w:w="0" w:type="auto"/>
            <w:tcBorders>
              <w:top w:val="nil"/>
              <w:left w:val="nil"/>
              <w:bottom w:val="nil"/>
              <w:right w:val="nil"/>
            </w:tcBorders>
            <w:shd w:val="clear" w:color="000000" w:fill="FFFFFF"/>
            <w:vAlign w:val="center"/>
            <w:hideMark/>
          </w:tcPr>
          <w:p w14:paraId="386BBCFD"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183E08C9"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1EE3B674" w14:textId="77777777" w:rsidR="00D74E40" w:rsidRPr="00D74E40" w:rsidRDefault="00D74E40" w:rsidP="00D74E40">
            <w:pPr>
              <w:spacing w:after="0" w:line="240" w:lineRule="auto"/>
              <w:jc w:val="right"/>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20DB32CB"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1438677F"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52E72D21"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09BB3B76" w14:textId="77777777" w:rsidR="00D74E40" w:rsidRPr="00D74E40" w:rsidRDefault="00D74E40" w:rsidP="00D74E40">
            <w:pPr>
              <w:spacing w:after="0" w:line="240" w:lineRule="auto"/>
              <w:jc w:val="right"/>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r>
      <w:tr w:rsidR="00D74E40" w:rsidRPr="00D74E40" w14:paraId="367F6B9F" w14:textId="77777777" w:rsidTr="00D74E40">
        <w:trPr>
          <w:trHeight w:val="285"/>
        </w:trPr>
        <w:tc>
          <w:tcPr>
            <w:tcW w:w="0" w:type="auto"/>
            <w:tcBorders>
              <w:top w:val="nil"/>
              <w:left w:val="nil"/>
              <w:bottom w:val="nil"/>
              <w:right w:val="nil"/>
            </w:tcBorders>
            <w:shd w:val="clear" w:color="000000" w:fill="FFFFFF"/>
            <w:vAlign w:val="center"/>
            <w:hideMark/>
          </w:tcPr>
          <w:p w14:paraId="5931E64E"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Research and development</w:t>
            </w:r>
          </w:p>
        </w:tc>
        <w:tc>
          <w:tcPr>
            <w:tcW w:w="0" w:type="auto"/>
            <w:tcBorders>
              <w:top w:val="nil"/>
              <w:left w:val="nil"/>
              <w:bottom w:val="nil"/>
              <w:right w:val="nil"/>
            </w:tcBorders>
            <w:shd w:val="clear" w:color="000000" w:fill="FFFFFF"/>
            <w:vAlign w:val="center"/>
            <w:hideMark/>
          </w:tcPr>
          <w:p w14:paraId="6A5D310D"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142F9D16"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w:t>
            </w:r>
          </w:p>
        </w:tc>
        <w:tc>
          <w:tcPr>
            <w:tcW w:w="0" w:type="auto"/>
            <w:tcBorders>
              <w:top w:val="nil"/>
              <w:left w:val="nil"/>
              <w:bottom w:val="nil"/>
              <w:right w:val="nil"/>
            </w:tcBorders>
            <w:shd w:val="clear" w:color="000000" w:fill="FFFFFF"/>
            <w:noWrap/>
            <w:vAlign w:val="bottom"/>
            <w:hideMark/>
          </w:tcPr>
          <w:p w14:paraId="01AA14E9" w14:textId="03D9FD57" w:rsidR="00D74E40" w:rsidRPr="00D74E40" w:rsidRDefault="00D74E40" w:rsidP="00D74E40">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Pr="00D74E40">
              <w:rPr>
                <w:rFonts w:ascii="Calibri" w:eastAsia="Times New Roman" w:hAnsi="Calibri" w:cs="Calibri"/>
                <w:color w:val="000000"/>
                <w:sz w:val="20"/>
                <w:szCs w:val="20"/>
              </w:rPr>
              <w:t xml:space="preserve">237 </w:t>
            </w:r>
          </w:p>
        </w:tc>
        <w:tc>
          <w:tcPr>
            <w:tcW w:w="0" w:type="auto"/>
            <w:tcBorders>
              <w:top w:val="nil"/>
              <w:left w:val="nil"/>
              <w:bottom w:val="nil"/>
              <w:right w:val="nil"/>
            </w:tcBorders>
            <w:shd w:val="clear" w:color="000000" w:fill="FFFFFF"/>
            <w:vAlign w:val="center"/>
            <w:hideMark/>
          </w:tcPr>
          <w:p w14:paraId="74F0DFCB"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57C674F1"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73813337"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w:t>
            </w:r>
          </w:p>
        </w:tc>
        <w:tc>
          <w:tcPr>
            <w:tcW w:w="0" w:type="auto"/>
            <w:tcBorders>
              <w:top w:val="nil"/>
              <w:left w:val="nil"/>
              <w:bottom w:val="nil"/>
              <w:right w:val="nil"/>
            </w:tcBorders>
            <w:shd w:val="clear" w:color="000000" w:fill="FFFFFF"/>
            <w:noWrap/>
            <w:vAlign w:val="bottom"/>
            <w:hideMark/>
          </w:tcPr>
          <w:p w14:paraId="3E96B3E0" w14:textId="0F668E91" w:rsidR="00D74E40" w:rsidRPr="00D74E40" w:rsidRDefault="00D74E40" w:rsidP="00D74E40">
            <w:pPr>
              <w:spacing w:after="0" w:line="240" w:lineRule="auto"/>
              <w:rPr>
                <w:rFonts w:ascii="Calibri" w:eastAsia="Times New Roman" w:hAnsi="Calibri" w:cs="Calibri"/>
                <w:color w:val="000000"/>
                <w:sz w:val="20"/>
                <w:szCs w:val="20"/>
              </w:rPr>
            </w:pPr>
            <w:r w:rsidRPr="00D74E40">
              <w:rPr>
                <w:rFonts w:ascii="Calibri" w:eastAsia="Times New Roman" w:hAnsi="Calibri" w:cs="Calibri"/>
                <w:color w:val="000000"/>
                <w:sz w:val="20"/>
                <w:szCs w:val="20"/>
              </w:rPr>
              <w:t xml:space="preserve">  </w:t>
            </w:r>
            <w:r>
              <w:rPr>
                <w:rFonts w:ascii="Calibri" w:eastAsia="Times New Roman" w:hAnsi="Calibri" w:cs="Calibri"/>
                <w:color w:val="000000"/>
                <w:sz w:val="20"/>
                <w:szCs w:val="20"/>
              </w:rPr>
              <w:t xml:space="preserve">             </w:t>
            </w:r>
            <w:r w:rsidRPr="00D74E40">
              <w:rPr>
                <w:rFonts w:ascii="Calibri" w:eastAsia="Times New Roman" w:hAnsi="Calibri" w:cs="Calibri"/>
                <w:color w:val="000000"/>
                <w:sz w:val="20"/>
                <w:szCs w:val="20"/>
              </w:rPr>
              <w:t xml:space="preserve">48 </w:t>
            </w:r>
          </w:p>
        </w:tc>
      </w:tr>
      <w:tr w:rsidR="00D74E40" w:rsidRPr="00D74E40" w14:paraId="733877B1" w14:textId="77777777" w:rsidTr="00D74E40">
        <w:trPr>
          <w:trHeight w:val="285"/>
        </w:trPr>
        <w:tc>
          <w:tcPr>
            <w:tcW w:w="0" w:type="auto"/>
            <w:tcBorders>
              <w:top w:val="nil"/>
              <w:left w:val="nil"/>
              <w:bottom w:val="nil"/>
              <w:right w:val="nil"/>
            </w:tcBorders>
            <w:shd w:val="clear" w:color="000000" w:fill="FFFFFF"/>
            <w:vAlign w:val="center"/>
            <w:hideMark/>
          </w:tcPr>
          <w:p w14:paraId="51508508"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General and administrative</w:t>
            </w:r>
          </w:p>
        </w:tc>
        <w:tc>
          <w:tcPr>
            <w:tcW w:w="0" w:type="auto"/>
            <w:tcBorders>
              <w:top w:val="nil"/>
              <w:left w:val="nil"/>
              <w:bottom w:val="nil"/>
              <w:right w:val="nil"/>
            </w:tcBorders>
            <w:shd w:val="clear" w:color="000000" w:fill="FFFFFF"/>
            <w:vAlign w:val="center"/>
            <w:hideMark/>
          </w:tcPr>
          <w:p w14:paraId="190C6EAF"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0CFEDCD6"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w:t>
            </w:r>
          </w:p>
        </w:tc>
        <w:tc>
          <w:tcPr>
            <w:tcW w:w="0" w:type="auto"/>
            <w:tcBorders>
              <w:top w:val="nil"/>
              <w:left w:val="nil"/>
              <w:bottom w:val="nil"/>
              <w:right w:val="nil"/>
            </w:tcBorders>
            <w:shd w:val="clear" w:color="000000" w:fill="FFFFFF"/>
            <w:noWrap/>
            <w:vAlign w:val="bottom"/>
            <w:hideMark/>
          </w:tcPr>
          <w:p w14:paraId="286AA621" w14:textId="468D84AF" w:rsidR="00D74E40" w:rsidRPr="00D74E40" w:rsidRDefault="00D74E40" w:rsidP="00D74E40">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Pr="00D74E40">
              <w:rPr>
                <w:rFonts w:ascii="Calibri" w:eastAsia="Times New Roman" w:hAnsi="Calibri" w:cs="Calibri"/>
                <w:color w:val="000000"/>
                <w:sz w:val="20"/>
                <w:szCs w:val="20"/>
              </w:rPr>
              <w:t xml:space="preserve">350 </w:t>
            </w:r>
          </w:p>
        </w:tc>
        <w:tc>
          <w:tcPr>
            <w:tcW w:w="0" w:type="auto"/>
            <w:tcBorders>
              <w:top w:val="nil"/>
              <w:left w:val="nil"/>
              <w:bottom w:val="nil"/>
              <w:right w:val="nil"/>
            </w:tcBorders>
            <w:shd w:val="clear" w:color="000000" w:fill="FFFFFF"/>
            <w:vAlign w:val="center"/>
            <w:hideMark/>
          </w:tcPr>
          <w:p w14:paraId="1E741628"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6682D206"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 </w:t>
            </w:r>
          </w:p>
        </w:tc>
        <w:tc>
          <w:tcPr>
            <w:tcW w:w="0" w:type="auto"/>
            <w:tcBorders>
              <w:top w:val="nil"/>
              <w:left w:val="nil"/>
              <w:bottom w:val="nil"/>
              <w:right w:val="nil"/>
            </w:tcBorders>
            <w:shd w:val="clear" w:color="000000" w:fill="FFFFFF"/>
            <w:vAlign w:val="center"/>
            <w:hideMark/>
          </w:tcPr>
          <w:p w14:paraId="43C013AF" w14:textId="77777777" w:rsidR="00D74E40" w:rsidRPr="00D74E40" w:rsidRDefault="00D74E40" w:rsidP="00D74E40">
            <w:pPr>
              <w:spacing w:after="0" w:line="240" w:lineRule="auto"/>
              <w:jc w:val="both"/>
              <w:rPr>
                <w:rFonts w:ascii="Calibri" w:eastAsia="Times New Roman" w:hAnsi="Calibri" w:cs="Calibri"/>
                <w:color w:val="000000"/>
                <w:sz w:val="20"/>
                <w:szCs w:val="20"/>
              </w:rPr>
            </w:pPr>
            <w:r w:rsidRPr="00D74E40">
              <w:rPr>
                <w:rFonts w:ascii="Calibri" w:eastAsia="Times New Roman" w:hAnsi="Calibri" w:cs="Calibri"/>
                <w:color w:val="000000"/>
                <w:sz w:val="20"/>
                <w:szCs w:val="20"/>
              </w:rPr>
              <w:t>$</w:t>
            </w:r>
          </w:p>
        </w:tc>
        <w:tc>
          <w:tcPr>
            <w:tcW w:w="0" w:type="auto"/>
            <w:tcBorders>
              <w:top w:val="nil"/>
              <w:left w:val="nil"/>
              <w:bottom w:val="nil"/>
              <w:right w:val="nil"/>
            </w:tcBorders>
            <w:shd w:val="clear" w:color="000000" w:fill="FFFFFF"/>
            <w:noWrap/>
            <w:vAlign w:val="bottom"/>
            <w:hideMark/>
          </w:tcPr>
          <w:p w14:paraId="3AC002CE" w14:textId="1C748DBF" w:rsidR="00D74E40" w:rsidRPr="00D74E40" w:rsidRDefault="00D74E40" w:rsidP="00D74E40">
            <w:pPr>
              <w:spacing w:after="0" w:line="240" w:lineRule="auto"/>
              <w:rPr>
                <w:rFonts w:ascii="Calibri" w:eastAsia="Times New Roman" w:hAnsi="Calibri" w:cs="Calibri"/>
                <w:color w:val="000000"/>
                <w:sz w:val="20"/>
                <w:szCs w:val="20"/>
              </w:rPr>
            </w:pPr>
            <w:r w:rsidRPr="00D74E40">
              <w:rPr>
                <w:rFonts w:ascii="Calibri" w:eastAsia="Times New Roman" w:hAnsi="Calibri" w:cs="Calibri"/>
                <w:color w:val="000000"/>
                <w:sz w:val="20"/>
                <w:szCs w:val="20"/>
              </w:rPr>
              <w:t xml:space="preserve">          </w:t>
            </w:r>
            <w:r>
              <w:rPr>
                <w:rFonts w:ascii="Calibri" w:eastAsia="Times New Roman" w:hAnsi="Calibri" w:cs="Calibri"/>
                <w:color w:val="000000"/>
                <w:sz w:val="20"/>
                <w:szCs w:val="20"/>
              </w:rPr>
              <w:t xml:space="preserve"> </w:t>
            </w:r>
            <w:r w:rsidRPr="00D74E40">
              <w:rPr>
                <w:rFonts w:ascii="Calibri" w:eastAsia="Times New Roman" w:hAnsi="Calibri" w:cs="Calibri"/>
                <w:color w:val="000000"/>
                <w:sz w:val="20"/>
                <w:szCs w:val="20"/>
              </w:rPr>
              <w:t xml:space="preserve">    83 </w:t>
            </w:r>
          </w:p>
        </w:tc>
      </w:tr>
    </w:tbl>
    <w:p w14:paraId="353C0EA1" w14:textId="77777777" w:rsidR="00D51AB1" w:rsidRDefault="00D51AB1" w:rsidP="00B57336">
      <w:pPr>
        <w:spacing w:after="0"/>
        <w:jc w:val="both"/>
        <w:rPr>
          <w:b/>
          <w:bCs/>
        </w:rPr>
      </w:pPr>
    </w:p>
    <w:p w14:paraId="14200824" w14:textId="77777777" w:rsidR="00D51AB1" w:rsidRDefault="00D51AB1" w:rsidP="00B57336">
      <w:pPr>
        <w:spacing w:after="0"/>
        <w:jc w:val="both"/>
        <w:rPr>
          <w:b/>
          <w:bCs/>
        </w:rPr>
      </w:pPr>
    </w:p>
    <w:p w14:paraId="1DED7E1E" w14:textId="77777777" w:rsidR="00D51AB1" w:rsidRDefault="00D51AB1" w:rsidP="00B57336">
      <w:pPr>
        <w:spacing w:after="0"/>
        <w:jc w:val="both"/>
        <w:rPr>
          <w:b/>
          <w:bCs/>
        </w:rPr>
      </w:pPr>
    </w:p>
    <w:p w14:paraId="0F8C6202" w14:textId="58610AF0" w:rsidR="00B57336" w:rsidRPr="0088733A" w:rsidRDefault="00B57336" w:rsidP="00B57336">
      <w:pPr>
        <w:spacing w:after="0"/>
        <w:jc w:val="both"/>
        <w:rPr>
          <w:b/>
          <w:bCs/>
        </w:rPr>
      </w:pPr>
      <w:r w:rsidRPr="0088733A">
        <w:rPr>
          <w:b/>
          <w:bCs/>
        </w:rPr>
        <w:t>Investors:</w:t>
      </w:r>
    </w:p>
    <w:p w14:paraId="17989423" w14:textId="77777777" w:rsidR="00B57336" w:rsidRDefault="00B57336" w:rsidP="00B57336">
      <w:pPr>
        <w:spacing w:after="0"/>
        <w:jc w:val="both"/>
      </w:pPr>
      <w:r>
        <w:t>Sean Proehl</w:t>
      </w:r>
    </w:p>
    <w:p w14:paraId="5377B909" w14:textId="6505B9D4" w:rsidR="00B57336" w:rsidRDefault="00174FCA" w:rsidP="00B57336">
      <w:pPr>
        <w:spacing w:after="0"/>
        <w:jc w:val="both"/>
      </w:pPr>
      <w:r>
        <w:t>Associate General Counsel</w:t>
      </w:r>
    </w:p>
    <w:p w14:paraId="197F0CC7" w14:textId="02577E32" w:rsidR="00B57336" w:rsidRDefault="00000000" w:rsidP="00B57336">
      <w:pPr>
        <w:spacing w:after="0"/>
        <w:jc w:val="both"/>
      </w:pPr>
      <w:hyperlink r:id="rId13" w:history="1">
        <w:r w:rsidR="00B57336" w:rsidRPr="00F94184">
          <w:rPr>
            <w:rStyle w:val="Hyperlink"/>
          </w:rPr>
          <w:t>info@dermatarx.com</w:t>
        </w:r>
      </w:hyperlink>
      <w:r w:rsidR="00B57336">
        <w:t xml:space="preserve"> </w:t>
      </w:r>
    </w:p>
    <w:sectPr w:rsidR="00B57336">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50C54" w14:textId="77777777" w:rsidR="001C5E56" w:rsidRDefault="001C5E56" w:rsidP="00A31067">
      <w:pPr>
        <w:spacing w:after="0" w:line="240" w:lineRule="auto"/>
      </w:pPr>
      <w:r>
        <w:separator/>
      </w:r>
    </w:p>
  </w:endnote>
  <w:endnote w:type="continuationSeparator" w:id="0">
    <w:p w14:paraId="6BF294C1" w14:textId="77777777" w:rsidR="001C5E56" w:rsidRDefault="001C5E56" w:rsidP="00A31067">
      <w:pPr>
        <w:spacing w:after="0" w:line="240" w:lineRule="auto"/>
      </w:pPr>
      <w:r>
        <w:continuationSeparator/>
      </w:r>
    </w:p>
  </w:endnote>
  <w:endnote w:type="continuationNotice" w:id="1">
    <w:p w14:paraId="742A86CB" w14:textId="77777777" w:rsidR="001C5E56" w:rsidRDefault="001C5E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effra">
    <w:altName w:val="Cambria"/>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356D0" w14:textId="77777777" w:rsidR="002D4F28" w:rsidRDefault="002D4F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C9688" w14:textId="77777777" w:rsidR="001C5E56" w:rsidRDefault="001C5E56" w:rsidP="00A31067">
      <w:pPr>
        <w:spacing w:after="0" w:line="240" w:lineRule="auto"/>
      </w:pPr>
      <w:r>
        <w:separator/>
      </w:r>
    </w:p>
  </w:footnote>
  <w:footnote w:type="continuationSeparator" w:id="0">
    <w:p w14:paraId="5B9A0595" w14:textId="77777777" w:rsidR="001C5E56" w:rsidRDefault="001C5E56" w:rsidP="00A31067">
      <w:pPr>
        <w:spacing w:after="0" w:line="240" w:lineRule="auto"/>
      </w:pPr>
      <w:r>
        <w:continuationSeparator/>
      </w:r>
    </w:p>
  </w:footnote>
  <w:footnote w:type="continuationNotice" w:id="1">
    <w:p w14:paraId="0C999E05" w14:textId="77777777" w:rsidR="001C5E56" w:rsidRDefault="001C5E5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023BE" w14:textId="71D564E5" w:rsidR="00A31067" w:rsidRPr="00A31067" w:rsidRDefault="00A31067" w:rsidP="00A31067">
    <w:pPr>
      <w:pStyle w:val="Header"/>
      <w:jc w:val="right"/>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810E3F"/>
    <w:multiLevelType w:val="hybridMultilevel"/>
    <w:tmpl w:val="C72674CE"/>
    <w:lvl w:ilvl="0" w:tplc="830CC1C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3660164"/>
    <w:multiLevelType w:val="multilevel"/>
    <w:tmpl w:val="2E62D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433315"/>
    <w:multiLevelType w:val="hybridMultilevel"/>
    <w:tmpl w:val="E01E8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7929281">
    <w:abstractNumId w:val="2"/>
  </w:num>
  <w:num w:numId="2" w16cid:durableId="313879721">
    <w:abstractNumId w:val="0"/>
  </w:num>
  <w:num w:numId="3" w16cid:durableId="2050265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33A"/>
    <w:rsid w:val="00000D29"/>
    <w:rsid w:val="00002714"/>
    <w:rsid w:val="0000432D"/>
    <w:rsid w:val="00006308"/>
    <w:rsid w:val="00027692"/>
    <w:rsid w:val="00036520"/>
    <w:rsid w:val="00045D0B"/>
    <w:rsid w:val="0004751E"/>
    <w:rsid w:val="00052E17"/>
    <w:rsid w:val="00052F08"/>
    <w:rsid w:val="00066F90"/>
    <w:rsid w:val="000732BF"/>
    <w:rsid w:val="00073C32"/>
    <w:rsid w:val="00075F03"/>
    <w:rsid w:val="000766D6"/>
    <w:rsid w:val="000902A1"/>
    <w:rsid w:val="000945D6"/>
    <w:rsid w:val="000A204F"/>
    <w:rsid w:val="000A6358"/>
    <w:rsid w:val="000A64C8"/>
    <w:rsid w:val="000A6BE0"/>
    <w:rsid w:val="000B785B"/>
    <w:rsid w:val="000D3D05"/>
    <w:rsid w:val="000D70F4"/>
    <w:rsid w:val="000E05D0"/>
    <w:rsid w:val="000E369D"/>
    <w:rsid w:val="000E4872"/>
    <w:rsid w:val="000E6091"/>
    <w:rsid w:val="000F3F74"/>
    <w:rsid w:val="000F7FCB"/>
    <w:rsid w:val="0010647F"/>
    <w:rsid w:val="00111C17"/>
    <w:rsid w:val="00112B8D"/>
    <w:rsid w:val="00117340"/>
    <w:rsid w:val="00120478"/>
    <w:rsid w:val="001245F1"/>
    <w:rsid w:val="00134733"/>
    <w:rsid w:val="00145A0F"/>
    <w:rsid w:val="00150931"/>
    <w:rsid w:val="00162517"/>
    <w:rsid w:val="00162B73"/>
    <w:rsid w:val="001702D6"/>
    <w:rsid w:val="00172F2A"/>
    <w:rsid w:val="00174FCA"/>
    <w:rsid w:val="00180044"/>
    <w:rsid w:val="0018223A"/>
    <w:rsid w:val="00190B2B"/>
    <w:rsid w:val="00197C4C"/>
    <w:rsid w:val="001A67DD"/>
    <w:rsid w:val="001B3D90"/>
    <w:rsid w:val="001B4988"/>
    <w:rsid w:val="001C014C"/>
    <w:rsid w:val="001C43FC"/>
    <w:rsid w:val="001C5E56"/>
    <w:rsid w:val="001D3C02"/>
    <w:rsid w:val="001E03A8"/>
    <w:rsid w:val="001E0F05"/>
    <w:rsid w:val="001E4ADB"/>
    <w:rsid w:val="001E5744"/>
    <w:rsid w:val="001F1FD7"/>
    <w:rsid w:val="00207D75"/>
    <w:rsid w:val="0021098A"/>
    <w:rsid w:val="00235DB2"/>
    <w:rsid w:val="002464CE"/>
    <w:rsid w:val="002603E6"/>
    <w:rsid w:val="0026769D"/>
    <w:rsid w:val="00274CC4"/>
    <w:rsid w:val="00275364"/>
    <w:rsid w:val="002916F9"/>
    <w:rsid w:val="002A79D0"/>
    <w:rsid w:val="002C05E8"/>
    <w:rsid w:val="002C33DC"/>
    <w:rsid w:val="002C3931"/>
    <w:rsid w:val="002D3E86"/>
    <w:rsid w:val="002D4F28"/>
    <w:rsid w:val="002D4FE1"/>
    <w:rsid w:val="002D5E1C"/>
    <w:rsid w:val="002E586A"/>
    <w:rsid w:val="002F0504"/>
    <w:rsid w:val="002F07E2"/>
    <w:rsid w:val="002F18A4"/>
    <w:rsid w:val="002F4386"/>
    <w:rsid w:val="003005F1"/>
    <w:rsid w:val="003036FC"/>
    <w:rsid w:val="00305BA1"/>
    <w:rsid w:val="00326D97"/>
    <w:rsid w:val="00354C7E"/>
    <w:rsid w:val="003602F7"/>
    <w:rsid w:val="00370374"/>
    <w:rsid w:val="00372EE2"/>
    <w:rsid w:val="003834EF"/>
    <w:rsid w:val="00390836"/>
    <w:rsid w:val="003956BD"/>
    <w:rsid w:val="003A1F5B"/>
    <w:rsid w:val="003A5A29"/>
    <w:rsid w:val="003D44EF"/>
    <w:rsid w:val="003D5117"/>
    <w:rsid w:val="003E2849"/>
    <w:rsid w:val="003E2D2B"/>
    <w:rsid w:val="003E626D"/>
    <w:rsid w:val="003F4FB2"/>
    <w:rsid w:val="00403836"/>
    <w:rsid w:val="004164E3"/>
    <w:rsid w:val="00422299"/>
    <w:rsid w:val="00431A02"/>
    <w:rsid w:val="00435A2D"/>
    <w:rsid w:val="00442259"/>
    <w:rsid w:val="00447863"/>
    <w:rsid w:val="00452AE7"/>
    <w:rsid w:val="00463219"/>
    <w:rsid w:val="0047163C"/>
    <w:rsid w:val="004723EB"/>
    <w:rsid w:val="00486C74"/>
    <w:rsid w:val="0049099A"/>
    <w:rsid w:val="00495A4F"/>
    <w:rsid w:val="004A1AE2"/>
    <w:rsid w:val="004A728C"/>
    <w:rsid w:val="004C3196"/>
    <w:rsid w:val="004C3716"/>
    <w:rsid w:val="004D3706"/>
    <w:rsid w:val="004E387A"/>
    <w:rsid w:val="004F0A84"/>
    <w:rsid w:val="00505476"/>
    <w:rsid w:val="00511D0B"/>
    <w:rsid w:val="00535F68"/>
    <w:rsid w:val="005524B4"/>
    <w:rsid w:val="005532EA"/>
    <w:rsid w:val="005552B4"/>
    <w:rsid w:val="005556EC"/>
    <w:rsid w:val="00556A06"/>
    <w:rsid w:val="005616D7"/>
    <w:rsid w:val="00564977"/>
    <w:rsid w:val="00571B1B"/>
    <w:rsid w:val="0057519F"/>
    <w:rsid w:val="00575ED9"/>
    <w:rsid w:val="00582913"/>
    <w:rsid w:val="00583F95"/>
    <w:rsid w:val="00585022"/>
    <w:rsid w:val="005869BD"/>
    <w:rsid w:val="005B120C"/>
    <w:rsid w:val="005B279A"/>
    <w:rsid w:val="005B59F9"/>
    <w:rsid w:val="005B6C6D"/>
    <w:rsid w:val="005D25C4"/>
    <w:rsid w:val="005E3CB7"/>
    <w:rsid w:val="005E40E0"/>
    <w:rsid w:val="005E464A"/>
    <w:rsid w:val="005F1CC8"/>
    <w:rsid w:val="005F7906"/>
    <w:rsid w:val="005F79F7"/>
    <w:rsid w:val="00600053"/>
    <w:rsid w:val="00604682"/>
    <w:rsid w:val="00607FC7"/>
    <w:rsid w:val="006121B3"/>
    <w:rsid w:val="00630A34"/>
    <w:rsid w:val="00636CDE"/>
    <w:rsid w:val="006417F6"/>
    <w:rsid w:val="0064263A"/>
    <w:rsid w:val="00654ABD"/>
    <w:rsid w:val="00655FDF"/>
    <w:rsid w:val="006674EF"/>
    <w:rsid w:val="00667ACB"/>
    <w:rsid w:val="0067240D"/>
    <w:rsid w:val="00673DE5"/>
    <w:rsid w:val="006A222D"/>
    <w:rsid w:val="006D2884"/>
    <w:rsid w:val="006D2DF9"/>
    <w:rsid w:val="006D3AE1"/>
    <w:rsid w:val="006D48B0"/>
    <w:rsid w:val="006E673C"/>
    <w:rsid w:val="006F3A7E"/>
    <w:rsid w:val="007179BD"/>
    <w:rsid w:val="00730909"/>
    <w:rsid w:val="00733FAE"/>
    <w:rsid w:val="00736201"/>
    <w:rsid w:val="007430CA"/>
    <w:rsid w:val="007516FE"/>
    <w:rsid w:val="007556CD"/>
    <w:rsid w:val="00766A04"/>
    <w:rsid w:val="00777DB4"/>
    <w:rsid w:val="0079423C"/>
    <w:rsid w:val="007D2641"/>
    <w:rsid w:val="007D2741"/>
    <w:rsid w:val="007D3A5F"/>
    <w:rsid w:val="007D7D6D"/>
    <w:rsid w:val="007E05A8"/>
    <w:rsid w:val="007E2633"/>
    <w:rsid w:val="007F1E0A"/>
    <w:rsid w:val="007F4793"/>
    <w:rsid w:val="008028FA"/>
    <w:rsid w:val="008055E5"/>
    <w:rsid w:val="00811B13"/>
    <w:rsid w:val="00816D8E"/>
    <w:rsid w:val="00824EBB"/>
    <w:rsid w:val="008276A6"/>
    <w:rsid w:val="00831B7F"/>
    <w:rsid w:val="00847626"/>
    <w:rsid w:val="008853BC"/>
    <w:rsid w:val="0088733A"/>
    <w:rsid w:val="00890C36"/>
    <w:rsid w:val="008A3429"/>
    <w:rsid w:val="008A69AC"/>
    <w:rsid w:val="008A6EC4"/>
    <w:rsid w:val="008B43FA"/>
    <w:rsid w:val="008B57B9"/>
    <w:rsid w:val="008C3B6C"/>
    <w:rsid w:val="008C4AD0"/>
    <w:rsid w:val="008D564D"/>
    <w:rsid w:val="008E21FE"/>
    <w:rsid w:val="008E471F"/>
    <w:rsid w:val="008E5369"/>
    <w:rsid w:val="008F2A50"/>
    <w:rsid w:val="008F54D3"/>
    <w:rsid w:val="0091341F"/>
    <w:rsid w:val="00915B1F"/>
    <w:rsid w:val="00920439"/>
    <w:rsid w:val="0093188A"/>
    <w:rsid w:val="009320FF"/>
    <w:rsid w:val="0093381F"/>
    <w:rsid w:val="00934BBF"/>
    <w:rsid w:val="00941846"/>
    <w:rsid w:val="00943494"/>
    <w:rsid w:val="009465EF"/>
    <w:rsid w:val="00951E78"/>
    <w:rsid w:val="00952E61"/>
    <w:rsid w:val="00963486"/>
    <w:rsid w:val="0096439D"/>
    <w:rsid w:val="00966205"/>
    <w:rsid w:val="0097204B"/>
    <w:rsid w:val="00972800"/>
    <w:rsid w:val="00975232"/>
    <w:rsid w:val="00982772"/>
    <w:rsid w:val="00983870"/>
    <w:rsid w:val="00984354"/>
    <w:rsid w:val="00992E51"/>
    <w:rsid w:val="00995176"/>
    <w:rsid w:val="0099539C"/>
    <w:rsid w:val="009B0F80"/>
    <w:rsid w:val="009B417F"/>
    <w:rsid w:val="009B4B2E"/>
    <w:rsid w:val="009C02E3"/>
    <w:rsid w:val="009C1F6F"/>
    <w:rsid w:val="009D170B"/>
    <w:rsid w:val="009F1CD9"/>
    <w:rsid w:val="00A1173B"/>
    <w:rsid w:val="00A1221A"/>
    <w:rsid w:val="00A20236"/>
    <w:rsid w:val="00A218A2"/>
    <w:rsid w:val="00A21C79"/>
    <w:rsid w:val="00A31067"/>
    <w:rsid w:val="00A46311"/>
    <w:rsid w:val="00A60DB8"/>
    <w:rsid w:val="00A65205"/>
    <w:rsid w:val="00A70432"/>
    <w:rsid w:val="00A7362C"/>
    <w:rsid w:val="00A76F52"/>
    <w:rsid w:val="00A864EF"/>
    <w:rsid w:val="00A87B89"/>
    <w:rsid w:val="00AA1BF7"/>
    <w:rsid w:val="00AA4F17"/>
    <w:rsid w:val="00AB21B8"/>
    <w:rsid w:val="00AC0CED"/>
    <w:rsid w:val="00AC6570"/>
    <w:rsid w:val="00AC6B29"/>
    <w:rsid w:val="00AD0C63"/>
    <w:rsid w:val="00AD2416"/>
    <w:rsid w:val="00AE2CEB"/>
    <w:rsid w:val="00AF1AD5"/>
    <w:rsid w:val="00AF2776"/>
    <w:rsid w:val="00B146D6"/>
    <w:rsid w:val="00B50584"/>
    <w:rsid w:val="00B5118A"/>
    <w:rsid w:val="00B53CD6"/>
    <w:rsid w:val="00B549AC"/>
    <w:rsid w:val="00B55C34"/>
    <w:rsid w:val="00B57336"/>
    <w:rsid w:val="00B605DA"/>
    <w:rsid w:val="00B73C7A"/>
    <w:rsid w:val="00B9030C"/>
    <w:rsid w:val="00B94E12"/>
    <w:rsid w:val="00BA7AC0"/>
    <w:rsid w:val="00BB56BF"/>
    <w:rsid w:val="00BB5BA8"/>
    <w:rsid w:val="00BC45D1"/>
    <w:rsid w:val="00BC6B4C"/>
    <w:rsid w:val="00BD60B4"/>
    <w:rsid w:val="00BF2DE9"/>
    <w:rsid w:val="00BF463F"/>
    <w:rsid w:val="00C015A2"/>
    <w:rsid w:val="00C0701E"/>
    <w:rsid w:val="00C277E0"/>
    <w:rsid w:val="00C30AD0"/>
    <w:rsid w:val="00C31CE1"/>
    <w:rsid w:val="00C35C98"/>
    <w:rsid w:val="00C36193"/>
    <w:rsid w:val="00C42A4C"/>
    <w:rsid w:val="00C436B6"/>
    <w:rsid w:val="00C46F66"/>
    <w:rsid w:val="00C50B26"/>
    <w:rsid w:val="00C54139"/>
    <w:rsid w:val="00C56AD4"/>
    <w:rsid w:val="00C56C4E"/>
    <w:rsid w:val="00C600C0"/>
    <w:rsid w:val="00C61675"/>
    <w:rsid w:val="00C702B2"/>
    <w:rsid w:val="00C726FD"/>
    <w:rsid w:val="00C84BED"/>
    <w:rsid w:val="00C94E62"/>
    <w:rsid w:val="00C96D76"/>
    <w:rsid w:val="00CA545D"/>
    <w:rsid w:val="00CB604B"/>
    <w:rsid w:val="00CC070F"/>
    <w:rsid w:val="00CC5B48"/>
    <w:rsid w:val="00CD490F"/>
    <w:rsid w:val="00CE4EC6"/>
    <w:rsid w:val="00CE6B40"/>
    <w:rsid w:val="00CF2DD4"/>
    <w:rsid w:val="00CF4FAA"/>
    <w:rsid w:val="00D01836"/>
    <w:rsid w:val="00D20CD1"/>
    <w:rsid w:val="00D24BA2"/>
    <w:rsid w:val="00D27FB4"/>
    <w:rsid w:val="00D307F1"/>
    <w:rsid w:val="00D32AA7"/>
    <w:rsid w:val="00D4260A"/>
    <w:rsid w:val="00D50CF6"/>
    <w:rsid w:val="00D51AB1"/>
    <w:rsid w:val="00D57CA2"/>
    <w:rsid w:val="00D60288"/>
    <w:rsid w:val="00D60753"/>
    <w:rsid w:val="00D74E40"/>
    <w:rsid w:val="00D77FB6"/>
    <w:rsid w:val="00D85367"/>
    <w:rsid w:val="00D866A4"/>
    <w:rsid w:val="00D90DDE"/>
    <w:rsid w:val="00D95EF7"/>
    <w:rsid w:val="00DA0F31"/>
    <w:rsid w:val="00DA2E68"/>
    <w:rsid w:val="00DD00D6"/>
    <w:rsid w:val="00DD1F1B"/>
    <w:rsid w:val="00DD1FB0"/>
    <w:rsid w:val="00DD3572"/>
    <w:rsid w:val="00DD50D9"/>
    <w:rsid w:val="00DE6200"/>
    <w:rsid w:val="00DF3330"/>
    <w:rsid w:val="00E00880"/>
    <w:rsid w:val="00E05A6A"/>
    <w:rsid w:val="00E176C6"/>
    <w:rsid w:val="00E223B1"/>
    <w:rsid w:val="00E25637"/>
    <w:rsid w:val="00E34F6E"/>
    <w:rsid w:val="00E47190"/>
    <w:rsid w:val="00E5454E"/>
    <w:rsid w:val="00E809BA"/>
    <w:rsid w:val="00E92E62"/>
    <w:rsid w:val="00E92F40"/>
    <w:rsid w:val="00E97422"/>
    <w:rsid w:val="00EA7ED8"/>
    <w:rsid w:val="00EB022C"/>
    <w:rsid w:val="00EB1BAD"/>
    <w:rsid w:val="00EB3B6D"/>
    <w:rsid w:val="00EB78B1"/>
    <w:rsid w:val="00EC4C9F"/>
    <w:rsid w:val="00EC5387"/>
    <w:rsid w:val="00EC7A15"/>
    <w:rsid w:val="00EE0B88"/>
    <w:rsid w:val="00EF3612"/>
    <w:rsid w:val="00F06F40"/>
    <w:rsid w:val="00F100A3"/>
    <w:rsid w:val="00F2069B"/>
    <w:rsid w:val="00F240E5"/>
    <w:rsid w:val="00F33A55"/>
    <w:rsid w:val="00F41E7F"/>
    <w:rsid w:val="00F45012"/>
    <w:rsid w:val="00F6295E"/>
    <w:rsid w:val="00F65B39"/>
    <w:rsid w:val="00F71055"/>
    <w:rsid w:val="00F7215B"/>
    <w:rsid w:val="00F817FC"/>
    <w:rsid w:val="00F92597"/>
    <w:rsid w:val="00F95961"/>
    <w:rsid w:val="00F974F6"/>
    <w:rsid w:val="00FA77CC"/>
    <w:rsid w:val="00FB1D75"/>
    <w:rsid w:val="00FC59D0"/>
    <w:rsid w:val="00FD6767"/>
    <w:rsid w:val="00FE19AD"/>
    <w:rsid w:val="00FE53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107C4"/>
  <w15:chartTrackingRefBased/>
  <w15:docId w15:val="{45B9869F-9073-4643-8F81-5C6098A56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733A"/>
    <w:rPr>
      <w:color w:val="0563C1" w:themeColor="hyperlink"/>
      <w:u w:val="single"/>
    </w:rPr>
  </w:style>
  <w:style w:type="character" w:styleId="UnresolvedMention">
    <w:name w:val="Unresolved Mention"/>
    <w:basedOn w:val="DefaultParagraphFont"/>
    <w:uiPriority w:val="99"/>
    <w:semiHidden/>
    <w:unhideWhenUsed/>
    <w:rsid w:val="0088733A"/>
    <w:rPr>
      <w:color w:val="605E5C"/>
      <w:shd w:val="clear" w:color="auto" w:fill="E1DFDD"/>
    </w:rPr>
  </w:style>
  <w:style w:type="character" w:styleId="Strong">
    <w:name w:val="Strong"/>
    <w:basedOn w:val="DefaultParagraphFont"/>
    <w:uiPriority w:val="22"/>
    <w:qFormat/>
    <w:rsid w:val="00C726FD"/>
    <w:rPr>
      <w:b/>
      <w:bCs/>
    </w:rPr>
  </w:style>
  <w:style w:type="paragraph" w:styleId="ListParagraph">
    <w:name w:val="List Paragraph"/>
    <w:basedOn w:val="Normal"/>
    <w:uiPriority w:val="34"/>
    <w:qFormat/>
    <w:rsid w:val="00A76F52"/>
    <w:pPr>
      <w:ind w:left="720"/>
      <w:contextualSpacing/>
    </w:pPr>
  </w:style>
  <w:style w:type="paragraph" w:styleId="Revision">
    <w:name w:val="Revision"/>
    <w:hidden/>
    <w:uiPriority w:val="99"/>
    <w:semiHidden/>
    <w:rsid w:val="005B279A"/>
    <w:pPr>
      <w:spacing w:after="0" w:line="240" w:lineRule="auto"/>
    </w:pPr>
  </w:style>
  <w:style w:type="character" w:styleId="FollowedHyperlink">
    <w:name w:val="FollowedHyperlink"/>
    <w:basedOn w:val="DefaultParagraphFont"/>
    <w:uiPriority w:val="99"/>
    <w:semiHidden/>
    <w:unhideWhenUsed/>
    <w:rsid w:val="00D20CD1"/>
    <w:rPr>
      <w:color w:val="954F72" w:themeColor="followedHyperlink"/>
      <w:u w:val="single"/>
    </w:rPr>
  </w:style>
  <w:style w:type="character" w:styleId="CommentReference">
    <w:name w:val="annotation reference"/>
    <w:basedOn w:val="DefaultParagraphFont"/>
    <w:uiPriority w:val="99"/>
    <w:semiHidden/>
    <w:unhideWhenUsed/>
    <w:rsid w:val="00AA1BF7"/>
    <w:rPr>
      <w:sz w:val="16"/>
      <w:szCs w:val="16"/>
    </w:rPr>
  </w:style>
  <w:style w:type="paragraph" w:styleId="CommentText">
    <w:name w:val="annotation text"/>
    <w:basedOn w:val="Normal"/>
    <w:link w:val="CommentTextChar"/>
    <w:uiPriority w:val="99"/>
    <w:unhideWhenUsed/>
    <w:rsid w:val="002D4F28"/>
    <w:pPr>
      <w:spacing w:line="240" w:lineRule="auto"/>
    </w:pPr>
    <w:rPr>
      <w:sz w:val="20"/>
      <w:szCs w:val="20"/>
    </w:rPr>
  </w:style>
  <w:style w:type="character" w:customStyle="1" w:styleId="CommentTextChar">
    <w:name w:val="Comment Text Char"/>
    <w:basedOn w:val="DefaultParagraphFont"/>
    <w:link w:val="CommentText"/>
    <w:uiPriority w:val="99"/>
    <w:rsid w:val="00AA1BF7"/>
    <w:rPr>
      <w:sz w:val="20"/>
      <w:szCs w:val="20"/>
    </w:rPr>
  </w:style>
  <w:style w:type="paragraph" w:styleId="CommentSubject">
    <w:name w:val="annotation subject"/>
    <w:basedOn w:val="CommentText"/>
    <w:next w:val="CommentText"/>
    <w:link w:val="CommentSubjectChar"/>
    <w:uiPriority w:val="99"/>
    <w:semiHidden/>
    <w:unhideWhenUsed/>
    <w:rsid w:val="00AA1BF7"/>
    <w:rPr>
      <w:b/>
      <w:bCs/>
    </w:rPr>
  </w:style>
  <w:style w:type="character" w:customStyle="1" w:styleId="CommentSubjectChar">
    <w:name w:val="Comment Subject Char"/>
    <w:basedOn w:val="CommentTextChar"/>
    <w:link w:val="CommentSubject"/>
    <w:uiPriority w:val="99"/>
    <w:semiHidden/>
    <w:rsid w:val="00AA1BF7"/>
    <w:rPr>
      <w:b/>
      <w:bCs/>
      <w:sz w:val="20"/>
      <w:szCs w:val="20"/>
    </w:rPr>
  </w:style>
  <w:style w:type="paragraph" w:styleId="Header">
    <w:name w:val="header"/>
    <w:basedOn w:val="Normal"/>
    <w:link w:val="HeaderChar"/>
    <w:uiPriority w:val="99"/>
    <w:unhideWhenUsed/>
    <w:rsid w:val="00A310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1067"/>
  </w:style>
  <w:style w:type="paragraph" w:styleId="Footer">
    <w:name w:val="footer"/>
    <w:basedOn w:val="Normal"/>
    <w:link w:val="FooterChar"/>
    <w:uiPriority w:val="99"/>
    <w:unhideWhenUsed/>
    <w:rsid w:val="00A310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1067"/>
  </w:style>
  <w:style w:type="paragraph" w:styleId="NormalWeb">
    <w:name w:val="Normal (Web)"/>
    <w:basedOn w:val="Normal"/>
    <w:uiPriority w:val="99"/>
    <w:semiHidden/>
    <w:unhideWhenUsed/>
    <w:rsid w:val="00D24BA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10940">
      <w:bodyDiv w:val="1"/>
      <w:marLeft w:val="0"/>
      <w:marRight w:val="0"/>
      <w:marTop w:val="0"/>
      <w:marBottom w:val="0"/>
      <w:divBdr>
        <w:top w:val="none" w:sz="0" w:space="0" w:color="auto"/>
        <w:left w:val="none" w:sz="0" w:space="0" w:color="auto"/>
        <w:bottom w:val="none" w:sz="0" w:space="0" w:color="auto"/>
        <w:right w:val="none" w:sz="0" w:space="0" w:color="auto"/>
      </w:divBdr>
    </w:div>
    <w:div w:id="353001588">
      <w:bodyDiv w:val="1"/>
      <w:marLeft w:val="0"/>
      <w:marRight w:val="0"/>
      <w:marTop w:val="0"/>
      <w:marBottom w:val="0"/>
      <w:divBdr>
        <w:top w:val="none" w:sz="0" w:space="0" w:color="auto"/>
        <w:left w:val="none" w:sz="0" w:space="0" w:color="auto"/>
        <w:bottom w:val="none" w:sz="0" w:space="0" w:color="auto"/>
        <w:right w:val="none" w:sz="0" w:space="0" w:color="auto"/>
      </w:divBdr>
    </w:div>
    <w:div w:id="548953016">
      <w:bodyDiv w:val="1"/>
      <w:marLeft w:val="0"/>
      <w:marRight w:val="0"/>
      <w:marTop w:val="0"/>
      <w:marBottom w:val="0"/>
      <w:divBdr>
        <w:top w:val="none" w:sz="0" w:space="0" w:color="auto"/>
        <w:left w:val="none" w:sz="0" w:space="0" w:color="auto"/>
        <w:bottom w:val="none" w:sz="0" w:space="0" w:color="auto"/>
        <w:right w:val="none" w:sz="0" w:space="0" w:color="auto"/>
      </w:divBdr>
    </w:div>
    <w:div w:id="727611871">
      <w:bodyDiv w:val="1"/>
      <w:marLeft w:val="0"/>
      <w:marRight w:val="0"/>
      <w:marTop w:val="0"/>
      <w:marBottom w:val="0"/>
      <w:divBdr>
        <w:top w:val="none" w:sz="0" w:space="0" w:color="auto"/>
        <w:left w:val="none" w:sz="0" w:space="0" w:color="auto"/>
        <w:bottom w:val="none" w:sz="0" w:space="0" w:color="auto"/>
        <w:right w:val="none" w:sz="0" w:space="0" w:color="auto"/>
      </w:divBdr>
    </w:div>
    <w:div w:id="731581773">
      <w:bodyDiv w:val="1"/>
      <w:marLeft w:val="0"/>
      <w:marRight w:val="0"/>
      <w:marTop w:val="0"/>
      <w:marBottom w:val="0"/>
      <w:divBdr>
        <w:top w:val="none" w:sz="0" w:space="0" w:color="auto"/>
        <w:left w:val="none" w:sz="0" w:space="0" w:color="auto"/>
        <w:bottom w:val="none" w:sz="0" w:space="0" w:color="auto"/>
        <w:right w:val="none" w:sz="0" w:space="0" w:color="auto"/>
      </w:divBdr>
    </w:div>
    <w:div w:id="776874530">
      <w:bodyDiv w:val="1"/>
      <w:marLeft w:val="0"/>
      <w:marRight w:val="0"/>
      <w:marTop w:val="0"/>
      <w:marBottom w:val="0"/>
      <w:divBdr>
        <w:top w:val="none" w:sz="0" w:space="0" w:color="auto"/>
        <w:left w:val="none" w:sz="0" w:space="0" w:color="auto"/>
        <w:bottom w:val="none" w:sz="0" w:space="0" w:color="auto"/>
        <w:right w:val="none" w:sz="0" w:space="0" w:color="auto"/>
      </w:divBdr>
    </w:div>
    <w:div w:id="1123691406">
      <w:bodyDiv w:val="1"/>
      <w:marLeft w:val="0"/>
      <w:marRight w:val="0"/>
      <w:marTop w:val="0"/>
      <w:marBottom w:val="0"/>
      <w:divBdr>
        <w:top w:val="none" w:sz="0" w:space="0" w:color="auto"/>
        <w:left w:val="none" w:sz="0" w:space="0" w:color="auto"/>
        <w:bottom w:val="none" w:sz="0" w:space="0" w:color="auto"/>
        <w:right w:val="none" w:sz="0" w:space="0" w:color="auto"/>
      </w:divBdr>
    </w:div>
    <w:div w:id="1431857881">
      <w:bodyDiv w:val="1"/>
      <w:marLeft w:val="0"/>
      <w:marRight w:val="0"/>
      <w:marTop w:val="0"/>
      <w:marBottom w:val="0"/>
      <w:divBdr>
        <w:top w:val="none" w:sz="0" w:space="0" w:color="auto"/>
        <w:left w:val="none" w:sz="0" w:space="0" w:color="auto"/>
        <w:bottom w:val="none" w:sz="0" w:space="0" w:color="auto"/>
        <w:right w:val="none" w:sz="0" w:space="0" w:color="auto"/>
      </w:divBdr>
    </w:div>
    <w:div w:id="1549218676">
      <w:bodyDiv w:val="1"/>
      <w:marLeft w:val="0"/>
      <w:marRight w:val="0"/>
      <w:marTop w:val="0"/>
      <w:marBottom w:val="0"/>
      <w:divBdr>
        <w:top w:val="none" w:sz="0" w:space="0" w:color="auto"/>
        <w:left w:val="none" w:sz="0" w:space="0" w:color="auto"/>
        <w:bottom w:val="none" w:sz="0" w:space="0" w:color="auto"/>
        <w:right w:val="none" w:sz="0" w:space="0" w:color="auto"/>
      </w:divBdr>
    </w:div>
    <w:div w:id="1566716246">
      <w:bodyDiv w:val="1"/>
      <w:marLeft w:val="0"/>
      <w:marRight w:val="0"/>
      <w:marTop w:val="0"/>
      <w:marBottom w:val="0"/>
      <w:divBdr>
        <w:top w:val="none" w:sz="0" w:space="0" w:color="auto"/>
        <w:left w:val="none" w:sz="0" w:space="0" w:color="auto"/>
        <w:bottom w:val="none" w:sz="0" w:space="0" w:color="auto"/>
        <w:right w:val="none" w:sz="0" w:space="0" w:color="auto"/>
      </w:divBdr>
    </w:div>
    <w:div w:id="1672291129">
      <w:bodyDiv w:val="1"/>
      <w:marLeft w:val="0"/>
      <w:marRight w:val="0"/>
      <w:marTop w:val="0"/>
      <w:marBottom w:val="0"/>
      <w:divBdr>
        <w:top w:val="none" w:sz="0" w:space="0" w:color="auto"/>
        <w:left w:val="none" w:sz="0" w:space="0" w:color="auto"/>
        <w:bottom w:val="none" w:sz="0" w:space="0" w:color="auto"/>
        <w:right w:val="none" w:sz="0" w:space="0" w:color="auto"/>
      </w:divBdr>
    </w:div>
    <w:div w:id="1762293189">
      <w:bodyDiv w:val="1"/>
      <w:marLeft w:val="0"/>
      <w:marRight w:val="0"/>
      <w:marTop w:val="0"/>
      <w:marBottom w:val="0"/>
      <w:divBdr>
        <w:top w:val="none" w:sz="0" w:space="0" w:color="auto"/>
        <w:left w:val="none" w:sz="0" w:space="0" w:color="auto"/>
        <w:bottom w:val="none" w:sz="0" w:space="0" w:color="auto"/>
        <w:right w:val="none" w:sz="0" w:space="0" w:color="auto"/>
      </w:divBdr>
    </w:div>
    <w:div w:id="1847941429">
      <w:bodyDiv w:val="1"/>
      <w:marLeft w:val="0"/>
      <w:marRight w:val="0"/>
      <w:marTop w:val="0"/>
      <w:marBottom w:val="0"/>
      <w:divBdr>
        <w:top w:val="none" w:sz="0" w:space="0" w:color="auto"/>
        <w:left w:val="none" w:sz="0" w:space="0" w:color="auto"/>
        <w:bottom w:val="none" w:sz="0" w:space="0" w:color="auto"/>
        <w:right w:val="none" w:sz="0" w:space="0" w:color="auto"/>
      </w:divBdr>
    </w:div>
    <w:div w:id="1978023794">
      <w:bodyDiv w:val="1"/>
      <w:marLeft w:val="0"/>
      <w:marRight w:val="0"/>
      <w:marTop w:val="0"/>
      <w:marBottom w:val="0"/>
      <w:divBdr>
        <w:top w:val="none" w:sz="0" w:space="0" w:color="auto"/>
        <w:left w:val="none" w:sz="0" w:space="0" w:color="auto"/>
        <w:bottom w:val="none" w:sz="0" w:space="0" w:color="auto"/>
        <w:right w:val="none" w:sz="0" w:space="0" w:color="auto"/>
      </w:divBdr>
    </w:div>
    <w:div w:id="2050492870">
      <w:bodyDiv w:val="1"/>
      <w:marLeft w:val="0"/>
      <w:marRight w:val="0"/>
      <w:marTop w:val="0"/>
      <w:marBottom w:val="0"/>
      <w:divBdr>
        <w:top w:val="none" w:sz="0" w:space="0" w:color="auto"/>
        <w:left w:val="none" w:sz="0" w:space="0" w:color="auto"/>
        <w:bottom w:val="none" w:sz="0" w:space="0" w:color="auto"/>
        <w:right w:val="none" w:sz="0" w:space="0" w:color="auto"/>
      </w:divBdr>
    </w:div>
    <w:div w:id="2058697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nfo@dermatarx.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ermatarx.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dermatarx.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DCE8CE33323946A084177555DA0768" ma:contentTypeVersion="16" ma:contentTypeDescription="Create a new document." ma:contentTypeScope="" ma:versionID="6c824bf8124b7bdac312989c4a0a158a">
  <xsd:schema xmlns:xsd="http://www.w3.org/2001/XMLSchema" xmlns:xs="http://www.w3.org/2001/XMLSchema" xmlns:p="http://schemas.microsoft.com/office/2006/metadata/properties" xmlns:ns2="0e76b33c-3de5-4caf-9e80-1e9294e45cdd" xmlns:ns3="fa327263-212f-43ec-9338-f2db24301239" xmlns:ns4="59604edf-6ecd-4652-9337-49b9ddaa7ff6" targetNamespace="http://schemas.microsoft.com/office/2006/metadata/properties" ma:root="true" ma:fieldsID="b50bea124e00c75a8039ec3de70d4488" ns2:_="" ns3:_="" ns4:_="">
    <xsd:import namespace="0e76b33c-3de5-4caf-9e80-1e9294e45cdd"/>
    <xsd:import namespace="fa327263-212f-43ec-9338-f2db24301239"/>
    <xsd:import namespace="59604edf-6ecd-4652-9337-49b9ddaa7ff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6b33c-3de5-4caf-9e80-1e9294e45c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b0f3b00-60dd-4519-b084-9a3907e59c3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a327263-212f-43ec-9338-f2db2430123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604edf-6ecd-4652-9337-49b9ddaa7ff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f4af52f-cd66-4cb0-9b3e-ddb107443a5a}" ma:internalName="TaxCatchAll" ma:showField="CatchAllData" ma:web="59604edf-6ecd-4652-9337-49b9ddaa7f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76b33c-3de5-4caf-9e80-1e9294e45cdd">
      <Terms xmlns="http://schemas.microsoft.com/office/infopath/2007/PartnerControls"/>
    </lcf76f155ced4ddcb4097134ff3c332f>
    <TaxCatchAll xmlns="59604edf-6ecd-4652-9337-49b9ddaa7ff6" xsi:nil="true"/>
  </documentManagement>
</p:properties>
</file>

<file path=customXml/itemProps1.xml><?xml version="1.0" encoding="utf-8"?>
<ds:datastoreItem xmlns:ds="http://schemas.openxmlformats.org/officeDocument/2006/customXml" ds:itemID="{C847B2D3-1F50-4A87-B650-178690D652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6b33c-3de5-4caf-9e80-1e9294e45cdd"/>
    <ds:schemaRef ds:uri="fa327263-212f-43ec-9338-f2db24301239"/>
    <ds:schemaRef ds:uri="59604edf-6ecd-4652-9337-49b9ddaa7f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353C38-7D1B-44FF-ADA8-93E14A7286C2}">
  <ds:schemaRefs>
    <ds:schemaRef ds:uri="http://schemas.microsoft.com/sharepoint/v3/contenttype/forms"/>
  </ds:schemaRefs>
</ds:datastoreItem>
</file>

<file path=customXml/itemProps3.xml><?xml version="1.0" encoding="utf-8"?>
<ds:datastoreItem xmlns:ds="http://schemas.openxmlformats.org/officeDocument/2006/customXml" ds:itemID="{34DEE29D-979C-4011-9AED-0B9170271AED}">
  <ds:schemaRefs>
    <ds:schemaRef ds:uri="http://schemas.microsoft.com/office/2006/metadata/properties"/>
    <ds:schemaRef ds:uri="http://schemas.microsoft.com/office/infopath/2007/PartnerControls"/>
    <ds:schemaRef ds:uri="0e76b33c-3de5-4caf-9e80-1e9294e45cdd"/>
    <ds:schemaRef ds:uri="59604edf-6ecd-4652-9337-49b9ddaa7ff6"/>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1450</Words>
  <Characters>8266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Colangelo</dc:creator>
  <cp:keywords/>
  <dc:description/>
  <cp:lastModifiedBy>Sean Proehl</cp:lastModifiedBy>
  <cp:revision>3</cp:revision>
  <dcterms:created xsi:type="dcterms:W3CDTF">2024-05-08T20:45:00Z</dcterms:created>
  <dcterms:modified xsi:type="dcterms:W3CDTF">2024-05-13T18:04:00Z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0x010100F4DCE8CE33323946A084177555DA0768</vt:lpwstr>
  </property>
  <property fmtid="{D5CDD505-2E9C-101B-9397-08002B2CF9AE}" pid="3" name="MediaServiceImageTags">
    <vt:lpwstr/>
  </property>
</Properties>
</file>