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4AAE5" w14:textId="12CA6601" w:rsidR="00143822" w:rsidRDefault="00143822" w:rsidP="00BB1982">
      <w:pPr>
        <w:jc w:val="both"/>
        <w:rPr>
          <w:rFonts w:ascii="Times New Roman" w:eastAsia="Times New Roman" w:hAnsi="Times New Roman" w:cs="Times New Roman"/>
          <w:b/>
          <w:bCs/>
          <w:color w:val="000000"/>
          <w:sz w:val="24"/>
          <w:szCs w:val="24"/>
        </w:rPr>
      </w:pPr>
      <w:bookmarkStart w:id="0" w:name="_Hlk156823768"/>
      <w:r w:rsidRPr="00143822">
        <w:rPr>
          <w:rFonts w:ascii="Times New Roman" w:eastAsia="Times New Roman" w:hAnsi="Times New Roman" w:cs="Times New Roman"/>
          <w:b/>
          <w:bCs/>
          <w:color w:val="000000"/>
          <w:sz w:val="24"/>
          <w:szCs w:val="24"/>
        </w:rPr>
        <w:t xml:space="preserve">Class Action Reminder for </w:t>
      </w:r>
      <w:r>
        <w:rPr>
          <w:rFonts w:ascii="Times New Roman" w:eastAsia="Times New Roman" w:hAnsi="Times New Roman" w:cs="Times New Roman"/>
          <w:b/>
          <w:bCs/>
          <w:color w:val="000000"/>
          <w:sz w:val="24"/>
          <w:szCs w:val="24"/>
        </w:rPr>
        <w:t>NYSE</w:t>
      </w:r>
      <w:r w:rsidRPr="00143822">
        <w:rPr>
          <w:rFonts w:ascii="Times New Roman" w:eastAsia="Times New Roman" w:hAnsi="Times New Roman" w:cs="Times New Roman"/>
          <w:b/>
          <w:bCs/>
          <w:color w:val="000000"/>
          <w:sz w:val="24"/>
          <w:szCs w:val="24"/>
        </w:rPr>
        <w:t>: TDC</w:t>
      </w:r>
      <w:r>
        <w:rPr>
          <w:rFonts w:ascii="Times New Roman" w:eastAsia="Times New Roman" w:hAnsi="Times New Roman" w:cs="Times New Roman"/>
          <w:b/>
          <w:bCs/>
          <w:color w:val="000000"/>
          <w:sz w:val="24"/>
          <w:szCs w:val="24"/>
        </w:rPr>
        <w:t xml:space="preserve"> - </w:t>
      </w:r>
      <w:r w:rsidRPr="00143822">
        <w:rPr>
          <w:rFonts w:ascii="Times New Roman" w:eastAsia="Times New Roman" w:hAnsi="Times New Roman" w:cs="Times New Roman"/>
          <w:b/>
          <w:bCs/>
          <w:color w:val="000000"/>
          <w:sz w:val="24"/>
          <w:szCs w:val="24"/>
        </w:rPr>
        <w:t>Kessler Topaz Meltzer &amp; Check, LLP Reminds Teradata Corporation Investors of Securities Fraud Class Action Lawsuit</w:t>
      </w:r>
    </w:p>
    <w:p w14:paraId="0B89322E" w14:textId="1D8051F3" w:rsidR="00694BFF" w:rsidRPr="00877102" w:rsidRDefault="0019314D" w:rsidP="00BB1982">
      <w:pPr>
        <w:jc w:val="both"/>
        <w:rPr>
          <w:rFonts w:ascii="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Ju</w:t>
      </w:r>
      <w:r w:rsidR="0067276D">
        <w:rPr>
          <w:rFonts w:ascii="Times New Roman" w:eastAsia="Times New Roman" w:hAnsi="Times New Roman" w:cs="Times New Roman"/>
          <w:sz w:val="24"/>
          <w:szCs w:val="24"/>
        </w:rPr>
        <w:t xml:space="preserve">ly </w:t>
      </w:r>
      <w:r w:rsidR="00143822">
        <w:rPr>
          <w:rFonts w:ascii="Times New Roman" w:eastAsia="Times New Roman" w:hAnsi="Times New Roman" w:cs="Times New Roman"/>
          <w:sz w:val="24"/>
          <w:szCs w:val="24"/>
        </w:rPr>
        <w:t>9</w:t>
      </w:r>
      <w:r w:rsidR="00E7629A">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785B36">
        <w:rPr>
          <w:rStyle w:val="Hyperlink"/>
          <w:rFonts w:ascii="Times New Roman" w:eastAsia="Times New Roman" w:hAnsi="Times New Roman" w:cs="Times New Roman"/>
          <w:color w:val="0000FF"/>
          <w:sz w:val="24"/>
          <w:szCs w:val="24"/>
        </w:rPr>
        <w:fldChar w:fldCharType="begin"/>
      </w:r>
      <w:r w:rsidR="005F6D0F" w:rsidRPr="00785B36">
        <w:rPr>
          <w:rStyle w:val="Hyperlink"/>
          <w:rFonts w:ascii="Times New Roman" w:eastAsia="Times New Roman" w:hAnsi="Times New Roman" w:cs="Times New Roman"/>
          <w:color w:val="0000FF"/>
          <w:sz w:val="24"/>
          <w:szCs w:val="24"/>
        </w:rPr>
        <w:instrText>HYPERLINK "https://www.ktmc.com/new-cases/teradata-corporation?utm_source=PR&amp;utm_medium=link&amp;utm_campaign=tdc&amp;mktm=r"</w:instrText>
      </w:r>
      <w:r w:rsidR="00B80E76" w:rsidRPr="00785B36">
        <w:rPr>
          <w:rStyle w:val="Hyperlink"/>
          <w:rFonts w:ascii="Times New Roman" w:eastAsia="Times New Roman" w:hAnsi="Times New Roman" w:cs="Times New Roman"/>
          <w:color w:val="0000FF"/>
          <w:sz w:val="24"/>
          <w:szCs w:val="24"/>
        </w:rPr>
        <w:fldChar w:fldCharType="separate"/>
      </w:r>
      <w:r w:rsidR="004666B7" w:rsidRPr="00785B36">
        <w:rPr>
          <w:rStyle w:val="Hyperlink"/>
          <w:rFonts w:ascii="Times New Roman" w:eastAsia="Times New Roman" w:hAnsi="Times New Roman" w:cs="Times New Roman"/>
          <w:color w:val="0000FF"/>
          <w:sz w:val="24"/>
          <w:szCs w:val="24"/>
        </w:rPr>
        <w:t>Kessler Topaz Meltzer &amp; Check, LLP</w:t>
      </w:r>
      <w:r w:rsidR="00B80E76" w:rsidRPr="00785B36">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against</w:t>
      </w:r>
      <w:r w:rsidR="00E83B59" w:rsidRPr="00BB1982">
        <w:rPr>
          <w:rFonts w:ascii="Times New Roman" w:eastAsia="Times New Roman" w:hAnsi="Times New Roman" w:cs="Times New Roman"/>
          <w:sz w:val="24"/>
          <w:szCs w:val="24"/>
        </w:rPr>
        <w:t xml:space="preserve"> </w:t>
      </w:r>
      <w:r w:rsidR="006F0364">
        <w:rPr>
          <w:rFonts w:ascii="Times New Roman" w:eastAsia="Times New Roman" w:hAnsi="Times New Roman" w:cs="Times New Roman"/>
          <w:sz w:val="24"/>
          <w:szCs w:val="24"/>
        </w:rPr>
        <w:t>Teradata</w:t>
      </w:r>
      <w:r w:rsidR="0000628A">
        <w:rPr>
          <w:rFonts w:ascii="Times New Roman" w:eastAsia="Times New Roman" w:hAnsi="Times New Roman" w:cs="Times New Roman"/>
          <w:sz w:val="24"/>
          <w:szCs w:val="24"/>
        </w:rPr>
        <w:t xml:space="preserve"> Corporation</w:t>
      </w:r>
      <w:r w:rsidR="00A0599C" w:rsidRPr="00BB1982">
        <w:rPr>
          <w:rFonts w:ascii="Times New Roman" w:hAnsi="Times New Roman" w:cs="Times New Roman"/>
          <w:sz w:val="24"/>
          <w:szCs w:val="24"/>
        </w:rPr>
        <w:t xml:space="preserve"> (“</w:t>
      </w:r>
      <w:r w:rsidR="006F0364">
        <w:rPr>
          <w:rFonts w:ascii="Times New Roman" w:hAnsi="Times New Roman" w:cs="Times New Roman"/>
          <w:sz w:val="24"/>
          <w:szCs w:val="24"/>
        </w:rPr>
        <w:t>Teradata</w:t>
      </w:r>
      <w:r w:rsidR="00A0599C" w:rsidRPr="00BB1982">
        <w:rPr>
          <w:rFonts w:ascii="Times New Roman" w:hAnsi="Times New Roman" w:cs="Times New Roman"/>
          <w:sz w:val="24"/>
          <w:szCs w:val="24"/>
        </w:rPr>
        <w:t>”) (</w:t>
      </w:r>
      <w:hyperlink r:id="rId5" w:history="1">
        <w:r w:rsidR="00EB1BBC" w:rsidRPr="00785B36">
          <w:rPr>
            <w:rStyle w:val="Hyperlink"/>
            <w:rFonts w:ascii="Times New Roman" w:hAnsi="Times New Roman" w:cs="Times New Roman"/>
            <w:color w:val="0000FF"/>
            <w:sz w:val="24"/>
            <w:szCs w:val="24"/>
          </w:rPr>
          <w:t>N</w:t>
        </w:r>
        <w:r w:rsidR="00D225C3" w:rsidRPr="00785B36">
          <w:rPr>
            <w:rStyle w:val="Hyperlink"/>
            <w:rFonts w:ascii="Times New Roman" w:hAnsi="Times New Roman" w:cs="Times New Roman"/>
            <w:color w:val="0000FF"/>
            <w:sz w:val="24"/>
            <w:szCs w:val="24"/>
          </w:rPr>
          <w:t>YSE</w:t>
        </w:r>
        <w:r w:rsidR="00EB1BBC" w:rsidRPr="00785B36">
          <w:rPr>
            <w:rStyle w:val="Hyperlink"/>
            <w:rFonts w:ascii="Times New Roman" w:hAnsi="Times New Roman" w:cs="Times New Roman"/>
            <w:color w:val="0000FF"/>
            <w:sz w:val="24"/>
            <w:szCs w:val="24"/>
          </w:rPr>
          <w:t xml:space="preserve">: </w:t>
        </w:r>
        <w:r w:rsidR="006F0364" w:rsidRPr="00785B36">
          <w:rPr>
            <w:rStyle w:val="Hyperlink"/>
            <w:rFonts w:ascii="Times New Roman" w:hAnsi="Times New Roman" w:cs="Times New Roman"/>
            <w:color w:val="0000FF"/>
            <w:sz w:val="24"/>
            <w:szCs w:val="24"/>
          </w:rPr>
          <w:t>TDC</w:t>
        </w:r>
      </w:hyperlink>
      <w:r w:rsidR="00A0599C" w:rsidRPr="00785B36">
        <w:rPr>
          <w:rFonts w:ascii="Times New Roman" w:hAnsi="Times New Roman" w:cs="Times New Roman"/>
          <w:color w:val="0000FF"/>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6F0364">
        <w:rPr>
          <w:rFonts w:ascii="Times New Roman" w:hAnsi="Times New Roman" w:cs="Times New Roman"/>
          <w:sz w:val="24"/>
          <w:szCs w:val="24"/>
        </w:rPr>
        <w:t>Teradata</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6F0364">
        <w:rPr>
          <w:rFonts w:ascii="Times New Roman" w:eastAsia="Times New Roman" w:hAnsi="Times New Roman" w:cs="Times New Roman"/>
          <w:sz w:val="24"/>
          <w:szCs w:val="24"/>
        </w:rPr>
        <w:t>Teradata</w:t>
      </w:r>
      <w:r w:rsidR="003F5BAC" w:rsidRPr="00BB1982">
        <w:rPr>
          <w:rFonts w:ascii="Times New Roman" w:hAnsi="Times New Roman" w:cs="Times New Roman"/>
          <w:sz w:val="24"/>
          <w:szCs w:val="24"/>
        </w:rPr>
        <w:t xml:space="preserve">’s materially misleading statements and omissions to the public, </w:t>
      </w:r>
      <w:r w:rsidR="006F0364">
        <w:rPr>
          <w:rFonts w:ascii="Times New Roman" w:hAnsi="Times New Roman" w:cs="Times New Roman"/>
          <w:sz w:val="24"/>
          <w:szCs w:val="24"/>
        </w:rPr>
        <w:t>Teradata</w:t>
      </w:r>
      <w:r w:rsidR="003F5BAC" w:rsidRPr="00BB1982">
        <w:rPr>
          <w:rFonts w:ascii="Times New Roman" w:hAnsi="Times New Roman" w:cs="Times New Roman"/>
          <w:sz w:val="24"/>
          <w:szCs w:val="24"/>
        </w:rPr>
        <w:t>’s investors have suffered significant losses.</w:t>
      </w:r>
      <w:r w:rsidR="00E52963" w:rsidRPr="00E52963">
        <w:rPr>
          <w:rFonts w:ascii="Times New Roman" w:eastAsia="Times New Roman" w:hAnsi="Times New Roman" w:cs="Times New Roman"/>
          <w:bCs/>
          <w:sz w:val="24"/>
          <w:szCs w:val="24"/>
        </w:rPr>
        <w:t xml:space="preserve"> </w:t>
      </w:r>
      <w:r w:rsidR="00E52963" w:rsidRPr="00877102">
        <w:rPr>
          <w:rFonts w:ascii="Times New Roman" w:eastAsia="Times New Roman" w:hAnsi="Times New Roman" w:cs="Times New Roman"/>
          <w:b/>
          <w:sz w:val="24"/>
          <w:szCs w:val="24"/>
        </w:rPr>
        <w:t>The lead plaintiff deadline is August 13, 2024.</w:t>
      </w:r>
    </w:p>
    <w:p w14:paraId="5630CD9F" w14:textId="3C3643DC" w:rsidR="005F6D0F" w:rsidRPr="00785B36" w:rsidRDefault="0094541B" w:rsidP="005F6D0F">
      <w:pPr>
        <w:rPr>
          <w:rFonts w:ascii="Times New Roman" w:hAnsi="Times New Roman" w:cs="Times New Roman"/>
          <w:color w:val="0000FF"/>
        </w:rPr>
      </w:pPr>
      <w:r w:rsidRPr="00877102">
        <w:rPr>
          <w:rStyle w:val="Hyperlink"/>
          <w:rFonts w:ascii="Times New Roman" w:eastAsia="Times New Roman" w:hAnsi="Times New Roman" w:cs="Times New Roman"/>
          <w:b/>
          <w:color w:val="auto"/>
          <w:sz w:val="24"/>
          <w:szCs w:val="24"/>
          <w:u w:val="none"/>
        </w:rPr>
        <w:t xml:space="preserve">If you suffered </w:t>
      </w:r>
      <w:r w:rsidR="006F0364" w:rsidRPr="00877102">
        <w:rPr>
          <w:rStyle w:val="Hyperlink"/>
          <w:rFonts w:ascii="Times New Roman" w:eastAsia="Times New Roman" w:hAnsi="Times New Roman" w:cs="Times New Roman"/>
          <w:b/>
          <w:color w:val="auto"/>
          <w:sz w:val="24"/>
          <w:szCs w:val="24"/>
          <w:u w:val="none"/>
        </w:rPr>
        <w:t>Teradata</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3E34C5">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5F6D0F" w:rsidRPr="00785B36">
          <w:rPr>
            <w:rStyle w:val="Hyperlink"/>
            <w:rFonts w:ascii="Times New Roman" w:hAnsi="Times New Roman" w:cs="Times New Roman"/>
            <w:color w:val="0000FF"/>
          </w:rPr>
          <w:t>https://www.ktmc.com/new-cases/teradata-corporation?utm_source=PR&amp;utm_medium=link&amp;utm_campaign=tdc&amp;mktm=r</w:t>
        </w:r>
      </w:hyperlink>
    </w:p>
    <w:p w14:paraId="52E3FFE8" w14:textId="1877625B" w:rsidR="0094541B" w:rsidRPr="00BB1982" w:rsidRDefault="0094541B" w:rsidP="00BB1982">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8"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of Kessler Topaz by calling (484) 270-1453 or by email at </w:t>
      </w:r>
      <w:hyperlink r:id="rId9" w:history="1">
        <w:r w:rsidRPr="00785B36">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7BAC48A6" w14:textId="77777777" w:rsidR="0000628A" w:rsidRDefault="00BC257A" w:rsidP="0000628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256C5A02" w14:textId="569DDBB4" w:rsidR="006F0364" w:rsidRPr="006F0364" w:rsidRDefault="006F0364" w:rsidP="00E31EFF">
      <w:pPr>
        <w:pStyle w:val="PlainText"/>
        <w:jc w:val="both"/>
        <w:rPr>
          <w:shd w:val="clear" w:color="auto" w:fill="FFFFFF"/>
        </w:rPr>
      </w:pPr>
      <w:bookmarkStart w:id="2" w:name="_Hlk169635104"/>
      <w:r w:rsidRPr="006F0364">
        <w:rPr>
          <w:shd w:val="clear" w:color="auto" w:fill="FFFFFF"/>
        </w:rPr>
        <w:t>On</w:t>
      </w:r>
      <w:r w:rsidR="00F53347">
        <w:rPr>
          <w:shd w:val="clear" w:color="auto" w:fill="FFFFFF"/>
        </w:rPr>
        <w:t xml:space="preserve"> </w:t>
      </w:r>
      <w:r w:rsidRPr="006F0364">
        <w:rPr>
          <w:rStyle w:val="xn-chron"/>
          <w:shd w:val="clear" w:color="auto" w:fill="FFFFFF"/>
        </w:rPr>
        <w:t>February 13, 2023</w:t>
      </w:r>
      <w:r w:rsidRPr="006F0364">
        <w:rPr>
          <w:shd w:val="clear" w:color="auto" w:fill="FFFFFF"/>
        </w:rPr>
        <w:t xml:space="preserve">, Teradata issued a press release reporting its </w:t>
      </w:r>
      <w:r>
        <w:rPr>
          <w:shd w:val="clear" w:color="auto" w:fill="FFFFFF"/>
        </w:rPr>
        <w:t>fourth quarter</w:t>
      </w:r>
      <w:r w:rsidRPr="006F0364">
        <w:rPr>
          <w:shd w:val="clear" w:color="auto" w:fill="FFFFFF"/>
        </w:rPr>
        <w:t xml:space="preserve"> and full year 2022 financial results</w:t>
      </w:r>
      <w:r w:rsidR="00E31EFF">
        <w:rPr>
          <w:shd w:val="clear" w:color="auto" w:fill="FFFFFF"/>
        </w:rPr>
        <w:t>, and provided an outlook for the full year 2023</w:t>
      </w:r>
      <w:r w:rsidRPr="006F0364">
        <w:rPr>
          <w:shd w:val="clear" w:color="auto" w:fill="FFFFFF"/>
        </w:rPr>
        <w:t xml:space="preserve">. </w:t>
      </w:r>
      <w:r w:rsidR="00F53347">
        <w:rPr>
          <w:shd w:val="clear" w:color="auto" w:fill="FFFFFF"/>
        </w:rPr>
        <w:t xml:space="preserve"> </w:t>
      </w:r>
      <w:r w:rsidRPr="006F0364">
        <w:rPr>
          <w:shd w:val="clear" w:color="auto" w:fill="FFFFFF"/>
        </w:rPr>
        <w:t xml:space="preserve">In </w:t>
      </w:r>
      <w:r w:rsidR="00E31EFF">
        <w:rPr>
          <w:shd w:val="clear" w:color="auto" w:fill="FFFFFF"/>
        </w:rPr>
        <w:t xml:space="preserve">its outlook for </w:t>
      </w:r>
      <w:r w:rsidRPr="006F0364">
        <w:rPr>
          <w:shd w:val="clear" w:color="auto" w:fill="FFFFFF"/>
        </w:rPr>
        <w:t xml:space="preserve">2023, </w:t>
      </w:r>
      <w:r>
        <w:rPr>
          <w:shd w:val="clear" w:color="auto" w:fill="FFFFFF"/>
        </w:rPr>
        <w:t>Teradata</w:t>
      </w:r>
      <w:r w:rsidRPr="006F0364">
        <w:rPr>
          <w:shd w:val="clear" w:color="auto" w:fill="FFFFFF"/>
        </w:rPr>
        <w:t xml:space="preserve"> stated that </w:t>
      </w:r>
      <w:r w:rsidR="00F53347">
        <w:rPr>
          <w:shd w:val="clear" w:color="auto" w:fill="FFFFFF"/>
        </w:rPr>
        <w:t>its “</w:t>
      </w:r>
      <w:r w:rsidRPr="006F0364">
        <w:rPr>
          <w:shd w:val="clear" w:color="auto" w:fill="FFFFFF"/>
        </w:rPr>
        <w:t xml:space="preserve">Public cloud </w:t>
      </w:r>
      <w:r w:rsidR="007820BB">
        <w:rPr>
          <w:shd w:val="clear" w:color="auto" w:fill="FFFFFF"/>
        </w:rPr>
        <w:t>[</w:t>
      </w:r>
      <w:r w:rsidR="007820BB" w:rsidRPr="007820BB">
        <w:rPr>
          <w:shd w:val="clear" w:color="auto" w:fill="FFFFFF"/>
        </w:rPr>
        <w:t>Annual Recurring Revenue</w:t>
      </w:r>
      <w:r w:rsidR="007820BB">
        <w:rPr>
          <w:shd w:val="clear" w:color="auto" w:fill="FFFFFF"/>
        </w:rPr>
        <w:t xml:space="preserve">] </w:t>
      </w:r>
      <w:r w:rsidRPr="006F0364">
        <w:rPr>
          <w:shd w:val="clear" w:color="auto" w:fill="FFFFFF"/>
        </w:rPr>
        <w:t>is expected to increase in the range of 53% to 57% year-over-year</w:t>
      </w:r>
      <w:r w:rsidR="00F53347">
        <w:rPr>
          <w:shd w:val="clear" w:color="auto" w:fill="FFFFFF"/>
        </w:rPr>
        <w:t>”</w:t>
      </w:r>
      <w:r w:rsidRPr="006F0364">
        <w:rPr>
          <w:shd w:val="clear" w:color="auto" w:fill="FFFFFF"/>
        </w:rPr>
        <w:t xml:space="preserve"> and </w:t>
      </w:r>
      <w:r w:rsidR="00F53347">
        <w:rPr>
          <w:shd w:val="clear" w:color="auto" w:fill="FFFFFF"/>
        </w:rPr>
        <w:t>“</w:t>
      </w:r>
      <w:r w:rsidRPr="006F0364">
        <w:rPr>
          <w:shd w:val="clear" w:color="auto" w:fill="FFFFFF"/>
        </w:rPr>
        <w:t xml:space="preserve">Total </w:t>
      </w:r>
      <w:r w:rsidR="00C658A5">
        <w:rPr>
          <w:shd w:val="clear" w:color="auto" w:fill="FFFFFF"/>
        </w:rPr>
        <w:t>[</w:t>
      </w:r>
      <w:r w:rsidR="00C658A5" w:rsidRPr="007820BB">
        <w:rPr>
          <w:shd w:val="clear" w:color="auto" w:fill="FFFFFF"/>
        </w:rPr>
        <w:t>Annual Recurring Revenue</w:t>
      </w:r>
      <w:r w:rsidR="00C658A5">
        <w:rPr>
          <w:shd w:val="clear" w:color="auto" w:fill="FFFFFF"/>
        </w:rPr>
        <w:t xml:space="preserve">] </w:t>
      </w:r>
      <w:r w:rsidRPr="006F0364">
        <w:rPr>
          <w:shd w:val="clear" w:color="auto" w:fill="FFFFFF"/>
        </w:rPr>
        <w:t>is expected to increase in the range of 6% to 8% year-over-year.</w:t>
      </w:r>
      <w:r w:rsidR="00F53347">
        <w:rPr>
          <w:shd w:val="clear" w:color="auto" w:fill="FFFFFF"/>
        </w:rPr>
        <w:t>”</w:t>
      </w:r>
      <w:r w:rsidR="007820BB">
        <w:rPr>
          <w:shd w:val="clear" w:color="auto" w:fill="FFFFFF"/>
        </w:rPr>
        <w:t xml:space="preserve">  </w:t>
      </w:r>
      <w:r w:rsidR="00C658A5" w:rsidRPr="007820BB">
        <w:rPr>
          <w:shd w:val="clear" w:color="auto" w:fill="FFFFFF"/>
        </w:rPr>
        <w:t>Annual Recurring Revenue</w:t>
      </w:r>
      <w:r w:rsidR="00C658A5">
        <w:rPr>
          <w:shd w:val="clear" w:color="auto" w:fill="FFFFFF"/>
        </w:rPr>
        <w:t xml:space="preserve">, </w:t>
      </w:r>
      <w:r w:rsidR="00DF45E5">
        <w:rPr>
          <w:shd w:val="clear" w:color="auto" w:fill="FFFFFF"/>
        </w:rPr>
        <w:t>or ARR</w:t>
      </w:r>
      <w:r w:rsidR="00C658A5">
        <w:rPr>
          <w:shd w:val="clear" w:color="auto" w:fill="FFFFFF"/>
        </w:rPr>
        <w:t>,</w:t>
      </w:r>
      <w:r w:rsidR="007820BB">
        <w:rPr>
          <w:shd w:val="clear" w:color="auto" w:fill="FFFFFF"/>
        </w:rPr>
        <w:t xml:space="preserve"> is the </w:t>
      </w:r>
      <w:r w:rsidR="007820BB" w:rsidRPr="007820BB">
        <w:rPr>
          <w:shd w:val="clear" w:color="auto" w:fill="FFFFFF"/>
        </w:rPr>
        <w:t>annual value at a point in time</w:t>
      </w:r>
      <w:r w:rsidR="007820BB">
        <w:rPr>
          <w:shd w:val="clear" w:color="auto" w:fill="FFFFFF"/>
        </w:rPr>
        <w:t xml:space="preserve"> </w:t>
      </w:r>
      <w:r w:rsidR="007820BB" w:rsidRPr="007820BB">
        <w:rPr>
          <w:shd w:val="clear" w:color="auto" w:fill="FFFFFF"/>
        </w:rPr>
        <w:t>of all recurring contracts, including subscription, cloud, software upgrade rights, and</w:t>
      </w:r>
      <w:r w:rsidR="007820BB">
        <w:rPr>
          <w:shd w:val="clear" w:color="auto" w:fill="FFFFFF"/>
        </w:rPr>
        <w:t xml:space="preserve"> </w:t>
      </w:r>
      <w:r w:rsidR="007820BB" w:rsidRPr="007820BB">
        <w:rPr>
          <w:shd w:val="clear" w:color="auto" w:fill="FFFFFF"/>
        </w:rPr>
        <w:t>maintenance—</w:t>
      </w:r>
      <w:r w:rsidR="007820BB">
        <w:rPr>
          <w:shd w:val="clear" w:color="auto" w:fill="FFFFFF"/>
        </w:rPr>
        <w:t xml:space="preserve">and </w:t>
      </w:r>
      <w:r w:rsidR="007820BB" w:rsidRPr="007820BB">
        <w:rPr>
          <w:shd w:val="clear" w:color="auto" w:fill="FFFFFF"/>
        </w:rPr>
        <w:t>is determined, in significant part, by the number of customer transactions the</w:t>
      </w:r>
      <w:r w:rsidR="007820BB">
        <w:rPr>
          <w:shd w:val="clear" w:color="auto" w:fill="FFFFFF"/>
        </w:rPr>
        <w:t xml:space="preserve"> c</w:t>
      </w:r>
      <w:r w:rsidR="007820BB" w:rsidRPr="007820BB">
        <w:rPr>
          <w:shd w:val="clear" w:color="auto" w:fill="FFFFFF"/>
        </w:rPr>
        <w:t>ompany is able close in that period</w:t>
      </w:r>
      <w:r w:rsidR="007820BB">
        <w:rPr>
          <w:shd w:val="clear" w:color="auto" w:fill="FFFFFF"/>
        </w:rPr>
        <w:t>.</w:t>
      </w:r>
    </w:p>
    <w:p w14:paraId="247EE0DF" w14:textId="77777777" w:rsidR="0053119F" w:rsidRDefault="0053119F" w:rsidP="006F0364">
      <w:pPr>
        <w:pStyle w:val="NormalWeb"/>
        <w:shd w:val="clear" w:color="auto" w:fill="FFFFFF"/>
        <w:spacing w:before="0" w:beforeAutospacing="0" w:after="0" w:afterAutospacing="0"/>
        <w:jc w:val="both"/>
      </w:pPr>
    </w:p>
    <w:p w14:paraId="27C5A70C" w14:textId="6A2C359B" w:rsidR="006F0364" w:rsidRDefault="006D3ED6" w:rsidP="006F0364">
      <w:pPr>
        <w:pStyle w:val="NormalWeb"/>
        <w:shd w:val="clear" w:color="auto" w:fill="FFFFFF"/>
        <w:spacing w:before="0" w:beforeAutospacing="0" w:after="0" w:afterAutospacing="0"/>
        <w:jc w:val="both"/>
      </w:pPr>
      <w:r>
        <w:t>O</w:t>
      </w:r>
      <w:r w:rsidR="006F0364" w:rsidRPr="006F0364">
        <w:t>n</w:t>
      </w:r>
      <w:r w:rsidR="00F53347">
        <w:t xml:space="preserve"> </w:t>
      </w:r>
      <w:r w:rsidR="006F0364" w:rsidRPr="006F0364">
        <w:rPr>
          <w:rStyle w:val="xn-chron"/>
        </w:rPr>
        <w:t>December 7, 2023</w:t>
      </w:r>
      <w:r w:rsidR="006F0364" w:rsidRPr="006F0364">
        <w:t>, at a Barclays Global Technology Conference</w:t>
      </w:r>
      <w:r w:rsidR="006F0364">
        <w:t>,</w:t>
      </w:r>
      <w:r w:rsidR="006F0364" w:rsidRPr="006F0364">
        <w:t xml:space="preserve"> Teradata</w:t>
      </w:r>
      <w:r w:rsidR="00F53347">
        <w:t>’</w:t>
      </w:r>
      <w:r w:rsidR="006F0364" w:rsidRPr="006F0364">
        <w:t xml:space="preserve">s </w:t>
      </w:r>
      <w:r w:rsidR="006F0364">
        <w:t>C</w:t>
      </w:r>
      <w:r>
        <w:t>FO</w:t>
      </w:r>
      <w:r w:rsidR="00F53347">
        <w:t xml:space="preserve"> </w:t>
      </w:r>
      <w:r w:rsidR="006F0364" w:rsidRPr="006F0364">
        <w:t xml:space="preserve">revealed that </w:t>
      </w:r>
      <w:r w:rsidR="006F0364">
        <w:t>Teradata</w:t>
      </w:r>
      <w:r w:rsidR="006F0364" w:rsidRPr="006F0364">
        <w:t xml:space="preserve"> had </w:t>
      </w:r>
      <w:r w:rsidR="00F53347">
        <w:t>“</w:t>
      </w:r>
      <w:r w:rsidR="006F0364" w:rsidRPr="006F0364">
        <w:t>an eight-figure deal that potentially [. . .] could get pushed out [of Q4 2023]</w:t>
      </w:r>
      <w:r w:rsidR="000A16D1">
        <w:t>,</w:t>
      </w:r>
      <w:r w:rsidR="007820BB">
        <w:t>”</w:t>
      </w:r>
      <w:r w:rsidR="006F0364" w:rsidRPr="006F0364">
        <w:t xml:space="preserve"> the effect of which </w:t>
      </w:r>
      <w:r w:rsidR="007820BB">
        <w:t>“</w:t>
      </w:r>
      <w:r w:rsidR="006F0364" w:rsidRPr="006F0364">
        <w:t xml:space="preserve">could put [the </w:t>
      </w:r>
      <w:r w:rsidR="006F0364">
        <w:t>c</w:t>
      </w:r>
      <w:r w:rsidR="006F0364" w:rsidRPr="006F0364">
        <w:t>ompany] towards the low end or slightly below the range for cloud ARR that [it] previously gave.</w:t>
      </w:r>
      <w:r w:rsidR="007820BB">
        <w:t>”</w:t>
      </w:r>
      <w:r w:rsidR="006F0364">
        <w:t xml:space="preserve"> </w:t>
      </w:r>
      <w:r w:rsidR="007820BB">
        <w:t xml:space="preserve"> </w:t>
      </w:r>
      <w:r w:rsidR="006F0364" w:rsidRPr="006F0364">
        <w:t>On this news, Teradata</w:t>
      </w:r>
      <w:r w:rsidR="007820BB">
        <w:t>’</w:t>
      </w:r>
      <w:r w:rsidR="006F0364" w:rsidRPr="006F0364">
        <w:t>s stock price fell</w:t>
      </w:r>
      <w:r w:rsidR="007820BB">
        <w:t xml:space="preserve"> </w:t>
      </w:r>
      <w:r w:rsidR="006F0364" w:rsidRPr="006F0364">
        <w:rPr>
          <w:rStyle w:val="xn-money"/>
        </w:rPr>
        <w:t>$2.89</w:t>
      </w:r>
      <w:r w:rsidR="007820BB">
        <w:t xml:space="preserve"> </w:t>
      </w:r>
      <w:r w:rsidR="006F0364" w:rsidRPr="006F0364">
        <w:t>per share, or 6.24%,</w:t>
      </w:r>
      <w:r w:rsidR="007820BB">
        <w:t xml:space="preserve"> from a close of $46.29 per share on December 6, 2023, </w:t>
      </w:r>
      <w:r w:rsidR="006F0364" w:rsidRPr="006F0364">
        <w:t>to close at</w:t>
      </w:r>
      <w:r w:rsidR="007820BB">
        <w:t xml:space="preserve"> </w:t>
      </w:r>
      <w:r w:rsidR="006F0364" w:rsidRPr="006F0364">
        <w:rPr>
          <w:rStyle w:val="xn-money"/>
        </w:rPr>
        <w:t>$43.40</w:t>
      </w:r>
      <w:r w:rsidR="007820BB">
        <w:t xml:space="preserve"> </w:t>
      </w:r>
      <w:r w:rsidR="006F0364" w:rsidRPr="006F0364">
        <w:t>per share on</w:t>
      </w:r>
      <w:r w:rsidR="007820BB">
        <w:t xml:space="preserve"> </w:t>
      </w:r>
      <w:r w:rsidR="006F0364" w:rsidRPr="006F0364">
        <w:rPr>
          <w:rStyle w:val="xn-chron"/>
        </w:rPr>
        <w:t>December 7, 2023</w:t>
      </w:r>
      <w:r w:rsidR="006F0364" w:rsidRPr="006F0364">
        <w:t>.</w:t>
      </w:r>
    </w:p>
    <w:p w14:paraId="3D1166FB" w14:textId="77777777" w:rsidR="00E52963" w:rsidRDefault="00E52963" w:rsidP="006F0364">
      <w:pPr>
        <w:pStyle w:val="NormalWeb"/>
        <w:shd w:val="clear" w:color="auto" w:fill="FFFFFF"/>
        <w:spacing w:before="0" w:beforeAutospacing="0" w:after="0" w:afterAutospacing="0"/>
        <w:jc w:val="both"/>
      </w:pPr>
    </w:p>
    <w:p w14:paraId="7919411D" w14:textId="444A0870" w:rsidR="006F0364" w:rsidRPr="006F0364" w:rsidRDefault="00D63833" w:rsidP="006F0364">
      <w:pPr>
        <w:pStyle w:val="NormalWeb"/>
        <w:shd w:val="clear" w:color="auto" w:fill="FFFFFF"/>
        <w:spacing w:before="0" w:beforeAutospacing="0" w:after="0" w:afterAutospacing="0"/>
        <w:jc w:val="both"/>
      </w:pPr>
      <w:r>
        <w:t>Finally</w:t>
      </w:r>
      <w:r w:rsidR="006F0364" w:rsidRPr="006F0364">
        <w:t>, on</w:t>
      </w:r>
      <w:r w:rsidR="007820BB">
        <w:t xml:space="preserve"> </w:t>
      </w:r>
      <w:r w:rsidR="006F0364" w:rsidRPr="006F0364">
        <w:rPr>
          <w:rStyle w:val="xn-chron"/>
        </w:rPr>
        <w:t>February 12, 2024</w:t>
      </w:r>
      <w:r w:rsidR="006F0364" w:rsidRPr="006F0364">
        <w:t xml:space="preserve">, Teradata announced its </w:t>
      </w:r>
      <w:r w:rsidR="006F0364">
        <w:t>fourth quarter</w:t>
      </w:r>
      <w:r w:rsidR="006F0364" w:rsidRPr="006F0364">
        <w:t xml:space="preserve"> and full year 2023 financial results. </w:t>
      </w:r>
      <w:r w:rsidR="007820BB">
        <w:t xml:space="preserve"> </w:t>
      </w:r>
      <w:r w:rsidR="006F0364" w:rsidRPr="006F0364">
        <w:t xml:space="preserve">Among other things, </w:t>
      </w:r>
      <w:r w:rsidR="006F0364">
        <w:t>Teradata</w:t>
      </w:r>
      <w:r w:rsidR="006F0364" w:rsidRPr="006F0364">
        <w:t xml:space="preserve"> stated that public cloud ARR increased by only 48%</w:t>
      </w:r>
      <w:r w:rsidR="009F0904">
        <w:t xml:space="preserve"> for full year 2023, </w:t>
      </w:r>
      <w:r w:rsidR="009F0904" w:rsidRPr="006F0364">
        <w:t xml:space="preserve">falling well short of the </w:t>
      </w:r>
      <w:r w:rsidR="009F0904">
        <w:t>c</w:t>
      </w:r>
      <w:r w:rsidR="009F0904" w:rsidRPr="006F0364">
        <w:t>ompany</w:t>
      </w:r>
      <w:r w:rsidR="009F0904">
        <w:t>’</w:t>
      </w:r>
      <w:r w:rsidR="009F0904" w:rsidRPr="006F0364">
        <w:t xml:space="preserve">s previously issued </w:t>
      </w:r>
      <w:r w:rsidR="009F0904">
        <w:t xml:space="preserve">guidance </w:t>
      </w:r>
      <w:r w:rsidR="009F0904" w:rsidRPr="006F0364">
        <w:t xml:space="preserve">for </w:t>
      </w:r>
      <w:r w:rsidR="009F0904">
        <w:t xml:space="preserve">this </w:t>
      </w:r>
      <w:r w:rsidR="009F0904" w:rsidRPr="006F0364">
        <w:t>performance metric</w:t>
      </w:r>
      <w:r w:rsidR="009F0904">
        <w:t>,</w:t>
      </w:r>
      <w:r w:rsidR="006F0364" w:rsidRPr="006F0364">
        <w:t xml:space="preserve"> and </w:t>
      </w:r>
      <w:r w:rsidR="009F0904">
        <w:t xml:space="preserve">disclosed that </w:t>
      </w:r>
      <w:r w:rsidR="006F0364" w:rsidRPr="006F0364">
        <w:t>total ARR increased by only 6% for</w:t>
      </w:r>
      <w:r w:rsidR="00933A51">
        <w:t xml:space="preserve"> the</w:t>
      </w:r>
      <w:r w:rsidR="006F0364" w:rsidRPr="006F0364">
        <w:t xml:space="preserve"> full year 2023,</w:t>
      </w:r>
      <w:r w:rsidR="009F0904">
        <w:t xml:space="preserve"> which was at the low end of its guidance</w:t>
      </w:r>
      <w:r w:rsidR="006F0364" w:rsidRPr="006F0364">
        <w:t>.</w:t>
      </w:r>
      <w:r w:rsidR="006D3ED6">
        <w:t xml:space="preserve">  </w:t>
      </w:r>
      <w:r w:rsidR="006F0364" w:rsidRPr="006F0364">
        <w:t>Teradata</w:t>
      </w:r>
      <w:r w:rsidR="00933A51">
        <w:t>’</w:t>
      </w:r>
      <w:r w:rsidR="006F0364" w:rsidRPr="006F0364">
        <w:t xml:space="preserve">s </w:t>
      </w:r>
      <w:r w:rsidR="00C658A5">
        <w:t>CEO</w:t>
      </w:r>
      <w:r w:rsidR="006F0364">
        <w:t xml:space="preserve"> </w:t>
      </w:r>
      <w:r w:rsidR="006D3ED6">
        <w:t xml:space="preserve">attributed </w:t>
      </w:r>
      <w:r w:rsidR="00933A51">
        <w:t>the</w:t>
      </w:r>
      <w:r w:rsidR="00E31EFF">
        <w:t>se</w:t>
      </w:r>
      <w:r w:rsidR="00933A51">
        <w:t xml:space="preserve"> disappointing results </w:t>
      </w:r>
      <w:r w:rsidR="006D3ED6">
        <w:t xml:space="preserve">to </w:t>
      </w:r>
      <w:r w:rsidR="00933A51">
        <w:t>“</w:t>
      </w:r>
      <w:r w:rsidR="006F0364" w:rsidRPr="006F0364">
        <w:t>deal timing issues</w:t>
      </w:r>
      <w:r w:rsidR="00933A51">
        <w:t>”</w:t>
      </w:r>
      <w:r w:rsidR="00E31EFF">
        <w:t>—</w:t>
      </w:r>
      <w:r w:rsidR="006D3ED6">
        <w:t xml:space="preserve">a concern </w:t>
      </w:r>
      <w:r w:rsidR="0022443C">
        <w:t>the company was</w:t>
      </w:r>
      <w:r w:rsidR="00593844">
        <w:t xml:space="preserve"> purportedly </w:t>
      </w:r>
      <w:r w:rsidR="0022443C">
        <w:t xml:space="preserve">aware of </w:t>
      </w:r>
      <w:r w:rsidR="00593844">
        <w:t>when it issued its guidance</w:t>
      </w:r>
      <w:r w:rsidR="0022443C">
        <w:t xml:space="preserve"> </w:t>
      </w:r>
      <w:r w:rsidR="00593844">
        <w:t xml:space="preserve">back in February 2023, </w:t>
      </w:r>
      <w:r w:rsidR="0022443C">
        <w:t xml:space="preserve">and </w:t>
      </w:r>
      <w:r w:rsidR="00593844">
        <w:t xml:space="preserve">that it claimed it </w:t>
      </w:r>
      <w:r w:rsidR="0022443C">
        <w:t>was on top of</w:t>
      </w:r>
      <w:r w:rsidR="00593844">
        <w:t xml:space="preserve"> as of June 2023</w:t>
      </w:r>
      <w:r w:rsidR="006F0364" w:rsidRPr="006F0364">
        <w:t>.</w:t>
      </w:r>
      <w:r w:rsidR="00933A51">
        <w:t xml:space="preserve"> </w:t>
      </w:r>
      <w:r w:rsidR="006F0364" w:rsidRPr="006F0364">
        <w:t xml:space="preserve"> </w:t>
      </w:r>
      <w:r w:rsidR="00E31EFF">
        <w:t>Indeed</w:t>
      </w:r>
      <w:r w:rsidR="006D3ED6">
        <w:t>, after acknowledg</w:t>
      </w:r>
      <w:r w:rsidR="00E049ED">
        <w:t>ing</w:t>
      </w:r>
      <w:r w:rsidR="006D3ED6">
        <w:t xml:space="preserve"> the existence of these issues, </w:t>
      </w:r>
      <w:r w:rsidR="00E31EFF">
        <w:t xml:space="preserve">the company </w:t>
      </w:r>
      <w:r w:rsidR="006D3ED6">
        <w:t>had continuously reaffirmed its February 12, 2023 guidance.</w:t>
      </w:r>
      <w:r w:rsidR="00933A51">
        <w:t xml:space="preserve"> </w:t>
      </w:r>
      <w:r w:rsidR="00E010DD">
        <w:t xml:space="preserve"> </w:t>
      </w:r>
      <w:r w:rsidR="006F0364" w:rsidRPr="006F0364">
        <w:t>On this news, Teradata</w:t>
      </w:r>
      <w:r w:rsidR="00933A51">
        <w:t>’</w:t>
      </w:r>
      <w:r w:rsidR="006F0364" w:rsidRPr="006F0364">
        <w:t>s stock price fell</w:t>
      </w:r>
      <w:r w:rsidR="00933A51">
        <w:t xml:space="preserve"> </w:t>
      </w:r>
      <w:r w:rsidR="006F0364" w:rsidRPr="006F0364">
        <w:rPr>
          <w:rStyle w:val="xn-money"/>
        </w:rPr>
        <w:t>$10.57</w:t>
      </w:r>
      <w:r w:rsidR="00933A51">
        <w:t xml:space="preserve"> </w:t>
      </w:r>
      <w:r w:rsidR="006F0364" w:rsidRPr="006F0364">
        <w:t xml:space="preserve">per share, or 21.66%, </w:t>
      </w:r>
      <w:r w:rsidR="00933A51">
        <w:t xml:space="preserve">from a close of $48.79 per share on February 12, 2024, </w:t>
      </w:r>
      <w:r w:rsidR="006F0364" w:rsidRPr="006F0364">
        <w:t>to close at</w:t>
      </w:r>
      <w:r w:rsidR="00933A51">
        <w:t xml:space="preserve"> </w:t>
      </w:r>
      <w:r w:rsidR="006F0364" w:rsidRPr="006F0364">
        <w:rPr>
          <w:rStyle w:val="xn-money"/>
        </w:rPr>
        <w:t>$38.22</w:t>
      </w:r>
      <w:r w:rsidR="00933A51">
        <w:t xml:space="preserve"> </w:t>
      </w:r>
      <w:r w:rsidR="006F0364" w:rsidRPr="006F0364">
        <w:t>per share on</w:t>
      </w:r>
      <w:r w:rsidR="00933A51">
        <w:t xml:space="preserve"> </w:t>
      </w:r>
      <w:r w:rsidR="006F0364" w:rsidRPr="006F0364">
        <w:rPr>
          <w:rStyle w:val="xn-chron"/>
        </w:rPr>
        <w:t>February 13, 2024</w:t>
      </w:r>
      <w:r w:rsidR="006F0364" w:rsidRPr="006F0364">
        <w:t>.</w:t>
      </w:r>
      <w:bookmarkEnd w:id="2"/>
    </w:p>
    <w:p w14:paraId="21D1FB5C" w14:textId="77777777" w:rsidR="003E7E8D" w:rsidRDefault="003E7E8D" w:rsidP="00BB1982">
      <w:pPr>
        <w:pStyle w:val="PlainText"/>
        <w:spacing w:before="0"/>
        <w:jc w:val="both"/>
        <w:rPr>
          <w:b/>
          <w:noProof/>
          <w:szCs w:val="24"/>
        </w:rPr>
      </w:pPr>
    </w:p>
    <w:p w14:paraId="7637AF8E" w14:textId="4910BA90" w:rsidR="008C15B0" w:rsidRPr="00BB1982" w:rsidRDefault="004666B7" w:rsidP="00BB1982">
      <w:pPr>
        <w:pStyle w:val="PlainText"/>
        <w:spacing w:before="0"/>
        <w:jc w:val="both"/>
        <w:rPr>
          <w:b/>
          <w:noProof/>
          <w:szCs w:val="24"/>
        </w:rPr>
      </w:pPr>
      <w:r w:rsidRPr="00BB1982">
        <w:rPr>
          <w:b/>
          <w:noProof/>
          <w:szCs w:val="24"/>
        </w:rPr>
        <w:t>WHAT CAN I DO?</w:t>
      </w:r>
    </w:p>
    <w:p w14:paraId="5156D039" w14:textId="3AB7D5BB" w:rsidR="00CB779F" w:rsidRPr="00BB1982" w:rsidRDefault="006F0364" w:rsidP="00BB1982">
      <w:pPr>
        <w:pStyle w:val="PlainText"/>
        <w:spacing w:before="0"/>
        <w:jc w:val="both"/>
        <w:rPr>
          <w:szCs w:val="24"/>
        </w:rPr>
      </w:pPr>
      <w:r>
        <w:rPr>
          <w:noProof/>
          <w:szCs w:val="24"/>
        </w:rPr>
        <w:lastRenderedPageBreak/>
        <w:t>Teradata</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00628A">
        <w:rPr>
          <w:b/>
          <w:i/>
          <w:szCs w:val="24"/>
          <w:u w:val="single"/>
        </w:rPr>
        <w:t>August</w:t>
      </w:r>
      <w:r w:rsidR="00BE7810">
        <w:rPr>
          <w:b/>
          <w:i/>
          <w:szCs w:val="24"/>
          <w:u w:val="single"/>
        </w:rPr>
        <w:t xml:space="preserve"> 1</w:t>
      </w:r>
      <w:r>
        <w:rPr>
          <w:b/>
          <w:i/>
          <w:szCs w:val="24"/>
          <w:u w:val="single"/>
        </w:rPr>
        <w:t>3</w:t>
      </w:r>
      <w:r w:rsidR="003F5BAC" w:rsidRPr="00BB1982">
        <w:rPr>
          <w:b/>
          <w:i/>
          <w:szCs w:val="24"/>
          <w:u w:val="single"/>
        </w:rPr>
        <w:t>, 2024,</w:t>
      </w:r>
      <w:r w:rsidR="004666B7" w:rsidRPr="00BB1982">
        <w:rPr>
          <w:szCs w:val="24"/>
        </w:rPr>
        <w:t xml:space="preserve"> seek to be appointed as a lead plaintiff representative of the class through </w:t>
      </w:r>
      <w:hyperlink r:id="rId10" w:history="1">
        <w:r w:rsidR="005F6D0F" w:rsidRPr="00785B36">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1" w:history="1">
        <w:r w:rsidR="005F6D0F" w:rsidRPr="00785B36">
          <w:rPr>
            <w:rStyle w:val="Hyperlink"/>
            <w:color w:val="0000FF"/>
            <w:szCs w:val="24"/>
          </w:rPr>
          <w:t>Kessler Topaz Meltzer &amp; Check, LLP</w:t>
        </w:r>
      </w:hyperlink>
      <w:r w:rsidR="005F6D0F">
        <w:rPr>
          <w:rStyle w:val="Hyperlink"/>
          <w:color w:val="0000FF"/>
          <w:szCs w:val="24"/>
        </w:rPr>
        <w:t xml:space="preserve"> </w:t>
      </w:r>
      <w:r w:rsidR="004666B7" w:rsidRPr="00BB1982">
        <w:rPr>
          <w:szCs w:val="24"/>
        </w:rPr>
        <w:t xml:space="preserve">encourages </w:t>
      </w:r>
      <w:r>
        <w:rPr>
          <w:szCs w:val="24"/>
        </w:rPr>
        <w:t>Teradata</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Teradata</w:t>
      </w:r>
      <w:r w:rsidR="003F5BAC" w:rsidRPr="00BB1982">
        <w:rPr>
          <w:szCs w:val="24"/>
        </w:rPr>
        <w:t xml:space="preserve">, </w:t>
      </w:r>
      <w:r>
        <w:rPr>
          <w:i/>
          <w:szCs w:val="24"/>
        </w:rPr>
        <w:t>Ostrander</w:t>
      </w:r>
      <w:r w:rsidR="00AD1C94" w:rsidRPr="00BB1982">
        <w:rPr>
          <w:i/>
          <w:szCs w:val="24"/>
        </w:rPr>
        <w:t xml:space="preserve"> v.</w:t>
      </w:r>
      <w:r w:rsidR="003F5BAC" w:rsidRPr="00BB1982">
        <w:rPr>
          <w:i/>
          <w:szCs w:val="24"/>
        </w:rPr>
        <w:t xml:space="preserve"> </w:t>
      </w:r>
      <w:r>
        <w:rPr>
          <w:i/>
          <w:szCs w:val="24"/>
        </w:rPr>
        <w:t>Teradata Corporation</w:t>
      </w:r>
      <w:r w:rsidR="00241F72" w:rsidRPr="00BB1982">
        <w:rPr>
          <w:i/>
          <w:szCs w:val="24"/>
        </w:rPr>
        <w:t>,</w:t>
      </w:r>
      <w:r w:rsidR="003F5BAC" w:rsidRPr="00BB1982">
        <w:rPr>
          <w:i/>
          <w:szCs w:val="24"/>
        </w:rPr>
        <w:t xml:space="preserve"> et al.</w:t>
      </w:r>
      <w:r w:rsidR="003F5BAC" w:rsidRPr="000607B5">
        <w:rPr>
          <w:iCs/>
          <w:szCs w:val="24"/>
        </w:rPr>
        <w:t>,</w:t>
      </w:r>
      <w:r w:rsidR="003F5BAC" w:rsidRPr="00BB1982">
        <w:rPr>
          <w:i/>
          <w:szCs w:val="24"/>
        </w:rPr>
        <w:t xml:space="preserve"> </w:t>
      </w:r>
      <w:r w:rsidR="003F5BAC" w:rsidRPr="00BB1982">
        <w:rPr>
          <w:iCs/>
          <w:szCs w:val="24"/>
        </w:rPr>
        <w:t>Case No.</w:t>
      </w:r>
      <w:r w:rsidR="003F5BAC" w:rsidRPr="00BB1982">
        <w:rPr>
          <w:i/>
          <w:szCs w:val="24"/>
        </w:rPr>
        <w:t xml:space="preserve"> </w:t>
      </w:r>
      <w:r w:rsidR="003F5BAC" w:rsidRPr="00BB1982">
        <w:rPr>
          <w:szCs w:val="24"/>
        </w:rPr>
        <w:t>24-cv-</w:t>
      </w:r>
      <w:r>
        <w:rPr>
          <w:szCs w:val="24"/>
        </w:rPr>
        <w:t>01034</w:t>
      </w:r>
      <w:r w:rsidR="003F5BAC" w:rsidRPr="00BB1982">
        <w:rPr>
          <w:szCs w:val="24"/>
        </w:rPr>
        <w:t xml:space="preserve">, is filed in the United States District Court for the </w:t>
      </w:r>
      <w:r>
        <w:rPr>
          <w:szCs w:val="24"/>
        </w:rPr>
        <w:t>Southern</w:t>
      </w:r>
      <w:r w:rsidR="00EB1BBC" w:rsidRPr="00BB1982">
        <w:rPr>
          <w:szCs w:val="24"/>
        </w:rPr>
        <w:t xml:space="preserve"> </w:t>
      </w:r>
      <w:r w:rsidR="003F5BAC" w:rsidRPr="00BB1982">
        <w:rPr>
          <w:szCs w:val="24"/>
        </w:rPr>
        <w:t xml:space="preserve">District of </w:t>
      </w:r>
      <w:r w:rsidR="00D225C3">
        <w:rPr>
          <w:szCs w:val="24"/>
        </w:rPr>
        <w:t>California</w:t>
      </w:r>
      <w:r w:rsidR="003F5BAC" w:rsidRPr="00BB1982">
        <w:rPr>
          <w:szCs w:val="24"/>
        </w:rPr>
        <w:t xml:space="preserve">. </w:t>
      </w:r>
    </w:p>
    <w:p w14:paraId="7914B8F7" w14:textId="77777777" w:rsidR="001E756F" w:rsidRPr="00BB1982" w:rsidRDefault="001E756F" w:rsidP="00BB1982">
      <w:pPr>
        <w:spacing w:after="0" w:line="240" w:lineRule="auto"/>
        <w:jc w:val="both"/>
        <w:rPr>
          <w:rStyle w:val="Hyperlink"/>
          <w:rFonts w:ascii="Times New Roman" w:hAnsi="Times New Roman" w:cs="Times New Roman"/>
          <w:b/>
          <w:color w:val="0000FF"/>
          <w:sz w:val="24"/>
          <w:szCs w:val="24"/>
        </w:rPr>
      </w:pPr>
    </w:p>
    <w:p w14:paraId="43E86174" w14:textId="77777777" w:rsidR="005F6D0F" w:rsidRPr="00785B36" w:rsidRDefault="00143822" w:rsidP="005F6D0F">
      <w:pPr>
        <w:rPr>
          <w:rFonts w:ascii="Times New Roman" w:hAnsi="Times New Roman" w:cs="Times New Roman"/>
          <w:color w:val="0000FF"/>
        </w:rPr>
      </w:pPr>
      <w:hyperlink r:id="rId12" w:history="1">
        <w:r w:rsidR="001E756F" w:rsidRPr="00785B36">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w:t>
      </w:r>
      <w:r w:rsidR="006B4CBA" w:rsidRPr="00BB1982">
        <w:rPr>
          <w:rFonts w:ascii="Times New Roman" w:eastAsia="Times New Roman" w:hAnsi="Times New Roman" w:cs="Times New Roman"/>
          <w:b/>
          <w:sz w:val="24"/>
          <w:szCs w:val="24"/>
        </w:rPr>
        <w:t>OR GO TO</w:t>
      </w:r>
      <w:r w:rsidR="001E756F" w:rsidRPr="00BB1982">
        <w:rPr>
          <w:rFonts w:ascii="Times New Roman" w:eastAsia="Times New Roman" w:hAnsi="Times New Roman" w:cs="Times New Roman"/>
          <w:b/>
          <w:sz w:val="24"/>
          <w:szCs w:val="24"/>
        </w:rPr>
        <w:t xml:space="preserve">: </w:t>
      </w:r>
      <w:hyperlink r:id="rId13" w:history="1">
        <w:r w:rsidR="005F6D0F" w:rsidRPr="00785B36">
          <w:rPr>
            <w:rStyle w:val="Hyperlink"/>
            <w:rFonts w:ascii="Times New Roman" w:hAnsi="Times New Roman" w:cs="Times New Roman"/>
            <w:color w:val="0000FF"/>
          </w:rPr>
          <w:t>https://www.ktmc.com/new-cases/teradata-corporation?utm_source=PR&amp;utm_medium=link&amp;utm_campaign=tdc&amp;mktm=r</w:t>
        </w:r>
      </w:hyperlink>
    </w:p>
    <w:p w14:paraId="1FCFF8BD" w14:textId="77777777" w:rsidR="008C15B0" w:rsidRPr="00BB1982" w:rsidRDefault="00143822"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2E1DADD0"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143822">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11935F4E" w:rsidR="008C15B0" w:rsidRPr="00B152EE" w:rsidRDefault="00143822" w:rsidP="008F7FE8">
      <w:pPr>
        <w:spacing w:after="0" w:line="240" w:lineRule="auto"/>
        <w:jc w:val="both"/>
        <w:rPr>
          <w:rFonts w:ascii="Times New Roman" w:eastAsia="Times New Roman" w:hAnsi="Times New Roman" w:cs="Times New Roman"/>
          <w:sz w:val="24"/>
          <w:szCs w:val="24"/>
        </w:rPr>
      </w:pPr>
      <w:hyperlink r:id="rId14" w:history="1">
        <w:r w:rsidR="005F6D0F" w:rsidRPr="00785B36">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5" w:history="1">
        <w:r w:rsidR="005F6D0F" w:rsidRPr="00785B36">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6"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143822"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143822" w:rsidP="00480DDC">
      <w:pPr>
        <w:spacing w:after="0" w:line="240" w:lineRule="auto"/>
        <w:jc w:val="both"/>
        <w:rPr>
          <w:rFonts w:ascii="Times New Roman" w:eastAsia="Times New Roman" w:hAnsi="Times New Roman" w:cs="Times New Roman"/>
          <w:color w:val="0000FF"/>
          <w:sz w:val="24"/>
          <w:szCs w:val="21"/>
        </w:rPr>
      </w:pPr>
      <w:hyperlink r:id="rId17"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80643"/>
    <w:rsid w:val="000902FD"/>
    <w:rsid w:val="00095F9F"/>
    <w:rsid w:val="000A16D1"/>
    <w:rsid w:val="000B51BE"/>
    <w:rsid w:val="000C7C58"/>
    <w:rsid w:val="00122458"/>
    <w:rsid w:val="00134A22"/>
    <w:rsid w:val="00143822"/>
    <w:rsid w:val="00160377"/>
    <w:rsid w:val="00165FE0"/>
    <w:rsid w:val="0017608E"/>
    <w:rsid w:val="0019314D"/>
    <w:rsid w:val="001A0271"/>
    <w:rsid w:val="001A24F0"/>
    <w:rsid w:val="001D6219"/>
    <w:rsid w:val="001E756F"/>
    <w:rsid w:val="002204A4"/>
    <w:rsid w:val="00221DCA"/>
    <w:rsid w:val="0022443C"/>
    <w:rsid w:val="002310B3"/>
    <w:rsid w:val="00241F72"/>
    <w:rsid w:val="002A1226"/>
    <w:rsid w:val="002C192D"/>
    <w:rsid w:val="002F7E78"/>
    <w:rsid w:val="003065E7"/>
    <w:rsid w:val="00347F16"/>
    <w:rsid w:val="003644AD"/>
    <w:rsid w:val="003C61A1"/>
    <w:rsid w:val="003E34C5"/>
    <w:rsid w:val="003E4CD1"/>
    <w:rsid w:val="003E7E8D"/>
    <w:rsid w:val="003F5BAC"/>
    <w:rsid w:val="00416CED"/>
    <w:rsid w:val="004238C2"/>
    <w:rsid w:val="004435DD"/>
    <w:rsid w:val="00465B27"/>
    <w:rsid w:val="004666B7"/>
    <w:rsid w:val="0047158B"/>
    <w:rsid w:val="004722B0"/>
    <w:rsid w:val="00480DDC"/>
    <w:rsid w:val="004F1440"/>
    <w:rsid w:val="00523E74"/>
    <w:rsid w:val="0053119F"/>
    <w:rsid w:val="00534205"/>
    <w:rsid w:val="005432A9"/>
    <w:rsid w:val="005474FE"/>
    <w:rsid w:val="00565577"/>
    <w:rsid w:val="00571079"/>
    <w:rsid w:val="005767FD"/>
    <w:rsid w:val="00593844"/>
    <w:rsid w:val="005A128B"/>
    <w:rsid w:val="005E1447"/>
    <w:rsid w:val="005F6D0F"/>
    <w:rsid w:val="00600DAE"/>
    <w:rsid w:val="006243B6"/>
    <w:rsid w:val="0067276D"/>
    <w:rsid w:val="00672FCC"/>
    <w:rsid w:val="00694BFF"/>
    <w:rsid w:val="006B4CBA"/>
    <w:rsid w:val="006B4DDA"/>
    <w:rsid w:val="006D3ED6"/>
    <w:rsid w:val="006D7446"/>
    <w:rsid w:val="006F0364"/>
    <w:rsid w:val="007044A5"/>
    <w:rsid w:val="007507A5"/>
    <w:rsid w:val="007820BB"/>
    <w:rsid w:val="00785B36"/>
    <w:rsid w:val="00796C16"/>
    <w:rsid w:val="00797AE2"/>
    <w:rsid w:val="007C49E1"/>
    <w:rsid w:val="007D72E8"/>
    <w:rsid w:val="00814DA6"/>
    <w:rsid w:val="00877102"/>
    <w:rsid w:val="008778EE"/>
    <w:rsid w:val="008A6002"/>
    <w:rsid w:val="008C4CCC"/>
    <w:rsid w:val="008D0573"/>
    <w:rsid w:val="009117DA"/>
    <w:rsid w:val="0092693C"/>
    <w:rsid w:val="00930CBF"/>
    <w:rsid w:val="00933A51"/>
    <w:rsid w:val="009425F6"/>
    <w:rsid w:val="0094541B"/>
    <w:rsid w:val="00967B01"/>
    <w:rsid w:val="009C370A"/>
    <w:rsid w:val="009C3BDB"/>
    <w:rsid w:val="009D7257"/>
    <w:rsid w:val="009E6A5E"/>
    <w:rsid w:val="009F0904"/>
    <w:rsid w:val="00A0599C"/>
    <w:rsid w:val="00A078DB"/>
    <w:rsid w:val="00A12612"/>
    <w:rsid w:val="00A134D9"/>
    <w:rsid w:val="00A16141"/>
    <w:rsid w:val="00A240FF"/>
    <w:rsid w:val="00A70C3A"/>
    <w:rsid w:val="00AA3D9B"/>
    <w:rsid w:val="00AA3FB7"/>
    <w:rsid w:val="00AC4C2E"/>
    <w:rsid w:val="00AD1C94"/>
    <w:rsid w:val="00B06905"/>
    <w:rsid w:val="00B372B7"/>
    <w:rsid w:val="00B46435"/>
    <w:rsid w:val="00B80E76"/>
    <w:rsid w:val="00B8602F"/>
    <w:rsid w:val="00BA5791"/>
    <w:rsid w:val="00BA7AEF"/>
    <w:rsid w:val="00BB1982"/>
    <w:rsid w:val="00BC20EC"/>
    <w:rsid w:val="00BC257A"/>
    <w:rsid w:val="00BE7810"/>
    <w:rsid w:val="00C17BC3"/>
    <w:rsid w:val="00C210CF"/>
    <w:rsid w:val="00C5022F"/>
    <w:rsid w:val="00C658A5"/>
    <w:rsid w:val="00C6761C"/>
    <w:rsid w:val="00C86AF3"/>
    <w:rsid w:val="00C92CC0"/>
    <w:rsid w:val="00CA671C"/>
    <w:rsid w:val="00CD4F7D"/>
    <w:rsid w:val="00D04509"/>
    <w:rsid w:val="00D168DA"/>
    <w:rsid w:val="00D225C3"/>
    <w:rsid w:val="00D25ECC"/>
    <w:rsid w:val="00D43FF0"/>
    <w:rsid w:val="00D63833"/>
    <w:rsid w:val="00D82DFA"/>
    <w:rsid w:val="00DA6363"/>
    <w:rsid w:val="00DA7326"/>
    <w:rsid w:val="00DC5ED3"/>
    <w:rsid w:val="00DF0441"/>
    <w:rsid w:val="00DF45E5"/>
    <w:rsid w:val="00E010DD"/>
    <w:rsid w:val="00E049ED"/>
    <w:rsid w:val="00E31EFF"/>
    <w:rsid w:val="00E44B70"/>
    <w:rsid w:val="00E52963"/>
    <w:rsid w:val="00E64F3F"/>
    <w:rsid w:val="00E7629A"/>
    <w:rsid w:val="00E83B59"/>
    <w:rsid w:val="00E87370"/>
    <w:rsid w:val="00EA1197"/>
    <w:rsid w:val="00EA5C12"/>
    <w:rsid w:val="00EB1BBC"/>
    <w:rsid w:val="00EE40F2"/>
    <w:rsid w:val="00F04D77"/>
    <w:rsid w:val="00F06245"/>
    <w:rsid w:val="00F12534"/>
    <w:rsid w:val="00F521A9"/>
    <w:rsid w:val="00F53347"/>
    <w:rsid w:val="00F56A80"/>
    <w:rsid w:val="00F6732C"/>
    <w:rsid w:val="00F84200"/>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url.us.m.mimecastprotect.com/s/WDslCKrAQkCrMDn3fMlkvX?domain=ktmc.com"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us.m.mimecastprotect.com/s/WDslCKrAQkCrMDn3fMlkvX?domain=ktmc.com" TargetMode="External"/><Relationship Id="rId12" Type="http://schemas.openxmlformats.org/officeDocument/2006/relationships/hyperlink" Target="https://www.ktmc.com/new-cases/teradata-corporation?utm_source=PR&amp;utm_medium=link&amp;utm_campaign=tdc&amp;mktm=r" TargetMode="External"/><Relationship Id="rId17" Type="http://schemas.openxmlformats.org/officeDocument/2006/relationships/hyperlink" Target="mailto:info@ktmc.com" TargetMode="External"/><Relationship Id="rId2" Type="http://schemas.openxmlformats.org/officeDocument/2006/relationships/settings" Target="settings.xml"/><Relationship Id="rId16" Type="http://schemas.openxmlformats.org/officeDocument/2006/relationships/hyperlink" Target="http://www.ktmc.com" TargetMode="External"/><Relationship Id="rId1" Type="http://schemas.openxmlformats.org/officeDocument/2006/relationships/styles" Target="styles.xml"/><Relationship Id="rId6" Type="http://schemas.openxmlformats.org/officeDocument/2006/relationships/hyperlink" Target="https://www.ktmc.com/new-cases/teradata-corporation?utm_source=PR&amp;utm_medium=link&amp;utm_campaign=tdc&amp;mktm=r" TargetMode="External"/><Relationship Id="rId11" Type="http://schemas.openxmlformats.org/officeDocument/2006/relationships/hyperlink" Target="https://www.ktmc.com/new-cases/teradata-corporation?utm_source=PR&amp;utm_medium=link&amp;utm_campaign=tdc&amp;mktm=r" TargetMode="External"/><Relationship Id="rId5" Type="http://schemas.openxmlformats.org/officeDocument/2006/relationships/hyperlink" Target="https://www.benzinga.com/quote/tdc" TargetMode="External"/><Relationship Id="rId15" Type="http://schemas.openxmlformats.org/officeDocument/2006/relationships/hyperlink" Target="https://www.ktmc.com/new-cases/teradata-corporation?utm_source=PR&amp;utm_medium=link&amp;utm_campaign=tdc&amp;mktm=r" TargetMode="External"/><Relationship Id="rId10" Type="http://schemas.openxmlformats.org/officeDocument/2006/relationships/hyperlink" Target="https://www.ktmc.com/new-cases/teradata-corporation?utm_source=PR&amp;utm_medium=link&amp;utm_campaign=tdc&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teradata-corporation?utm_source=PR&amp;utm_medium=link&amp;utm_campaign=tdc&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1072</Words>
  <Characters>5784</Characters>
  <Application>Microsoft Office Word</Application>
  <DocSecurity>0</DocSecurity>
  <Lines>101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2024-07-03T16:54:00Z</dcterms:created>
  <dcterms:modified xsi:type="dcterms:W3CDTF">2024-07-03T16:54:00Z</dcterms:modified>
</cp:coreProperties>
</file>