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9" w:rsidRDefault="00DF7079" w:rsidP="00DF7079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7079" w:rsidRPr="00DF7079" w:rsidRDefault="00DF7079" w:rsidP="00DF7079">
      <w:pPr>
        <w:shd w:val="clear" w:color="auto" w:fill="FFFFFF"/>
        <w:spacing w:after="0" w:line="360" w:lineRule="auto"/>
        <w:ind w:firstLine="708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F7079">
        <w:rPr>
          <w:rFonts w:ascii="Arial" w:eastAsia="Times New Roman" w:hAnsi="Arial" w:cs="Arial"/>
          <w:b/>
          <w:sz w:val="24"/>
          <w:szCs w:val="24"/>
          <w:lang w:eastAsia="pt-BR"/>
        </w:rPr>
        <w:t>Entreposto Aduaneiro</w:t>
      </w:r>
    </w:p>
    <w:p w:rsidR="00DF7079" w:rsidRPr="00DF7079" w:rsidRDefault="00DF7079" w:rsidP="00DF7079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:rsidR="00227044" w:rsidRPr="00955643" w:rsidRDefault="00227044" w:rsidP="00227044">
      <w:pPr>
        <w:pStyle w:val="PargrafodaLista"/>
        <w:shd w:val="clear" w:color="auto" w:fill="FFFFFF"/>
        <w:spacing w:after="0" w:line="360" w:lineRule="auto"/>
        <w:ind w:left="525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:rsidR="00227044" w:rsidRPr="001D0CBF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o r</w:t>
      </w:r>
      <w:r w:rsidRPr="001D0CBF">
        <w:rPr>
          <w:rFonts w:ascii="Arial" w:eastAsia="Times New Roman" w:hAnsi="Arial" w:cs="Arial"/>
          <w:sz w:val="24"/>
          <w:szCs w:val="24"/>
          <w:lang w:eastAsia="pt-BR"/>
        </w:rPr>
        <w:t>egime especial que permite, nas operações de importação e exportação, o depósito de mercadorias, em local determinado, com suspensão do pagamento de tributos e sob controle fiscal.</w:t>
      </w:r>
    </w:p>
    <w:p w:rsidR="00227044" w:rsidRPr="001D0CBF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Na exportação, existem dois tipos de regime de entreposto: o comum, ou seja, aquele que confere o direito de depósito da mercadoria, destinada ao mercado externo, com suspensão de tributos, quando e se devidos (este tipo de entreposto fica caracterizado a partir da data de entrada da mercadoria na unidade do entreposto; e o extraordinário, ou seja, aquele concedido às empresas comerciais exportadoras - Trading 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Company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>, cujas mercadorias adquiridas têm como finalidade, exclusivamente, a exportação (este tipo de entreposto fica caracterizado a partir da data de saída da mercadoria do estabelecimento do vendedor).</w:t>
      </w: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>Na importação, a mercadoria admitida no regime poderá ser nacionalizada pelo importador, consignatário ou adquirente e, em seu nome, despachada para consumo ou exportada (este regime subsiste a partir da data do desembaraço aduaneiro das mercadorias). Deve-se atentar para as condições de utilização desse regime, especificadas nas legislações vigentes sobre o tema.</w:t>
      </w: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Vantagens do Regime</w:t>
      </w: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>O Entreposto consiste em uma ferramenta logística fundamental para o gerenciamento de estoques, “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cash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flow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>”, estratégias de mercado, uma vez que possibilita a suspensão dos impostos, o redirecionamento das mercadorias para outros países e ainda a possibilidade de operações coligadas com outros regimes aduaneiros especiais tais como Drawback, RECOF, DAC, entre outros. </w:t>
      </w: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044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lastRenderedPageBreak/>
        <w:br/>
      </w:r>
      <w:r w:rsidRPr="001D0C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Dentre as p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rincipais vantagens, destacamos</w:t>
      </w:r>
    </w:p>
    <w:p w:rsidR="00227044" w:rsidRPr="00955643" w:rsidRDefault="00227044" w:rsidP="0022704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Importação com ou sem cobertura cambial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Suspensão de impostos (até um ano) prorrogados por período não superior a dois anos.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Redução no custo de armazenagem.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Compatibilidade com RECOF e Drawback, entre outros Regimes.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Retiradas parciais de mercadoria.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Redução do tempo de importação.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Redução do custo de inventário (</w:t>
      </w:r>
      <w:proofErr w:type="spellStart"/>
      <w:r w:rsidRPr="0096734A">
        <w:rPr>
          <w:rFonts w:ascii="Arial" w:eastAsia="Times New Roman" w:hAnsi="Arial" w:cs="Arial"/>
          <w:sz w:val="24"/>
          <w:szCs w:val="24"/>
          <w:lang w:eastAsia="pt-BR"/>
        </w:rPr>
        <w:t>turnover</w:t>
      </w:r>
      <w:proofErr w:type="spellEnd"/>
      <w:r w:rsidRPr="0096734A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Cobertura de seguro por faltas/extravios e avarias a que der causa a permissionária.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As mercadorias podem ser nacionalizadas pelo consignatário ou pelo adquirente.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É permitida a transferência para outros regimes aduaneiros.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 xml:space="preserve">Podem ser efetuadas operações de embalagem, </w:t>
      </w:r>
      <w:proofErr w:type="spellStart"/>
      <w:r w:rsidRPr="0096734A">
        <w:rPr>
          <w:rFonts w:ascii="Arial" w:eastAsia="Times New Roman" w:hAnsi="Arial" w:cs="Arial"/>
          <w:sz w:val="24"/>
          <w:szCs w:val="24"/>
          <w:lang w:eastAsia="pt-BR"/>
        </w:rPr>
        <w:t>reembalagem</w:t>
      </w:r>
      <w:proofErr w:type="spellEnd"/>
      <w:r w:rsidRPr="0096734A">
        <w:rPr>
          <w:rFonts w:ascii="Arial" w:eastAsia="Times New Roman" w:hAnsi="Arial" w:cs="Arial"/>
          <w:sz w:val="24"/>
          <w:szCs w:val="24"/>
          <w:lang w:eastAsia="pt-BR"/>
        </w:rPr>
        <w:t>, marcação ou remarcação na mercadoria.</w:t>
      </w: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sz w:val="24"/>
          <w:szCs w:val="24"/>
          <w:lang w:eastAsia="pt-BR"/>
        </w:rPr>
        <w:t>Reexportação para um terceiro país.</w:t>
      </w:r>
    </w:p>
    <w:p w:rsidR="00227044" w:rsidRDefault="00227044" w:rsidP="00227044">
      <w:pPr>
        <w:pStyle w:val="PargrafodaLista"/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044" w:rsidRPr="0096734A" w:rsidRDefault="00227044" w:rsidP="002270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673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Transferência de regimes</w:t>
      </w:r>
    </w:p>
    <w:p w:rsidR="00227044" w:rsidRPr="00343487" w:rsidRDefault="00227044" w:rsidP="0022704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044" w:rsidRPr="001D0CBF" w:rsidRDefault="00227044" w:rsidP="0022704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A legislação permite, ainda, que mercadorias em Regime de Entreposto Aduaneiro sejam transferidas para </w:t>
      </w:r>
      <w:proofErr w:type="gram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outros regime</w:t>
      </w:r>
      <w:proofErr w:type="gram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 especiais, através da DTR- Declaração de Transferência de Regime Aduaneiro, tais como Drawback e 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Recof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>, entre outros. </w:t>
      </w:r>
    </w:p>
    <w:p w:rsidR="00227044" w:rsidRPr="001D0CBF" w:rsidRDefault="00227044" w:rsidP="0022704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Para o caso de Transferência do Entreposto Aduaneiro para o Regime de Drawback, o Consignatário/importador deverá providenciar a 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Commercial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Invoice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 (charge), a DTR e a Declaração de Importação, coberta pelo respectivo Ato Concessório.</w:t>
      </w:r>
    </w:p>
    <w:p w:rsidR="00227044" w:rsidRDefault="00227044" w:rsidP="00227044">
      <w:pPr>
        <w:pStyle w:val="PargrafodaLista"/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044" w:rsidRDefault="00227044" w:rsidP="0022704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044" w:rsidRDefault="00227044" w:rsidP="0022704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044" w:rsidRDefault="00227044" w:rsidP="0022704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044" w:rsidRPr="00343487" w:rsidRDefault="00227044" w:rsidP="0022704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E</w:t>
      </w:r>
      <w:r w:rsidRPr="0034348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xtinção do regime</w:t>
      </w:r>
    </w:p>
    <w:p w:rsidR="00227044" w:rsidRPr="00343487" w:rsidRDefault="00227044" w:rsidP="00227044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27044" w:rsidRPr="001D0CBF" w:rsidRDefault="00227044" w:rsidP="002270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>O Regime de Entreposto Aduaneiro se extinguirá quando do desembaraço da última Declaração de Importação (DI) com o saldo remanescente da remessa, zerando, assim, o saldo da Declaração de Admissão no Regime, com a reexportação da totalidade das cargas admitidas, ou ainda com a transferência para outro regime aduaneiro especial.</w:t>
      </w:r>
    </w:p>
    <w:p w:rsidR="00227044" w:rsidRPr="001D0CBF" w:rsidRDefault="00227044" w:rsidP="0022704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No caso de, findo o prazo de permanência da mercadoria no Regime, ainda existir saldo da mercadoria que não seja do interesse de nenhum importador, o Consignatário da carga deverá providenciar o devido processo de reexportação da mesma, </w:t>
      </w:r>
      <w:proofErr w:type="spellStart"/>
      <w:r w:rsidRPr="001D0CBF">
        <w:rPr>
          <w:rFonts w:ascii="Arial" w:eastAsia="Times New Roman" w:hAnsi="Arial" w:cs="Arial"/>
          <w:sz w:val="24"/>
          <w:szCs w:val="24"/>
          <w:lang w:eastAsia="pt-BR"/>
        </w:rPr>
        <w:t>redestinando-a</w:t>
      </w:r>
      <w:proofErr w:type="spellEnd"/>
      <w:r w:rsidRPr="001D0CBF">
        <w:rPr>
          <w:rFonts w:ascii="Arial" w:eastAsia="Times New Roman" w:hAnsi="Arial" w:cs="Arial"/>
          <w:sz w:val="24"/>
          <w:szCs w:val="24"/>
          <w:lang w:eastAsia="pt-BR"/>
        </w:rPr>
        <w:t xml:space="preserve"> ao exportador de origem, ou para qualquer outro destino que aquele indique, devendo arcar, neste momento, com o frete de devolução.</w:t>
      </w:r>
    </w:p>
    <w:p w:rsidR="005F6E74" w:rsidRDefault="005F6E74"/>
    <w:sectPr w:rsidR="005F6E74" w:rsidSect="005F6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044"/>
    <w:rsid w:val="000479AC"/>
    <w:rsid w:val="00227044"/>
    <w:rsid w:val="00394FD6"/>
    <w:rsid w:val="005F6E74"/>
    <w:rsid w:val="007B06DF"/>
    <w:rsid w:val="00D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 fiscal</dc:creator>
  <cp:keywords/>
  <dc:description/>
  <cp:lastModifiedBy>Nota fiscal</cp:lastModifiedBy>
  <cp:revision>2</cp:revision>
  <dcterms:created xsi:type="dcterms:W3CDTF">2013-12-16T15:25:00Z</dcterms:created>
  <dcterms:modified xsi:type="dcterms:W3CDTF">2013-12-16T15:25:00Z</dcterms:modified>
</cp:coreProperties>
</file>