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88" w:rsidRDefault="00745A88" w:rsidP="00745A88">
      <w:pPr>
        <w:ind w:firstLine="0"/>
        <w:rPr>
          <w:rFonts w:cs="Times New Roman"/>
          <w:b/>
          <w:szCs w:val="24"/>
        </w:rPr>
      </w:pPr>
      <w:r>
        <w:rPr>
          <w:noProof/>
          <w:lang w:eastAsia="pt-BR"/>
        </w:rPr>
        <w:drawing>
          <wp:inline distT="0" distB="0" distL="0" distR="0" wp14:anchorId="6BFEB50C" wp14:editId="017C151A">
            <wp:extent cx="1943100" cy="466725"/>
            <wp:effectExtent l="0" t="0" r="0" b="9525"/>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66725"/>
                    </a:xfrm>
                    <a:prstGeom prst="rect">
                      <a:avLst/>
                    </a:prstGeom>
                    <a:noFill/>
                  </pic:spPr>
                </pic:pic>
              </a:graphicData>
            </a:graphic>
          </wp:inline>
        </w:drawing>
      </w:r>
    </w:p>
    <w:p w:rsidR="00D15C53" w:rsidRPr="0096405C" w:rsidRDefault="00BB12D5" w:rsidP="00745A88">
      <w:pPr>
        <w:ind w:firstLine="0"/>
        <w:jc w:val="center"/>
        <w:rPr>
          <w:rFonts w:cs="Times New Roman"/>
          <w:b/>
          <w:szCs w:val="24"/>
        </w:rPr>
      </w:pPr>
      <w:r w:rsidRPr="0096405C">
        <w:rPr>
          <w:rFonts w:cs="Times New Roman"/>
          <w:b/>
          <w:szCs w:val="24"/>
        </w:rPr>
        <w:t>ANÁLISE DE BALANÇO E INDICADORES FINANCEIROS</w:t>
      </w:r>
    </w:p>
    <w:p w:rsidR="00BB12D5" w:rsidRPr="00A6356B" w:rsidRDefault="00BB12D5" w:rsidP="00402E2F">
      <w:pPr>
        <w:tabs>
          <w:tab w:val="left" w:pos="5245"/>
          <w:tab w:val="left" w:pos="5387"/>
        </w:tabs>
        <w:ind w:firstLine="5103"/>
        <w:rPr>
          <w:rFonts w:cs="Times New Roman"/>
          <w:szCs w:val="24"/>
        </w:rPr>
      </w:pPr>
      <w:proofErr w:type="spellStart"/>
      <w:r w:rsidRPr="00A6356B">
        <w:rPr>
          <w:rFonts w:cs="Times New Roman"/>
          <w:szCs w:val="24"/>
        </w:rPr>
        <w:t>Cassyus</w:t>
      </w:r>
      <w:proofErr w:type="spellEnd"/>
      <w:r w:rsidRPr="00A6356B">
        <w:rPr>
          <w:rFonts w:cs="Times New Roman"/>
          <w:szCs w:val="24"/>
        </w:rPr>
        <w:t xml:space="preserve"> Santos da Silva</w:t>
      </w:r>
    </w:p>
    <w:p w:rsidR="00BB12D5" w:rsidRPr="00A6356B" w:rsidRDefault="00BB12D5" w:rsidP="00402E2F">
      <w:pPr>
        <w:tabs>
          <w:tab w:val="center" w:pos="4535"/>
          <w:tab w:val="left" w:pos="5245"/>
          <w:tab w:val="left" w:pos="5387"/>
          <w:tab w:val="left" w:pos="6960"/>
        </w:tabs>
        <w:ind w:firstLine="5103"/>
        <w:rPr>
          <w:rFonts w:cs="Times New Roman"/>
          <w:szCs w:val="24"/>
        </w:rPr>
      </w:pPr>
      <w:proofErr w:type="spellStart"/>
      <w:r w:rsidRPr="00A6356B">
        <w:rPr>
          <w:rFonts w:cs="Times New Roman"/>
          <w:szCs w:val="24"/>
        </w:rPr>
        <w:t>Greicy</w:t>
      </w:r>
      <w:proofErr w:type="spellEnd"/>
      <w:r w:rsidRPr="00A6356B">
        <w:rPr>
          <w:rFonts w:cs="Times New Roman"/>
          <w:szCs w:val="24"/>
        </w:rPr>
        <w:t xml:space="preserve"> </w:t>
      </w:r>
      <w:proofErr w:type="spellStart"/>
      <w:r w:rsidRPr="00A6356B">
        <w:rPr>
          <w:rFonts w:cs="Times New Roman"/>
          <w:szCs w:val="24"/>
        </w:rPr>
        <w:t>Kleinowski</w:t>
      </w:r>
      <w:proofErr w:type="spellEnd"/>
      <w:r w:rsidRPr="00A6356B">
        <w:rPr>
          <w:rFonts w:cs="Times New Roman"/>
          <w:szCs w:val="24"/>
        </w:rPr>
        <w:t xml:space="preserve"> Oliveira</w:t>
      </w:r>
    </w:p>
    <w:p w:rsidR="00BB12D5" w:rsidRPr="00A6356B" w:rsidRDefault="00BB12D5" w:rsidP="00402E2F">
      <w:pPr>
        <w:tabs>
          <w:tab w:val="center" w:pos="4535"/>
          <w:tab w:val="left" w:pos="5245"/>
          <w:tab w:val="left" w:pos="5387"/>
          <w:tab w:val="left" w:pos="6960"/>
        </w:tabs>
        <w:ind w:firstLine="5103"/>
        <w:rPr>
          <w:rFonts w:cs="Times New Roman"/>
          <w:szCs w:val="24"/>
        </w:rPr>
      </w:pPr>
      <w:r w:rsidRPr="00A6356B">
        <w:rPr>
          <w:rFonts w:cs="Times New Roman"/>
          <w:szCs w:val="24"/>
        </w:rPr>
        <w:t>Marcos Vinicius Rodrigues Oliveira</w:t>
      </w:r>
    </w:p>
    <w:p w:rsidR="00BB12D5" w:rsidRPr="00A6356B" w:rsidRDefault="00BB12D5" w:rsidP="00402E2F">
      <w:pPr>
        <w:tabs>
          <w:tab w:val="center" w:pos="4535"/>
          <w:tab w:val="left" w:pos="5245"/>
          <w:tab w:val="left" w:pos="5387"/>
          <w:tab w:val="left" w:pos="6960"/>
        </w:tabs>
        <w:ind w:firstLine="5103"/>
        <w:rPr>
          <w:rFonts w:cs="Times New Roman"/>
          <w:szCs w:val="24"/>
        </w:rPr>
      </w:pPr>
      <w:r w:rsidRPr="00A6356B">
        <w:rPr>
          <w:rFonts w:cs="Times New Roman"/>
          <w:szCs w:val="24"/>
        </w:rPr>
        <w:t>Marcus Roberto Oliveira</w:t>
      </w:r>
    </w:p>
    <w:p w:rsidR="00BB12D5" w:rsidRPr="00A6356B" w:rsidRDefault="00BB12D5" w:rsidP="00402E2F">
      <w:pPr>
        <w:tabs>
          <w:tab w:val="center" w:pos="4535"/>
          <w:tab w:val="left" w:pos="5245"/>
          <w:tab w:val="left" w:pos="5387"/>
          <w:tab w:val="left" w:pos="6960"/>
        </w:tabs>
        <w:ind w:firstLine="5103"/>
        <w:rPr>
          <w:rFonts w:cs="Times New Roman"/>
          <w:szCs w:val="24"/>
        </w:rPr>
      </w:pPr>
      <w:r w:rsidRPr="00A6356B">
        <w:rPr>
          <w:rFonts w:cs="Times New Roman"/>
          <w:szCs w:val="24"/>
        </w:rPr>
        <w:t xml:space="preserve">Melissa </w:t>
      </w:r>
      <w:proofErr w:type="spellStart"/>
      <w:r w:rsidRPr="00A6356B">
        <w:rPr>
          <w:rFonts w:cs="Times New Roman"/>
          <w:szCs w:val="24"/>
        </w:rPr>
        <w:t>Schiavon</w:t>
      </w:r>
      <w:proofErr w:type="spellEnd"/>
      <w:r w:rsidRPr="00A6356B">
        <w:rPr>
          <w:rFonts w:cs="Times New Roman"/>
          <w:szCs w:val="24"/>
        </w:rPr>
        <w:t xml:space="preserve"> Lima</w:t>
      </w:r>
    </w:p>
    <w:p w:rsidR="00BB12D5" w:rsidRPr="00A6356B" w:rsidRDefault="00BB12D5" w:rsidP="00402E2F">
      <w:pPr>
        <w:rPr>
          <w:rFonts w:cs="Times New Roman"/>
          <w:szCs w:val="24"/>
        </w:rPr>
      </w:pPr>
    </w:p>
    <w:p w:rsidR="00BB12D5" w:rsidRPr="002B30C6" w:rsidRDefault="00BB12D5" w:rsidP="00402E2F">
      <w:pPr>
        <w:rPr>
          <w:rFonts w:ascii="Arial" w:hAnsi="Arial" w:cs="Arial"/>
          <w:szCs w:val="24"/>
        </w:rPr>
      </w:pPr>
    </w:p>
    <w:p w:rsidR="00BB12D5" w:rsidRPr="002B30C6" w:rsidRDefault="00BB12D5" w:rsidP="00402E2F">
      <w:pPr>
        <w:rPr>
          <w:rFonts w:ascii="Arial" w:hAnsi="Arial" w:cs="Arial"/>
          <w:szCs w:val="24"/>
        </w:rPr>
      </w:pPr>
    </w:p>
    <w:p w:rsidR="00BB12D5" w:rsidRPr="00A6356B" w:rsidRDefault="00BB12D5" w:rsidP="00745A88">
      <w:pPr>
        <w:ind w:firstLine="0"/>
        <w:rPr>
          <w:rFonts w:cs="Times New Roman"/>
          <w:b/>
          <w:szCs w:val="24"/>
        </w:rPr>
      </w:pPr>
      <w:r w:rsidRPr="00A6356B">
        <w:rPr>
          <w:rFonts w:cs="Times New Roman"/>
          <w:b/>
          <w:szCs w:val="24"/>
        </w:rPr>
        <w:t>RESUMO</w:t>
      </w:r>
    </w:p>
    <w:p w:rsidR="00FD2CF3" w:rsidRPr="00A6356B" w:rsidRDefault="00D84AE9" w:rsidP="009A628C">
      <w:pPr>
        <w:ind w:firstLine="0"/>
        <w:rPr>
          <w:rFonts w:cs="Times New Roman"/>
          <w:szCs w:val="24"/>
        </w:rPr>
      </w:pPr>
      <w:r>
        <w:rPr>
          <w:rFonts w:cs="Times New Roman"/>
          <w:szCs w:val="24"/>
        </w:rPr>
        <w:t xml:space="preserve">A análise dos indicadores financeiros </w:t>
      </w:r>
      <w:r w:rsidR="009A628C">
        <w:rPr>
          <w:rFonts w:cs="Times New Roman"/>
          <w:szCs w:val="24"/>
        </w:rPr>
        <w:t>é</w:t>
      </w:r>
      <w:r>
        <w:rPr>
          <w:rFonts w:cs="Times New Roman"/>
          <w:szCs w:val="24"/>
        </w:rPr>
        <w:t xml:space="preserve"> de grande utilidade para as organizações, pois auxiliam na tomada de decisão, além de possibilitar a verificação de qual a atual situação econômico-financeira da mesma. Este artigo apresenta </w:t>
      </w:r>
      <w:r w:rsidR="009A628C">
        <w:rPr>
          <w:rFonts w:cs="Times New Roman"/>
          <w:szCs w:val="24"/>
        </w:rPr>
        <w:t>os resultados obtidos a partir da análise horizontal e vertical do Balanço Patrimonial e Demonstrativo de Resultados do Exercício da empresa Gerdau S.A., tendo como referência os exercícios de 2009 a 2013.</w:t>
      </w:r>
      <w:r w:rsidR="009A628C" w:rsidRPr="00A6356B">
        <w:rPr>
          <w:rFonts w:cs="Times New Roman"/>
          <w:szCs w:val="24"/>
        </w:rPr>
        <w:t xml:space="preserve"> </w:t>
      </w:r>
    </w:p>
    <w:p w:rsidR="00FD2CF3" w:rsidRPr="00A6356B" w:rsidRDefault="00FD2CF3" w:rsidP="00402E2F">
      <w:pPr>
        <w:rPr>
          <w:rFonts w:cs="Times New Roman"/>
          <w:szCs w:val="24"/>
        </w:rPr>
      </w:pPr>
    </w:p>
    <w:p w:rsidR="00FD2CF3" w:rsidRPr="002B30C6" w:rsidRDefault="00FD2CF3" w:rsidP="00402E2F">
      <w:pPr>
        <w:rPr>
          <w:rFonts w:ascii="Arial" w:hAnsi="Arial" w:cs="Arial"/>
          <w:szCs w:val="24"/>
        </w:rPr>
      </w:pPr>
      <w:r w:rsidRPr="00A6356B">
        <w:rPr>
          <w:rFonts w:cs="Times New Roman"/>
          <w:szCs w:val="24"/>
        </w:rPr>
        <w:t>Palavras-chave</w:t>
      </w:r>
      <w:r w:rsidRPr="002B30C6">
        <w:rPr>
          <w:rFonts w:ascii="Arial" w:hAnsi="Arial" w:cs="Arial"/>
          <w:szCs w:val="24"/>
        </w:rPr>
        <w:t>:</w:t>
      </w:r>
      <w:r w:rsidR="009A628C">
        <w:rPr>
          <w:rFonts w:ascii="Arial" w:hAnsi="Arial" w:cs="Arial"/>
          <w:szCs w:val="24"/>
        </w:rPr>
        <w:t xml:space="preserve"> </w:t>
      </w:r>
      <w:r w:rsidR="009A628C">
        <w:rPr>
          <w:rFonts w:cs="Times New Roman"/>
          <w:szCs w:val="24"/>
        </w:rPr>
        <w:t xml:space="preserve">Liquidez; Endividamento; Rentabilidade. </w:t>
      </w:r>
    </w:p>
    <w:p w:rsidR="00FD2CF3" w:rsidRPr="002B30C6" w:rsidRDefault="00FD2CF3" w:rsidP="00402E2F">
      <w:pPr>
        <w:rPr>
          <w:rFonts w:ascii="Arial" w:hAnsi="Arial" w:cs="Arial"/>
          <w:szCs w:val="24"/>
        </w:rPr>
      </w:pPr>
    </w:p>
    <w:p w:rsidR="00FD2CF3" w:rsidRPr="002B30C6" w:rsidRDefault="00FD2CF3" w:rsidP="00402E2F">
      <w:pPr>
        <w:rPr>
          <w:rFonts w:ascii="Arial" w:hAnsi="Arial" w:cs="Arial"/>
          <w:szCs w:val="24"/>
        </w:rPr>
      </w:pPr>
    </w:p>
    <w:p w:rsidR="00FD2CF3" w:rsidRPr="002B30C6" w:rsidRDefault="00FD2CF3" w:rsidP="00402E2F">
      <w:pPr>
        <w:rPr>
          <w:rFonts w:ascii="Arial" w:hAnsi="Arial" w:cs="Arial"/>
          <w:szCs w:val="24"/>
        </w:rPr>
      </w:pPr>
      <w:r w:rsidRPr="002B30C6">
        <w:rPr>
          <w:rFonts w:ascii="Arial" w:hAnsi="Arial" w:cs="Arial"/>
          <w:szCs w:val="24"/>
        </w:rPr>
        <w:br w:type="page"/>
      </w:r>
    </w:p>
    <w:p w:rsidR="00FD2CF3" w:rsidRPr="002B30C6" w:rsidRDefault="00FD2CF3" w:rsidP="0002058A">
      <w:pPr>
        <w:pStyle w:val="Ttulo1"/>
      </w:pPr>
      <w:bookmarkStart w:id="0" w:name="_Toc300065674"/>
      <w:bookmarkStart w:id="1" w:name="_Toc300065685"/>
      <w:bookmarkStart w:id="2" w:name="_Toc370331224"/>
      <w:r w:rsidRPr="00A6356B">
        <w:lastRenderedPageBreak/>
        <w:t>INTRODUÇÃO</w:t>
      </w:r>
      <w:bookmarkEnd w:id="0"/>
      <w:bookmarkEnd w:id="1"/>
      <w:r w:rsidRPr="002B30C6">
        <w:t xml:space="preserve"> </w:t>
      </w:r>
      <w:bookmarkEnd w:id="2"/>
    </w:p>
    <w:p w:rsidR="00FD2CF3" w:rsidRPr="002B30C6" w:rsidRDefault="00FD2CF3" w:rsidP="00A6356B">
      <w:r w:rsidRPr="002B30C6">
        <w:t>As</w:t>
      </w:r>
      <w:r w:rsidRPr="002B30C6">
        <w:rPr>
          <w:color w:val="FF0000"/>
        </w:rPr>
        <w:t xml:space="preserve"> </w:t>
      </w:r>
      <w:r w:rsidRPr="002B30C6">
        <w:t>finanças das empresas sofre</w:t>
      </w:r>
      <w:r w:rsidR="006875E3" w:rsidRPr="002B30C6">
        <w:t xml:space="preserve">ram </w:t>
      </w:r>
      <w:r w:rsidRPr="002B30C6">
        <w:t xml:space="preserve">ao longo do tempo um processo consistente de evolução conceitual e técnica. </w:t>
      </w:r>
      <w:r w:rsidR="006875E3" w:rsidRPr="002B30C6">
        <w:t>A</w:t>
      </w:r>
      <w:r w:rsidRPr="002B30C6">
        <w:t xml:space="preserve"> área financeira </w:t>
      </w:r>
      <w:r w:rsidR="006875E3" w:rsidRPr="002B30C6">
        <w:t xml:space="preserve">mudou </w:t>
      </w:r>
      <w:r w:rsidRPr="002B30C6">
        <w:t>de uma postura co</w:t>
      </w:r>
      <w:r w:rsidR="0057652A">
        <w:t xml:space="preserve">nservadora para uma posição </w:t>
      </w:r>
      <w:r w:rsidRPr="002B30C6">
        <w:t xml:space="preserve">mais questionadora e reveladora dos fenômenos financeiros, promovendo a identificação e o entendimento das causas de determinados comportamentos operacionais. </w:t>
      </w:r>
    </w:p>
    <w:p w:rsidR="00FD2CF3" w:rsidRPr="002B30C6" w:rsidRDefault="00FD2CF3" w:rsidP="00A6356B">
      <w:r w:rsidRPr="002B30C6">
        <w:t xml:space="preserve">Com a influência das teorias administrativas enunciadas principalmente por Taylor, Fayol e Ford, as empresas passaram a direcionar grande parte de suas preocupações aos aspectos internos, voltados ao aperfeiçoamento e desenvolvimento de suas estruturas organizacionais. Esse enfoque de caráter mais administrativo foi reforçado com a depressão econômica ocorrida em 1929/1930, tornando o estudo das finanças corporativas também voltadas </w:t>
      </w:r>
      <w:proofErr w:type="gramStart"/>
      <w:r w:rsidRPr="002B30C6">
        <w:t>a</w:t>
      </w:r>
      <w:proofErr w:type="gramEnd"/>
      <w:r w:rsidRPr="002B30C6">
        <w:t xml:space="preserve"> liquidez e solvência das empresas. Por este motivo, as instituições voltaram a focar suas decisões financeiras na área externa, estudando-as do ponto de vista de um empreendedor, aplicador de recursos. Assim os administradores financeiros tiveram que munir-se de visão mais crítica, acurada e global das empresas, assumindo maiores níveis de responsabilidade, prevendo-se grandes desafios para o futuro.</w:t>
      </w:r>
    </w:p>
    <w:p w:rsidR="00FD2CF3" w:rsidRPr="002B30C6" w:rsidRDefault="002B30C6" w:rsidP="00A6356B">
      <w:r>
        <w:t xml:space="preserve">O estudo dos </w:t>
      </w:r>
      <w:r w:rsidR="00FD2CF3" w:rsidRPr="002B30C6">
        <w:t>indicadores financeiros que, diferentemente do que</w:t>
      </w:r>
      <w:r w:rsidR="006A7254" w:rsidRPr="002B30C6">
        <w:t xml:space="preserve"> muitos acreditavam</w:t>
      </w:r>
      <w:r w:rsidR="00FD2CF3" w:rsidRPr="002B30C6">
        <w:t xml:space="preserve"> não se resume </w:t>
      </w:r>
      <w:r w:rsidR="006875E3" w:rsidRPr="002B30C6">
        <w:t xml:space="preserve">apenas </w:t>
      </w:r>
      <w:r w:rsidR="00FD2CF3" w:rsidRPr="002B30C6">
        <w:t>ao cálculo de índices</w:t>
      </w:r>
      <w:r w:rsidR="006875E3" w:rsidRPr="002B30C6">
        <w:t xml:space="preserve"> e indicador</w:t>
      </w:r>
      <w:r w:rsidR="0057652A">
        <w:t>es</w:t>
      </w:r>
      <w:r w:rsidR="00FD2CF3" w:rsidRPr="002B30C6">
        <w:t xml:space="preserve">, mas sim da interpretação e da relevância destes índices como um instrumento de avaliação do desempenho </w:t>
      </w:r>
      <w:r w:rsidR="006875E3" w:rsidRPr="002B30C6">
        <w:t xml:space="preserve">e desenvolvimento </w:t>
      </w:r>
      <w:r w:rsidR="00FD2CF3" w:rsidRPr="002B30C6">
        <w:t xml:space="preserve">das instituições. </w:t>
      </w:r>
    </w:p>
    <w:p w:rsidR="00FD2CF3" w:rsidRPr="002B30C6" w:rsidRDefault="00FD2CF3" w:rsidP="0002058A">
      <w:pPr>
        <w:pStyle w:val="Ttulo1"/>
      </w:pPr>
      <w:r w:rsidRPr="002B30C6">
        <w:t>IMPORTÂNCIA</w:t>
      </w:r>
      <w:r w:rsidR="006A7254" w:rsidRPr="002B30C6">
        <w:t xml:space="preserve"> da análise financeira</w:t>
      </w:r>
    </w:p>
    <w:p w:rsidR="00FD2CF3" w:rsidRPr="002B30C6" w:rsidRDefault="00FD2CF3" w:rsidP="00A6356B">
      <w:r w:rsidRPr="002B30C6">
        <w:t xml:space="preserve">Conforme </w:t>
      </w:r>
      <w:r w:rsidR="006A7254" w:rsidRPr="002B30C6">
        <w:t xml:space="preserve">Neto </w:t>
      </w:r>
      <w:r w:rsidRPr="002B30C6">
        <w:t>(2007, p.</w:t>
      </w:r>
      <w:r w:rsidR="0057652A">
        <w:t xml:space="preserve"> </w:t>
      </w:r>
      <w:r w:rsidRPr="002B30C6">
        <w:t xml:space="preserve">37), dentro do ambiente empresarial, a administração financeira voltou-se basicamente para as funções de planejamento, controle, administração de ativos e passivos, decisões de investimentos e financiamentos. </w:t>
      </w:r>
    </w:p>
    <w:p w:rsidR="006875E3" w:rsidRPr="002B30C6" w:rsidRDefault="00FD2CF3" w:rsidP="00A6356B">
      <w:r w:rsidRPr="002B30C6">
        <w:t xml:space="preserve">Por </w:t>
      </w:r>
      <w:r w:rsidR="006875E3" w:rsidRPr="002B30C6">
        <w:t xml:space="preserve">isso, </w:t>
      </w:r>
      <w:r w:rsidRPr="002B30C6">
        <w:t xml:space="preserve">as Análises Financeiras </w:t>
      </w:r>
      <w:r w:rsidR="006875E3" w:rsidRPr="002B30C6">
        <w:t xml:space="preserve">são cruciais </w:t>
      </w:r>
      <w:r w:rsidRPr="002B30C6">
        <w:t>nas empresas con</w:t>
      </w:r>
      <w:r w:rsidR="006875E3" w:rsidRPr="002B30C6">
        <w:t>temporânea</w:t>
      </w:r>
      <w:r w:rsidR="0057652A">
        <w:t>s</w:t>
      </w:r>
      <w:r w:rsidRPr="002B30C6">
        <w:t xml:space="preserve">, </w:t>
      </w:r>
      <w:r w:rsidR="006875E3" w:rsidRPr="002B30C6">
        <w:t xml:space="preserve">pois </w:t>
      </w:r>
      <w:r w:rsidRPr="002B30C6">
        <w:t xml:space="preserve">refletem diretamente os resultados das empresas e a permanência das mesmas num mercado cada vez mais competitivo e arrojado. Essa característica denota a relevância na contratação de profissionais capacitados nesta área, </w:t>
      </w:r>
      <w:r w:rsidR="006875E3" w:rsidRPr="002B30C6">
        <w:t>pois através destes profissionais as metas</w:t>
      </w:r>
      <w:r w:rsidRPr="002B30C6">
        <w:t xml:space="preserve"> </w:t>
      </w:r>
      <w:r w:rsidR="006875E3" w:rsidRPr="002B30C6">
        <w:t xml:space="preserve">serão atingidas e os </w:t>
      </w:r>
      <w:r w:rsidRPr="002B30C6">
        <w:t xml:space="preserve">resultados </w:t>
      </w:r>
      <w:r w:rsidR="006875E3" w:rsidRPr="002B30C6">
        <w:t xml:space="preserve">maximizados. </w:t>
      </w:r>
    </w:p>
    <w:p w:rsidR="006875E3" w:rsidRPr="002B30C6" w:rsidRDefault="00FD2CF3" w:rsidP="00A6356B">
      <w:r w:rsidRPr="002B30C6">
        <w:t xml:space="preserve">Para as empresas sobreviverem no cenário atual, </w:t>
      </w:r>
      <w:proofErr w:type="gramStart"/>
      <w:r w:rsidRPr="002B30C6">
        <w:t>a</w:t>
      </w:r>
      <w:proofErr w:type="gramEnd"/>
      <w:r w:rsidRPr="002B30C6">
        <w:t xml:space="preserve"> tomada de decisões financeiras deve </w:t>
      </w:r>
      <w:r w:rsidR="006875E3" w:rsidRPr="002B30C6">
        <w:t xml:space="preserve">ser </w:t>
      </w:r>
      <w:r w:rsidRPr="002B30C6">
        <w:t>a mais correta e precisa possível. As mudanças bruscas que ocorrem nas organizações desafiam ca</w:t>
      </w:r>
      <w:r w:rsidR="006875E3" w:rsidRPr="002B30C6">
        <w:t>da vez mais uma gestão adequada.</w:t>
      </w:r>
    </w:p>
    <w:p w:rsidR="00FD2CF3" w:rsidRPr="002B30C6" w:rsidRDefault="00FD2CF3" w:rsidP="00A6356B">
      <w:r w:rsidRPr="002B30C6">
        <w:t xml:space="preserve">Uma controladoria eficaz é aquela que busca oferecer informações baseadas em sistemas e processos modernos e eficientes, apoiados pela tecnologia e por usuários </w:t>
      </w:r>
      <w:r w:rsidRPr="002B30C6">
        <w:lastRenderedPageBreak/>
        <w:t>capacitados e treinados para o uso de tais ferramentas</w:t>
      </w:r>
      <w:r w:rsidR="008E691C" w:rsidRPr="002B30C6">
        <w:t xml:space="preserve">, como as </w:t>
      </w:r>
      <w:r w:rsidRPr="002B30C6">
        <w:t>análises financeiras de balanço</w:t>
      </w:r>
      <w:r w:rsidR="008E691C" w:rsidRPr="002B30C6">
        <w:t xml:space="preserve">, </w:t>
      </w:r>
      <w:r w:rsidR="00402E2F" w:rsidRPr="002B30C6">
        <w:t xml:space="preserve">os indicadores financeiros e as análises vertical e horizontal, pois estas ferramentas </w:t>
      </w:r>
      <w:r w:rsidR="008E691C" w:rsidRPr="002B30C6">
        <w:t>estão sendo cada vez mais exigidas dentro de uma organização.</w:t>
      </w:r>
    </w:p>
    <w:p w:rsidR="00FD2CF3" w:rsidRPr="002B30C6" w:rsidRDefault="00FD2CF3" w:rsidP="0002058A">
      <w:pPr>
        <w:pStyle w:val="Ttulo1"/>
      </w:pPr>
      <w:r w:rsidRPr="002B30C6">
        <w:t>OBJETIVOS</w:t>
      </w:r>
    </w:p>
    <w:p w:rsidR="00FD2CF3" w:rsidRPr="002B30C6" w:rsidRDefault="00FD2CF3" w:rsidP="00A6356B">
      <w:r w:rsidRPr="002B30C6">
        <w:t xml:space="preserve">Este trabalho tem como objetivo geral, demonstrar a importância do uso da avaliação dos indicadores financeiros para a tomada de decisões gerenciais, através dos diversos tipos de demonstrações contábeis. A escolha da empresa Gerdau S.A. foi tomada pela disponibilidade de acesso aos seus demonstrativos e pela importância desta grande empresa gaúcha. </w:t>
      </w:r>
    </w:p>
    <w:p w:rsidR="00FD2CF3" w:rsidRPr="002B30C6" w:rsidRDefault="00FD2CF3" w:rsidP="00A6356B">
      <w:r w:rsidRPr="002B30C6">
        <w:t xml:space="preserve">Com os dados e demonstrações financeiras </w:t>
      </w:r>
      <w:r w:rsidR="0057652A">
        <w:t>da referida companhia, espera-se</w:t>
      </w:r>
      <w:r w:rsidRPr="002B30C6">
        <w:t xml:space="preserve"> revelar que munidos destas informações, os gestores terão maior capacidade de impulsionar de maneira positiva os negóc</w:t>
      </w:r>
      <w:r w:rsidR="0057652A">
        <w:t xml:space="preserve">ios das organizações e se adequar </w:t>
      </w:r>
      <w:r w:rsidRPr="002B30C6">
        <w:t xml:space="preserve">as novas sistemáticas de trabalho, mais fidedignas e corretas, aperfeiçoando os resultados esperados. </w:t>
      </w:r>
    </w:p>
    <w:p w:rsidR="00FD2CF3" w:rsidRPr="002B30C6" w:rsidRDefault="00FD2CF3" w:rsidP="00A6356B">
      <w:r w:rsidRPr="002B30C6">
        <w:t>Através de informações precisas e oportunas a ser</w:t>
      </w:r>
      <w:r w:rsidR="0057652A">
        <w:t>em usadas como base, é possível verificar</w:t>
      </w:r>
      <w:r w:rsidRPr="002B30C6">
        <w:t xml:space="preserve"> como elas podem garantir a mais correta decisão de novos investimentos e projetos, com consequente crescimento organizacional.</w:t>
      </w:r>
    </w:p>
    <w:p w:rsidR="00FD2CF3" w:rsidRPr="002B30C6" w:rsidRDefault="00FD2CF3" w:rsidP="0002058A">
      <w:pPr>
        <w:pStyle w:val="Ttulo1"/>
      </w:pPr>
      <w:bookmarkStart w:id="3" w:name="_Toc370331231"/>
      <w:r w:rsidRPr="002B30C6">
        <w:t>JUSTIFICATIVA</w:t>
      </w:r>
      <w:bookmarkEnd w:id="3"/>
    </w:p>
    <w:p w:rsidR="00FD2CF3" w:rsidRPr="002B30C6" w:rsidRDefault="00FD2CF3" w:rsidP="00A6356B">
      <w:r w:rsidRPr="002B30C6">
        <w:t xml:space="preserve">Justifica-se o desenvolvimento deste artigo científico pela finalidade de salientar </w:t>
      </w:r>
      <w:proofErr w:type="gramStart"/>
      <w:r w:rsidRPr="002B30C6">
        <w:t>à</w:t>
      </w:r>
      <w:proofErr w:type="gramEnd"/>
      <w:r w:rsidRPr="002B30C6">
        <w:t xml:space="preserve"> gestão das organizações a importância da análise financeira, através de indicadores e ferramentas que possibilitem o êxito nos resultados das corporações. </w:t>
      </w:r>
    </w:p>
    <w:p w:rsidR="00FD2CF3" w:rsidRPr="002B30C6" w:rsidRDefault="00FD2CF3" w:rsidP="00A6356B">
      <w:r w:rsidRPr="002B30C6">
        <w:t xml:space="preserve">Este estudo visa agregar melhorias nas gestões atuais, através de medições e análises dos resultados, permitindo assim uma melhor visão do comportamento financeiro de uma empresa, oportunizando melhores decisões de planejamento. </w:t>
      </w:r>
    </w:p>
    <w:p w:rsidR="00FD2CF3" w:rsidRPr="002B30C6" w:rsidRDefault="00FD2CF3" w:rsidP="00A6356B">
      <w:r w:rsidRPr="002B30C6">
        <w:t>Conforme M</w:t>
      </w:r>
      <w:r w:rsidR="006A7254" w:rsidRPr="002B30C6">
        <w:t>arion</w:t>
      </w:r>
      <w:r w:rsidRPr="002B30C6">
        <w:t xml:space="preserve"> (2002, p.36) os índices são definidos como sendo relações que se estabelecem entre duas grandezas, facilitando sensivelmente o trabalho do analista, uma vez que a apreciação de certas relações ou percentuais é mais significativa que a observação de montantes, por si só.</w:t>
      </w:r>
    </w:p>
    <w:p w:rsidR="006A7254" w:rsidRPr="002B30C6" w:rsidRDefault="00FD2CF3" w:rsidP="00A6356B">
      <w:r w:rsidRPr="002B30C6">
        <w:t xml:space="preserve">Os indicadores como fatores de análise e correção de rumos gerenciais, são utilizados em nível mundial, reforçando a importância da análise financeira, outras fontes de informações para a apuração dos índices e dos dados relevantes </w:t>
      </w:r>
      <w:proofErr w:type="gramStart"/>
      <w:r w:rsidRPr="002B30C6">
        <w:t>a</w:t>
      </w:r>
      <w:proofErr w:type="gramEnd"/>
      <w:r w:rsidRPr="002B30C6">
        <w:t xml:space="preserve"> gestão financeira das corporações.</w:t>
      </w:r>
    </w:p>
    <w:p w:rsidR="008E691C" w:rsidRPr="002B30C6" w:rsidRDefault="008E691C" w:rsidP="00A6356B"/>
    <w:p w:rsidR="006A7254" w:rsidRPr="002B30C6" w:rsidRDefault="006A7254" w:rsidP="0002058A">
      <w:pPr>
        <w:pStyle w:val="Ttulo1"/>
      </w:pPr>
      <w:r w:rsidRPr="002B30C6">
        <w:lastRenderedPageBreak/>
        <w:t>REFERENCIAL TEÓRICO</w:t>
      </w:r>
    </w:p>
    <w:p w:rsidR="006A7254" w:rsidRPr="002B30C6" w:rsidRDefault="006A7254" w:rsidP="00A6356B">
      <w:r w:rsidRPr="002B30C6">
        <w:t xml:space="preserve">Diariamente organizações se deparam com o surgimento de novos concorrentes no mercado, </w:t>
      </w:r>
      <w:r w:rsidR="00A764C8" w:rsidRPr="002B30C6">
        <w:t>buscando</w:t>
      </w:r>
      <w:r w:rsidRPr="002B30C6">
        <w:t xml:space="preserve"> manter-se a fre</w:t>
      </w:r>
      <w:r w:rsidR="00A764C8" w:rsidRPr="002B30C6">
        <w:t xml:space="preserve">nte da concorrência e apresentar </w:t>
      </w:r>
      <w:r w:rsidRPr="002B30C6">
        <w:t>melhor saúde financeira as organizações passam a focar na análise de seus balanços, visando verificar o retorno financeiro, verificação de solvência, entre outros.</w:t>
      </w:r>
    </w:p>
    <w:p w:rsidR="006A7254" w:rsidRDefault="00A764C8" w:rsidP="00A6356B">
      <w:r w:rsidRPr="002B30C6">
        <w:t xml:space="preserve">Diversos </w:t>
      </w:r>
      <w:r w:rsidR="006A7254" w:rsidRPr="002B30C6">
        <w:t xml:space="preserve">autores mostram que as análises horizontal e vertical do Balanço Patrimonial e do DRE fornecem a organização informações que possibilitam a verificação do seu desempenho comparando períodos, empresas, possibilitando o foco da sua análise em contas pré-determinadas pela empresa levantando assim informações extremamente úteis para o planejamento estratégico e </w:t>
      </w:r>
      <w:r w:rsidR="006A7254" w:rsidRPr="0057652A">
        <w:t>gerenciamento</w:t>
      </w:r>
      <w:r w:rsidR="006A7254" w:rsidRPr="002B30C6">
        <w:t xml:space="preserve"> da organização.</w:t>
      </w:r>
    </w:p>
    <w:p w:rsidR="006A7254" w:rsidRPr="002B30C6" w:rsidRDefault="006A7254" w:rsidP="0057652A">
      <w:pPr>
        <w:pStyle w:val="Ttulo2"/>
      </w:pPr>
      <w:r w:rsidRPr="002B30C6">
        <w:t xml:space="preserve">BALANÇO </w:t>
      </w:r>
      <w:r w:rsidRPr="00A6356B">
        <w:t>PATRIMONIAL</w:t>
      </w:r>
      <w:r w:rsidRPr="002B30C6">
        <w:t xml:space="preserve"> E DEMONSTRATIVO DO RESULTADO DO EXERCÍCIO</w:t>
      </w:r>
    </w:p>
    <w:p w:rsidR="006A7254" w:rsidRPr="002B30C6" w:rsidRDefault="006A7254" w:rsidP="00A6356B">
      <w:pPr>
        <w:rPr>
          <w:lang w:eastAsia="pt-BR"/>
        </w:rPr>
      </w:pPr>
      <w:r w:rsidRPr="002B30C6">
        <w:rPr>
          <w:lang w:eastAsia="pt-BR"/>
        </w:rPr>
        <w:t xml:space="preserve">Netto (2009, p. 35) afirma que “a análise de balanços visa relatar, com base nas informações contábeis fornecidas pelas empresas, </w:t>
      </w:r>
      <w:proofErr w:type="gramStart"/>
      <w:r w:rsidRPr="002B30C6">
        <w:rPr>
          <w:lang w:eastAsia="pt-BR"/>
        </w:rPr>
        <w:t>a</w:t>
      </w:r>
      <w:proofErr w:type="gramEnd"/>
      <w:r w:rsidRPr="002B30C6">
        <w:rPr>
          <w:lang w:eastAsia="pt-BR"/>
        </w:rPr>
        <w:t xml:space="preserve"> posição econômico-financeira atual, as causas que determinam a evolução apresentada e as tendências futuras”.</w:t>
      </w:r>
    </w:p>
    <w:p w:rsidR="006A7254" w:rsidRPr="002B30C6" w:rsidRDefault="006A7254" w:rsidP="00A6356B">
      <w:pPr>
        <w:rPr>
          <w:lang w:eastAsia="pt-BR"/>
        </w:rPr>
      </w:pPr>
      <w:r w:rsidRPr="002B30C6">
        <w:rPr>
          <w:lang w:eastAsia="pt-BR"/>
        </w:rPr>
        <w:t xml:space="preserve">O Balanço Patrimonial representa graficamente o patrimônio da empresa em um determinado período, por isso é um demonstrativo imprescindível na avaliação e no controle do patrimônio da empresa. Este demonstrativo </w:t>
      </w:r>
      <w:bookmarkStart w:id="4" w:name="_GoBack"/>
      <w:bookmarkEnd w:id="4"/>
      <w:r w:rsidRPr="002B30C6">
        <w:rPr>
          <w:lang w:eastAsia="pt-BR"/>
        </w:rPr>
        <w:t xml:space="preserve">fornece uma análise financeira e patrimonial, englobando: ativos, passivos e o patrimônio líquido da empresa. </w:t>
      </w:r>
    </w:p>
    <w:p w:rsidR="006A7254" w:rsidRPr="002B30C6" w:rsidRDefault="006A7254" w:rsidP="00A6356B">
      <w:pPr>
        <w:rPr>
          <w:lang w:eastAsia="pt-BR"/>
        </w:rPr>
      </w:pPr>
      <w:r w:rsidRPr="002B30C6">
        <w:t xml:space="preserve">Portanto, tem como finalidade representar quantitativa e qualitativamente, em um dado período, a posição patrimonial e financeira da empresa, isto é, fornece o resultado econômico da situação da empresa neste período específico. </w:t>
      </w:r>
      <w:r w:rsidRPr="002B30C6">
        <w:rPr>
          <w:lang w:eastAsia="pt-BR"/>
        </w:rPr>
        <w:t>É importante salientar que somente um contador com CRC válido pode fazer um Balanço Patrimonial.</w:t>
      </w:r>
    </w:p>
    <w:p w:rsidR="006A7254" w:rsidRPr="002B30C6" w:rsidRDefault="006A7254" w:rsidP="00A6356B">
      <w:pPr>
        <w:rPr>
          <w:lang w:eastAsia="pt-BR"/>
        </w:rPr>
      </w:pPr>
      <w:r w:rsidRPr="002B30C6">
        <w:rPr>
          <w:lang w:eastAsia="pt-BR"/>
        </w:rPr>
        <w:t xml:space="preserve">Enquanto que a Demonstração </w:t>
      </w:r>
      <w:r w:rsidR="00BF7A10" w:rsidRPr="002B30C6">
        <w:rPr>
          <w:lang w:eastAsia="pt-BR"/>
        </w:rPr>
        <w:t>do Resultado do Exercício - DRE</w:t>
      </w:r>
      <w:r w:rsidRPr="002B30C6">
        <w:rPr>
          <w:lang w:eastAsia="pt-BR"/>
        </w:rPr>
        <w:t xml:space="preserve"> fornece o resultado no final de cada exercício, o lucro ou prejuízo da empresa. </w:t>
      </w:r>
    </w:p>
    <w:p w:rsidR="006A7254" w:rsidRPr="002B30C6" w:rsidRDefault="006A7254" w:rsidP="00A6356B">
      <w:r w:rsidRPr="002B30C6">
        <w:t xml:space="preserve">O DRE permite que sua capacidade financeira seja avaliada, esta avaliação é extremamente importante na tomada de decisão dos investidores, bancos, governo e aos gestores das empresas, que podem avaliar através dela sua capacidade e, quando necessário, modificar a forma com que é gerida a empresa. </w:t>
      </w:r>
    </w:p>
    <w:p w:rsidR="006A7254" w:rsidRPr="002B30C6" w:rsidRDefault="006A7254" w:rsidP="00A6356B">
      <w:r w:rsidRPr="002B30C6">
        <w:t>Matarazzo (2008, p. 45) define “a Demonstração do Resultado do Exercício é uma demonstração dos aumentos e reduções causados no Patrimônio Líquido pelas operações da empresa”.</w:t>
      </w:r>
    </w:p>
    <w:p w:rsidR="006A7254" w:rsidRPr="002B30C6" w:rsidRDefault="006A7254" w:rsidP="0057652A">
      <w:pPr>
        <w:pStyle w:val="Ttulo2"/>
      </w:pPr>
      <w:r w:rsidRPr="002B30C6">
        <w:lastRenderedPageBreak/>
        <w:t>ANÁLISE DAS DEMONSTRAÇÕES CONTÁBEIS</w:t>
      </w:r>
    </w:p>
    <w:p w:rsidR="006A7254" w:rsidRPr="002B30C6" w:rsidRDefault="006A7254" w:rsidP="00A6356B">
      <w:r w:rsidRPr="002B30C6">
        <w:t>A análise das demonstrações contábeis é uma ferramenta que permite uma interpretação mais fácil das demonstrações, proporcionando avaliações do desempenho econômico: aplicação do capital da empresa e seu retorno; do desempenho financeiro: a situação da empresa com seus compromissos financeiros.</w:t>
      </w:r>
    </w:p>
    <w:p w:rsidR="006A7254" w:rsidRPr="002B30C6" w:rsidRDefault="006A7254" w:rsidP="00A6356B">
      <w:r w:rsidRPr="002B30C6">
        <w:t xml:space="preserve">Porém, conforme afirmam </w:t>
      </w:r>
      <w:proofErr w:type="spellStart"/>
      <w:r w:rsidRPr="002B30C6">
        <w:t>Fleuriet</w:t>
      </w:r>
      <w:proofErr w:type="spellEnd"/>
      <w:r w:rsidRPr="002B30C6">
        <w:t xml:space="preserve">, </w:t>
      </w:r>
      <w:proofErr w:type="spellStart"/>
      <w:r w:rsidRPr="002B30C6">
        <w:t>Kehdy</w:t>
      </w:r>
      <w:proofErr w:type="spellEnd"/>
      <w:r w:rsidR="00BF7A10" w:rsidRPr="002B30C6">
        <w:t xml:space="preserve"> e</w:t>
      </w:r>
      <w:r w:rsidRPr="002B30C6">
        <w:t xml:space="preserve"> Blanc (2003), quando o método tradicional de análise financeira das empresas, tem como base somente o Balanço Patrimonial, possui uma visão estática, incompatível com o dinamismo do cotidiano empresarial.</w:t>
      </w:r>
    </w:p>
    <w:p w:rsidR="006A7254" w:rsidRPr="002B30C6" w:rsidRDefault="006A7254" w:rsidP="00A6356B">
      <w:proofErr w:type="spellStart"/>
      <w:r w:rsidRPr="002B30C6">
        <w:t>Iudícibus</w:t>
      </w:r>
      <w:proofErr w:type="spellEnd"/>
      <w:r w:rsidRPr="002B30C6">
        <w:t xml:space="preserve"> (1998, p. 75) afirma que “através da análise de balanço pode-se detectar itens cujo crescimento está acima ou abaixo do desejado, crescimento este que pode passar despercebido quando analisamos diretamente os valores [...]”.</w:t>
      </w:r>
    </w:p>
    <w:p w:rsidR="006A7254" w:rsidRPr="002B30C6" w:rsidRDefault="006A7254" w:rsidP="00A6356B">
      <w:r w:rsidRPr="002B30C6">
        <w:t>Logo, a correta análise dos balanços nos indica quais são os gargalos da empresa e torna possível aplicar ações que corrijam estas deficiências.</w:t>
      </w:r>
    </w:p>
    <w:p w:rsidR="006A7254" w:rsidRPr="002B30C6" w:rsidRDefault="006A7254" w:rsidP="0057652A">
      <w:pPr>
        <w:pStyle w:val="Ttulo2"/>
        <w:rPr>
          <w:rFonts w:eastAsiaTheme="minorHAnsi"/>
        </w:rPr>
      </w:pPr>
      <w:r w:rsidRPr="002B30C6">
        <w:rPr>
          <w:rFonts w:eastAsiaTheme="minorHAnsi"/>
        </w:rPr>
        <w:t>ANÁLISE</w:t>
      </w:r>
      <w:r w:rsidR="00BF7A10" w:rsidRPr="002B30C6">
        <w:rPr>
          <w:rFonts w:eastAsiaTheme="minorHAnsi"/>
        </w:rPr>
        <w:t xml:space="preserve"> vertica</w:t>
      </w:r>
      <w:r w:rsidRPr="002B30C6">
        <w:rPr>
          <w:rFonts w:eastAsiaTheme="minorHAnsi"/>
        </w:rPr>
        <w:t xml:space="preserve">L </w:t>
      </w:r>
      <w:r w:rsidR="00BF7A10" w:rsidRPr="002B30C6">
        <w:rPr>
          <w:rFonts w:eastAsiaTheme="minorHAnsi"/>
        </w:rPr>
        <w:t>e análise horizontal</w:t>
      </w:r>
    </w:p>
    <w:p w:rsidR="006A7254" w:rsidRPr="002B30C6" w:rsidRDefault="006A7254" w:rsidP="00A6356B">
      <w:r w:rsidRPr="002B30C6">
        <w:t xml:space="preserve">As Análises Vertical e Horizontal </w:t>
      </w:r>
      <w:r w:rsidR="00DB7090">
        <w:t>do Balanço Patrimonial</w:t>
      </w:r>
      <w:r w:rsidRPr="002B30C6">
        <w:t xml:space="preserve"> proporcionam informações importantes para a correta interpretação de valores, pois auxiliam os gestores a comparar os indicadores das contas do balanço patrimonial e verificar seus históricos em cada período. </w:t>
      </w:r>
      <w:r w:rsidR="00DB7090">
        <w:t xml:space="preserve">São análises </w:t>
      </w:r>
      <w:r w:rsidRPr="002B30C6">
        <w:t>simples</w:t>
      </w:r>
      <w:r w:rsidR="00DB7090">
        <w:t xml:space="preserve"> quando comparadas com outras</w:t>
      </w:r>
      <w:r w:rsidRPr="002B30C6">
        <w:t xml:space="preserve">, porém as mais importantes para avaliar o desempenho empresarial de uma empresa. </w:t>
      </w:r>
    </w:p>
    <w:p w:rsidR="00AC6E85" w:rsidRPr="00A6356B" w:rsidRDefault="00AC6E85" w:rsidP="00402E2F">
      <w:pPr>
        <w:widowControl/>
        <w:numPr>
          <w:ilvl w:val="0"/>
          <w:numId w:val="15"/>
        </w:numPr>
        <w:autoSpaceDE w:val="0"/>
        <w:autoSpaceDN w:val="0"/>
        <w:adjustRightInd w:val="0"/>
        <w:contextualSpacing/>
        <w:rPr>
          <w:rFonts w:eastAsia="Calibri" w:cs="Times New Roman"/>
          <w:b/>
          <w:kern w:val="3"/>
          <w:szCs w:val="24"/>
        </w:rPr>
      </w:pPr>
      <w:r w:rsidRPr="00A6356B">
        <w:rPr>
          <w:rFonts w:eastAsia="Calibri" w:cs="Times New Roman"/>
          <w:b/>
          <w:kern w:val="3"/>
          <w:szCs w:val="24"/>
        </w:rPr>
        <w:t xml:space="preserve">Análise Vertical </w:t>
      </w:r>
    </w:p>
    <w:p w:rsidR="00AC6E85" w:rsidRPr="00A6356B" w:rsidRDefault="00AC6E85" w:rsidP="00402E2F">
      <w:pPr>
        <w:contextualSpacing/>
        <w:textAlignment w:val="baseline"/>
        <w:rPr>
          <w:rFonts w:cs="Times New Roman"/>
          <w:szCs w:val="24"/>
        </w:rPr>
      </w:pPr>
      <w:r w:rsidRPr="00A6356B">
        <w:rPr>
          <w:rFonts w:eastAsiaTheme="minorEastAsia" w:cs="Times New Roman"/>
          <w:kern w:val="24"/>
          <w:szCs w:val="24"/>
          <w:lang w:eastAsia="pt-BR"/>
        </w:rPr>
        <w:t xml:space="preserve">Esta análise indica o </w:t>
      </w:r>
      <w:r w:rsidRPr="00A6356B">
        <w:rPr>
          <w:rFonts w:eastAsiaTheme="minorEastAsia" w:cs="Times New Roman"/>
          <w:bCs/>
          <w:kern w:val="24"/>
          <w:szCs w:val="24"/>
          <w:lang w:eastAsia="pt-BR"/>
        </w:rPr>
        <w:t>percentual de participação relativa de cada item</w:t>
      </w:r>
      <w:r w:rsidRPr="00A6356B">
        <w:rPr>
          <w:rFonts w:eastAsiaTheme="minorEastAsia" w:cs="Times New Roman"/>
          <w:kern w:val="24"/>
          <w:szCs w:val="24"/>
          <w:lang w:eastAsia="pt-BR"/>
        </w:rPr>
        <w:t xml:space="preserve"> do Balanço Patrimonial e da Demonstração de Resultado do Exercício, é a análise mais utilizada, por ser a mais completa e mais simples.</w:t>
      </w:r>
    </w:p>
    <w:p w:rsidR="00AC6E85" w:rsidRPr="00A6356B" w:rsidRDefault="00AC6E85" w:rsidP="00402E2F">
      <w:pPr>
        <w:autoSpaceDE w:val="0"/>
        <w:autoSpaceDN w:val="0"/>
        <w:adjustRightInd w:val="0"/>
        <w:ind w:firstLine="708"/>
        <w:rPr>
          <w:rFonts w:cs="Times New Roman"/>
          <w:szCs w:val="24"/>
        </w:rPr>
      </w:pPr>
      <w:r w:rsidRPr="00A6356B">
        <w:rPr>
          <w:rFonts w:cs="Times New Roman"/>
          <w:szCs w:val="24"/>
        </w:rPr>
        <w:t>A interpretação da Análise Vertical fornece as seguintes informações:</w:t>
      </w:r>
    </w:p>
    <w:p w:rsidR="00AC6E85" w:rsidRPr="00A6356B" w:rsidRDefault="00AC6E85" w:rsidP="00402E2F">
      <w:pPr>
        <w:widowControl/>
        <w:numPr>
          <w:ilvl w:val="0"/>
          <w:numId w:val="34"/>
        </w:numPr>
        <w:autoSpaceDE w:val="0"/>
        <w:autoSpaceDN w:val="0"/>
        <w:adjustRightInd w:val="0"/>
        <w:contextualSpacing/>
        <w:rPr>
          <w:rFonts w:eastAsia="Calibri" w:cs="Times New Roman"/>
          <w:kern w:val="3"/>
          <w:szCs w:val="24"/>
        </w:rPr>
      </w:pPr>
      <w:r w:rsidRPr="00A6356B">
        <w:rPr>
          <w:rFonts w:eastAsia="Calibri" w:cs="Times New Roman"/>
          <w:kern w:val="3"/>
          <w:szCs w:val="24"/>
        </w:rPr>
        <w:t>A porcentagem de cada conta em relação ao seu total, afirma Ribeiro (1997</w:t>
      </w:r>
      <w:r w:rsidR="00DB7090">
        <w:rPr>
          <w:rFonts w:eastAsia="Calibri" w:cs="Times New Roman"/>
          <w:kern w:val="3"/>
          <w:szCs w:val="24"/>
        </w:rPr>
        <w:t>, p. 117</w:t>
      </w:r>
      <w:r w:rsidRPr="00A6356B">
        <w:rPr>
          <w:rFonts w:eastAsia="Calibri" w:cs="Times New Roman"/>
          <w:kern w:val="3"/>
          <w:szCs w:val="24"/>
        </w:rPr>
        <w:t>)</w:t>
      </w:r>
      <w:r w:rsidR="00DB7090">
        <w:rPr>
          <w:rFonts w:eastAsia="Calibri" w:cs="Times New Roman"/>
          <w:kern w:val="3"/>
          <w:szCs w:val="24"/>
        </w:rPr>
        <w:t>,</w:t>
      </w:r>
      <w:r w:rsidRPr="00A6356B">
        <w:rPr>
          <w:rFonts w:eastAsia="Calibri" w:cs="Times New Roman"/>
          <w:kern w:val="3"/>
          <w:szCs w:val="24"/>
        </w:rPr>
        <w:t xml:space="preserve"> auxiliando na decisão de escolher qual conta é mais importante para ser avaliada;</w:t>
      </w:r>
    </w:p>
    <w:p w:rsidR="00AC6E85" w:rsidRPr="00A6356B" w:rsidRDefault="00AC6E85" w:rsidP="00402E2F">
      <w:pPr>
        <w:widowControl/>
        <w:numPr>
          <w:ilvl w:val="0"/>
          <w:numId w:val="34"/>
        </w:numPr>
        <w:autoSpaceDE w:val="0"/>
        <w:autoSpaceDN w:val="0"/>
        <w:adjustRightInd w:val="0"/>
        <w:contextualSpacing/>
        <w:rPr>
          <w:rFonts w:eastAsia="Calibri" w:cs="Times New Roman"/>
          <w:kern w:val="3"/>
          <w:szCs w:val="24"/>
        </w:rPr>
      </w:pPr>
      <w:r w:rsidRPr="00A6356B">
        <w:rPr>
          <w:rFonts w:eastAsia="Calibri" w:cs="Times New Roman"/>
          <w:kern w:val="3"/>
          <w:szCs w:val="24"/>
        </w:rPr>
        <w:t>Como foram obtidos os recursos que financiam o ativo da empresa e como estes foram utilizados;</w:t>
      </w:r>
    </w:p>
    <w:p w:rsidR="00AC6E85" w:rsidRPr="00A6356B" w:rsidRDefault="00AC6E85" w:rsidP="00402E2F">
      <w:pPr>
        <w:widowControl/>
        <w:numPr>
          <w:ilvl w:val="0"/>
          <w:numId w:val="34"/>
        </w:numPr>
        <w:autoSpaceDE w:val="0"/>
        <w:autoSpaceDN w:val="0"/>
        <w:adjustRightInd w:val="0"/>
        <w:contextualSpacing/>
        <w:rPr>
          <w:rFonts w:eastAsia="Calibri" w:cs="Times New Roman"/>
          <w:kern w:val="3"/>
          <w:szCs w:val="24"/>
        </w:rPr>
      </w:pPr>
      <w:r w:rsidRPr="00A6356B">
        <w:rPr>
          <w:rFonts w:eastAsia="Calibri" w:cs="Times New Roman"/>
          <w:kern w:val="3"/>
          <w:szCs w:val="24"/>
        </w:rPr>
        <w:t xml:space="preserve">Compara os percentuais dentro de um período específico, </w:t>
      </w:r>
    </w:p>
    <w:p w:rsidR="00AC6E85" w:rsidRPr="00A6356B" w:rsidRDefault="00AC6E85" w:rsidP="00402E2F">
      <w:pPr>
        <w:widowControl/>
        <w:numPr>
          <w:ilvl w:val="0"/>
          <w:numId w:val="34"/>
        </w:numPr>
        <w:autoSpaceDE w:val="0"/>
        <w:autoSpaceDN w:val="0"/>
        <w:adjustRightInd w:val="0"/>
        <w:contextualSpacing/>
        <w:rPr>
          <w:rFonts w:eastAsia="Calibri" w:cs="Times New Roman"/>
          <w:kern w:val="3"/>
          <w:szCs w:val="24"/>
        </w:rPr>
      </w:pPr>
      <w:r w:rsidRPr="00A6356B">
        <w:rPr>
          <w:rFonts w:eastAsia="Calibri" w:cs="Times New Roman"/>
          <w:kern w:val="3"/>
          <w:szCs w:val="24"/>
        </w:rPr>
        <w:t>Avalia o consumo de cada custo/despesa dentro das receitas;</w:t>
      </w:r>
    </w:p>
    <w:p w:rsidR="00AC6E85" w:rsidRDefault="00AC6E85" w:rsidP="00402E2F">
      <w:pPr>
        <w:widowControl/>
        <w:numPr>
          <w:ilvl w:val="0"/>
          <w:numId w:val="34"/>
        </w:numPr>
        <w:autoSpaceDE w:val="0"/>
        <w:autoSpaceDN w:val="0"/>
        <w:adjustRightInd w:val="0"/>
        <w:contextualSpacing/>
        <w:rPr>
          <w:rFonts w:eastAsia="Calibri" w:cs="Times New Roman"/>
          <w:kern w:val="3"/>
          <w:szCs w:val="24"/>
        </w:rPr>
      </w:pPr>
      <w:r w:rsidRPr="00A6356B">
        <w:rPr>
          <w:rFonts w:eastAsia="Calibri" w:cs="Times New Roman"/>
          <w:kern w:val="3"/>
          <w:szCs w:val="24"/>
        </w:rPr>
        <w:lastRenderedPageBreak/>
        <w:t>Demonstra se a empresa teve lucro ou prejuízo.</w:t>
      </w:r>
    </w:p>
    <w:p w:rsidR="00AC6E85" w:rsidRPr="00A6356B" w:rsidRDefault="00AC6E85" w:rsidP="00402E2F">
      <w:pPr>
        <w:widowControl/>
        <w:numPr>
          <w:ilvl w:val="0"/>
          <w:numId w:val="15"/>
        </w:numPr>
        <w:autoSpaceDE w:val="0"/>
        <w:autoSpaceDN w:val="0"/>
        <w:adjustRightInd w:val="0"/>
        <w:contextualSpacing/>
        <w:rPr>
          <w:rFonts w:eastAsia="Calibri" w:cs="Times New Roman"/>
          <w:b/>
          <w:kern w:val="3"/>
          <w:szCs w:val="24"/>
        </w:rPr>
      </w:pPr>
      <w:r w:rsidRPr="00A6356B">
        <w:rPr>
          <w:rFonts w:eastAsia="Calibri" w:cs="Times New Roman"/>
          <w:b/>
          <w:kern w:val="3"/>
          <w:szCs w:val="24"/>
        </w:rPr>
        <w:t>Análise Horizontal</w:t>
      </w:r>
    </w:p>
    <w:p w:rsidR="00AC6E85" w:rsidRPr="00A6356B" w:rsidRDefault="00AC6E85" w:rsidP="00402E2F">
      <w:pPr>
        <w:autoSpaceDE w:val="0"/>
        <w:autoSpaceDN w:val="0"/>
        <w:adjustRightInd w:val="0"/>
        <w:ind w:firstLine="708"/>
        <w:rPr>
          <w:rFonts w:cs="Times New Roman"/>
          <w:szCs w:val="24"/>
        </w:rPr>
      </w:pPr>
      <w:r w:rsidRPr="00A6356B">
        <w:rPr>
          <w:rFonts w:cs="Times New Roman"/>
          <w:szCs w:val="24"/>
        </w:rPr>
        <w:t>Ribeiro (1997, p. 117) afirma que nesta análise é feita a “comparação entre componentes do conjunto de vários exercícios, por meio de números - índices objetivando a avaliação de cada conta ou grupo de contas ao longo dos períodos analisados”.</w:t>
      </w:r>
    </w:p>
    <w:p w:rsidR="00AC6E85" w:rsidRPr="00A6356B" w:rsidRDefault="00AC6E85" w:rsidP="00402E2F">
      <w:pPr>
        <w:autoSpaceDE w:val="0"/>
        <w:autoSpaceDN w:val="0"/>
        <w:adjustRightInd w:val="0"/>
        <w:ind w:firstLine="708"/>
        <w:rPr>
          <w:rFonts w:eastAsiaTheme="minorEastAsia" w:cs="Times New Roman"/>
          <w:kern w:val="24"/>
          <w:szCs w:val="24"/>
          <w:lang w:eastAsia="pt-BR"/>
        </w:rPr>
      </w:pPr>
      <w:r w:rsidRPr="00A6356B">
        <w:rPr>
          <w:rFonts w:eastAsiaTheme="minorEastAsia" w:cs="Times New Roman"/>
          <w:kern w:val="24"/>
          <w:szCs w:val="24"/>
          <w:lang w:eastAsia="pt-BR"/>
        </w:rPr>
        <w:t>Através da interpretação da Análise Horizontal, podemos obter as seguintes informações:</w:t>
      </w:r>
    </w:p>
    <w:p w:rsidR="00AC6E85" w:rsidRPr="00A6356B" w:rsidRDefault="00AC6E85" w:rsidP="00402E2F">
      <w:pPr>
        <w:widowControl/>
        <w:numPr>
          <w:ilvl w:val="0"/>
          <w:numId w:val="16"/>
        </w:numPr>
        <w:contextualSpacing/>
        <w:rPr>
          <w:rFonts w:eastAsiaTheme="minorEastAsia" w:cs="Times New Roman"/>
          <w:bCs/>
          <w:kern w:val="24"/>
          <w:szCs w:val="24"/>
          <w:lang w:eastAsia="pt-BR"/>
        </w:rPr>
      </w:pPr>
      <w:r w:rsidRPr="00A6356B">
        <w:rPr>
          <w:rFonts w:eastAsiaTheme="minorEastAsia" w:cs="Times New Roman"/>
          <w:kern w:val="24"/>
          <w:szCs w:val="24"/>
          <w:lang w:eastAsia="pt-BR"/>
        </w:rPr>
        <w:t>O histórico dos itens das demonstrações contábeis de exercícios consecutivos;</w:t>
      </w:r>
    </w:p>
    <w:p w:rsidR="00AC6E85" w:rsidRPr="00A6356B" w:rsidRDefault="00AC6E85" w:rsidP="00402E2F">
      <w:pPr>
        <w:widowControl/>
        <w:numPr>
          <w:ilvl w:val="0"/>
          <w:numId w:val="16"/>
        </w:numPr>
        <w:contextualSpacing/>
        <w:rPr>
          <w:rFonts w:eastAsia="Times New Roman" w:cs="Times New Roman"/>
          <w:szCs w:val="24"/>
          <w:lang w:eastAsia="pt-BR"/>
        </w:rPr>
      </w:pPr>
      <w:r w:rsidRPr="00A6356B">
        <w:rPr>
          <w:rFonts w:eastAsiaTheme="minorEastAsia" w:cs="Times New Roman"/>
          <w:kern w:val="24"/>
          <w:szCs w:val="24"/>
          <w:lang w:eastAsia="pt-BR"/>
        </w:rPr>
        <w:t>A participação (%) de cada elemento no total, no Balanço Patrimonial e na Demonstração do Resultado do Exercício;</w:t>
      </w:r>
    </w:p>
    <w:p w:rsidR="00AC6E85" w:rsidRPr="00A6356B" w:rsidRDefault="00AC6E85" w:rsidP="00402E2F">
      <w:pPr>
        <w:widowControl/>
        <w:numPr>
          <w:ilvl w:val="0"/>
          <w:numId w:val="16"/>
        </w:numPr>
        <w:contextualSpacing/>
        <w:textAlignment w:val="baseline"/>
        <w:rPr>
          <w:rFonts w:eastAsia="Times New Roman" w:cs="Times New Roman"/>
          <w:szCs w:val="24"/>
          <w:lang w:eastAsia="pt-BR"/>
        </w:rPr>
      </w:pPr>
      <w:r w:rsidRPr="00A6356B">
        <w:rPr>
          <w:rFonts w:eastAsiaTheme="minorEastAsia" w:cs="Times New Roman"/>
          <w:kern w:val="24"/>
          <w:szCs w:val="24"/>
          <w:lang w:eastAsia="pt-BR"/>
        </w:rPr>
        <w:t>Compara cada elemento do ano-base com o ano imediatamente anterior, ou seja, compara percentuais ao longo de períodos, a fim de avaliar o crescimento da empresa.</w:t>
      </w:r>
    </w:p>
    <w:p w:rsidR="006A7254" w:rsidRPr="002B30C6" w:rsidRDefault="006A7254" w:rsidP="0057652A">
      <w:pPr>
        <w:pStyle w:val="Ttulo2"/>
      </w:pPr>
      <w:r w:rsidRPr="002B30C6">
        <w:t>INDICADORES FINANCEIROS</w:t>
      </w:r>
    </w:p>
    <w:p w:rsidR="006A7254" w:rsidRPr="002B30C6" w:rsidRDefault="006A7254" w:rsidP="00A6356B">
      <w:r w:rsidRPr="002B30C6">
        <w:t>Os indicadores são uma das ferramentas utilizadas para apoiar e auxiliar os gestores, gerentes nas tomadas de decisões a fim de minimizar os riscos para a empresa, porém é necessário analisá-los corretamente, para evitar a geração de informações errôneas, resultando em tomadas de decisões equivocadas.</w:t>
      </w:r>
    </w:p>
    <w:p w:rsidR="006A7254" w:rsidRPr="002B30C6" w:rsidRDefault="006A7254" w:rsidP="00A6356B">
      <w:r w:rsidRPr="002B30C6">
        <w:t>Certos índices, como participação de capital de terceiros, liquidez corrente e rentabilidade do patrimônio líquido, são usados por praticamente todos os analistas. Outros, porém, como composição do endividamento, liquidez seca, rentabilidade do ativo, margem de lucro, nem sempre fazem parte</w:t>
      </w:r>
      <w:r w:rsidR="009F7F05" w:rsidRPr="002B30C6">
        <w:t xml:space="preserve"> dos modelos de análise. (MATAR</w:t>
      </w:r>
      <w:r w:rsidRPr="002B30C6">
        <w:t>AZZO, 2010).</w:t>
      </w:r>
    </w:p>
    <w:p w:rsidR="006A7254" w:rsidRPr="002B30C6" w:rsidRDefault="006A7254" w:rsidP="00A6356B">
      <w:r w:rsidRPr="002B30C6">
        <w:rPr>
          <w:lang w:eastAsia="pt-BR"/>
        </w:rPr>
        <w:t xml:space="preserve">Para uma </w:t>
      </w:r>
      <w:r w:rsidRPr="002B30C6">
        <w:t xml:space="preserve">Análise de Demonstrações Financeiras com resultados mais fidedignos são usados os indicadores financeiros, pois estes medem tanto o desempenho como as estratégias a serem utilizadas como avaliam as séries históricas e as estruturas patrimoniais da empresa. </w:t>
      </w:r>
    </w:p>
    <w:p w:rsidR="006A7254" w:rsidRDefault="006A7254" w:rsidP="00A6356B">
      <w:r w:rsidRPr="002B30C6">
        <w:t xml:space="preserve">Para </w:t>
      </w:r>
      <w:proofErr w:type="spellStart"/>
      <w:r w:rsidRPr="002B30C6">
        <w:t>Gitman</w:t>
      </w:r>
      <w:proofErr w:type="spellEnd"/>
      <w:r w:rsidRPr="002B30C6">
        <w:t xml:space="preserve"> (2010), a análise de índices envolve métodos, cálculos e interpretações de índices financeiros para compreender, analisar e monitorar o desempenho da empresa. A Demonstração de Resultado do Exercício e o Balanço Patrimonial são essenciais nesta análise.</w:t>
      </w:r>
    </w:p>
    <w:p w:rsidR="006A7254" w:rsidRPr="00A6356B" w:rsidRDefault="009F7F05" w:rsidP="00A6356B">
      <w:pPr>
        <w:pStyle w:val="Ttulo3"/>
      </w:pPr>
      <w:r w:rsidRPr="00A6356B">
        <w:t>Indicadores de liquidez</w:t>
      </w:r>
      <w:r w:rsidR="006A7254" w:rsidRPr="00A6356B">
        <w:t xml:space="preserve"> </w:t>
      </w:r>
    </w:p>
    <w:p w:rsidR="006A7254" w:rsidRPr="00A6356B" w:rsidRDefault="0057652A" w:rsidP="00402E2F">
      <w:pPr>
        <w:autoSpaceDE w:val="0"/>
        <w:autoSpaceDN w:val="0"/>
        <w:adjustRightInd w:val="0"/>
        <w:ind w:firstLine="708"/>
        <w:rPr>
          <w:rFonts w:cs="Times New Roman"/>
          <w:szCs w:val="24"/>
        </w:rPr>
      </w:pPr>
      <w:r>
        <w:rPr>
          <w:rFonts w:cs="Times New Roman"/>
          <w:szCs w:val="24"/>
        </w:rPr>
        <w:t xml:space="preserve">Para </w:t>
      </w:r>
      <w:r w:rsidR="006A7254" w:rsidRPr="00A6356B">
        <w:rPr>
          <w:rFonts w:cs="Times New Roman"/>
          <w:szCs w:val="24"/>
        </w:rPr>
        <w:t xml:space="preserve">Neto (2003, p. 107), “os indicadores de liquidez visam medir a capacidade de pagamento (folga financeira) de uma empresa, ou seja, sua habilidade em cumprir </w:t>
      </w:r>
      <w:r w:rsidR="006A7254" w:rsidRPr="00A6356B">
        <w:rPr>
          <w:rFonts w:cs="Times New Roman"/>
          <w:szCs w:val="24"/>
        </w:rPr>
        <w:lastRenderedPageBreak/>
        <w:t>corretamente as obrigações passivas assumidas”.</w:t>
      </w:r>
    </w:p>
    <w:p w:rsidR="006A7254" w:rsidRPr="00A6356B" w:rsidRDefault="006A7254" w:rsidP="00402E2F">
      <w:pPr>
        <w:autoSpaceDE w:val="0"/>
        <w:autoSpaceDN w:val="0"/>
        <w:adjustRightInd w:val="0"/>
        <w:ind w:firstLine="708"/>
        <w:rPr>
          <w:rFonts w:cs="Times New Roman"/>
          <w:szCs w:val="24"/>
        </w:rPr>
      </w:pPr>
      <w:r w:rsidRPr="00A6356B">
        <w:rPr>
          <w:rFonts w:cs="Times New Roman"/>
          <w:szCs w:val="24"/>
        </w:rPr>
        <w:t xml:space="preserve">Marion (2007, p. 83) afirma que “os Índices de Liquidez são utilizados para avaliar a capacidade de pagamento, isto é, constituem uma apreciação sobre se a empresa tem capacidade para saldar seus compromissos. Essa capacidade de pagamento pode ser avaliada, considerando: longo prazo, curto prazo ou prazo imediato”. </w:t>
      </w:r>
    </w:p>
    <w:p w:rsidR="006A7254" w:rsidRDefault="006A7254" w:rsidP="00402E2F">
      <w:pPr>
        <w:autoSpaceDE w:val="0"/>
        <w:autoSpaceDN w:val="0"/>
        <w:adjustRightInd w:val="0"/>
        <w:ind w:firstLine="708"/>
        <w:rPr>
          <w:rFonts w:cs="Times New Roman"/>
          <w:szCs w:val="24"/>
        </w:rPr>
      </w:pPr>
      <w:r w:rsidRPr="00A6356B">
        <w:rPr>
          <w:rFonts w:cs="Times New Roman"/>
          <w:szCs w:val="24"/>
        </w:rPr>
        <w:t>Os Indicadores de Liquidez utilizados neste estudo são Liquidez Geral, Liquidez Imediata e Liquidez Seca.</w:t>
      </w:r>
    </w:p>
    <w:p w:rsidR="006A7254" w:rsidRPr="00A6356B" w:rsidRDefault="00194406" w:rsidP="00402E2F">
      <w:pPr>
        <w:tabs>
          <w:tab w:val="left" w:pos="426"/>
          <w:tab w:val="left" w:pos="567"/>
        </w:tabs>
        <w:autoSpaceDE w:val="0"/>
        <w:autoSpaceDN w:val="0"/>
        <w:adjustRightInd w:val="0"/>
        <w:ind w:firstLine="0"/>
        <w:rPr>
          <w:rFonts w:cs="Times New Roman"/>
          <w:b/>
          <w:szCs w:val="24"/>
        </w:rPr>
      </w:pPr>
      <w:r>
        <w:rPr>
          <w:rFonts w:cs="Times New Roman"/>
          <w:b/>
          <w:szCs w:val="24"/>
        </w:rPr>
        <w:t xml:space="preserve">a) </w:t>
      </w:r>
      <w:r w:rsidR="009F7F05" w:rsidRPr="00A6356B">
        <w:rPr>
          <w:rFonts w:cs="Times New Roman"/>
          <w:b/>
          <w:szCs w:val="24"/>
        </w:rPr>
        <w:t>Liquidez Geral</w:t>
      </w:r>
    </w:p>
    <w:p w:rsidR="006A7254" w:rsidRPr="00A6356B" w:rsidRDefault="006A7254" w:rsidP="00402E2F">
      <w:pPr>
        <w:autoSpaceDE w:val="0"/>
        <w:autoSpaceDN w:val="0"/>
        <w:adjustRightInd w:val="0"/>
        <w:ind w:firstLine="708"/>
        <w:rPr>
          <w:rFonts w:cs="Times New Roman"/>
          <w:szCs w:val="24"/>
        </w:rPr>
      </w:pPr>
      <w:r w:rsidRPr="00A6356B">
        <w:rPr>
          <w:rFonts w:cs="Times New Roman"/>
          <w:szCs w:val="24"/>
        </w:rPr>
        <w:t xml:space="preserve">O Indicador de Liquidez Geral, conforme Assaf (2008) em concordância com </w:t>
      </w:r>
      <w:proofErr w:type="spellStart"/>
      <w:r w:rsidRPr="00A6356B">
        <w:rPr>
          <w:rFonts w:cs="Times New Roman"/>
          <w:szCs w:val="24"/>
        </w:rPr>
        <w:t>Iudícibus</w:t>
      </w:r>
      <w:proofErr w:type="spellEnd"/>
      <w:r w:rsidRPr="00A6356B">
        <w:rPr>
          <w:rFonts w:cs="Times New Roman"/>
          <w:szCs w:val="24"/>
        </w:rPr>
        <w:t xml:space="preserve"> (2010) informa a saúde financeira no longo prazo da empresa.</w:t>
      </w:r>
    </w:p>
    <w:p w:rsidR="006A7254" w:rsidRPr="00A6356B" w:rsidRDefault="006A7254" w:rsidP="0002058A">
      <w:pPr>
        <w:autoSpaceDE w:val="0"/>
        <w:autoSpaceDN w:val="0"/>
        <w:adjustRightInd w:val="0"/>
        <w:spacing w:line="240" w:lineRule="auto"/>
        <w:ind w:firstLine="708"/>
        <w:jc w:val="left"/>
        <w:rPr>
          <w:rFonts w:cs="Times New Roman"/>
          <w:szCs w:val="24"/>
        </w:rPr>
      </w:pPr>
      <w:r w:rsidRPr="00A6356B">
        <w:rPr>
          <w:rFonts w:cs="Times New Roman"/>
          <w:szCs w:val="24"/>
        </w:rPr>
        <w:t>Fórmula:</w:t>
      </w:r>
    </w:p>
    <w:p w:rsidR="006A7254" w:rsidRPr="00A6356B" w:rsidRDefault="006A7254" w:rsidP="0002058A">
      <w:pPr>
        <w:autoSpaceDE w:val="0"/>
        <w:autoSpaceDN w:val="0"/>
        <w:adjustRightInd w:val="0"/>
        <w:spacing w:line="240" w:lineRule="auto"/>
        <w:ind w:firstLine="708"/>
        <w:jc w:val="center"/>
        <w:rPr>
          <w:rFonts w:cs="Times New Roman"/>
          <w:szCs w:val="24"/>
          <w:u w:val="single"/>
        </w:rPr>
      </w:pPr>
      <w:r w:rsidRPr="00A6356B">
        <w:rPr>
          <w:rFonts w:cs="Times New Roman"/>
          <w:szCs w:val="24"/>
        </w:rPr>
        <w:t xml:space="preserve">Liquidez Geral = </w:t>
      </w:r>
      <w:r w:rsidRPr="00A6356B">
        <w:rPr>
          <w:rFonts w:cs="Times New Roman"/>
          <w:szCs w:val="24"/>
          <w:u w:val="single"/>
        </w:rPr>
        <w:t xml:space="preserve">Ativo Circulante + Realizável </w:t>
      </w:r>
      <w:proofErr w:type="gramStart"/>
      <w:r w:rsidRPr="00A6356B">
        <w:rPr>
          <w:rFonts w:cs="Times New Roman"/>
          <w:szCs w:val="24"/>
          <w:u w:val="single"/>
        </w:rPr>
        <w:t>a Longo Prazo</w:t>
      </w:r>
      <w:proofErr w:type="gramEnd"/>
    </w:p>
    <w:p w:rsidR="006A7254" w:rsidRDefault="006A7254" w:rsidP="0002058A">
      <w:pPr>
        <w:autoSpaceDE w:val="0"/>
        <w:autoSpaceDN w:val="0"/>
        <w:adjustRightInd w:val="0"/>
        <w:spacing w:line="240" w:lineRule="auto"/>
        <w:ind w:firstLine="708"/>
        <w:jc w:val="center"/>
        <w:rPr>
          <w:rFonts w:cs="Times New Roman"/>
          <w:szCs w:val="24"/>
        </w:rPr>
      </w:pPr>
      <w:r w:rsidRPr="00A6356B">
        <w:rPr>
          <w:rFonts w:cs="Times New Roman"/>
          <w:szCs w:val="24"/>
        </w:rPr>
        <w:t xml:space="preserve">Passivo Circulante + Exigível </w:t>
      </w:r>
      <w:proofErr w:type="gramStart"/>
      <w:r w:rsidRPr="00A6356B">
        <w:rPr>
          <w:rFonts w:cs="Times New Roman"/>
          <w:szCs w:val="24"/>
        </w:rPr>
        <w:t>a Longo Prazo</w:t>
      </w:r>
      <w:proofErr w:type="gramEnd"/>
    </w:p>
    <w:p w:rsidR="0002058A" w:rsidRDefault="0002058A" w:rsidP="0002058A">
      <w:pPr>
        <w:autoSpaceDE w:val="0"/>
        <w:autoSpaceDN w:val="0"/>
        <w:adjustRightInd w:val="0"/>
        <w:spacing w:line="240" w:lineRule="auto"/>
        <w:ind w:firstLine="708"/>
        <w:jc w:val="center"/>
        <w:rPr>
          <w:rFonts w:cs="Times New Roman"/>
          <w:szCs w:val="24"/>
        </w:rPr>
      </w:pPr>
    </w:p>
    <w:p w:rsidR="006A7254" w:rsidRPr="00A6356B" w:rsidRDefault="009F7F05" w:rsidP="00402E2F">
      <w:pPr>
        <w:pStyle w:val="PargrafodaLista"/>
        <w:numPr>
          <w:ilvl w:val="0"/>
          <w:numId w:val="18"/>
        </w:numPr>
        <w:ind w:left="284" w:hanging="284"/>
        <w:rPr>
          <w:rFonts w:cs="Times New Roman"/>
          <w:b/>
        </w:rPr>
      </w:pPr>
      <w:r w:rsidRPr="00A6356B">
        <w:rPr>
          <w:rFonts w:cs="Times New Roman"/>
          <w:b/>
        </w:rPr>
        <w:t xml:space="preserve"> Liquidez Imediata </w:t>
      </w:r>
    </w:p>
    <w:p w:rsidR="006A7254" w:rsidRPr="00A6356B" w:rsidRDefault="006A7254" w:rsidP="00402E2F">
      <w:pPr>
        <w:rPr>
          <w:rFonts w:cs="Times New Roman"/>
          <w:szCs w:val="24"/>
        </w:rPr>
      </w:pPr>
      <w:r w:rsidRPr="00A6356B">
        <w:rPr>
          <w:rFonts w:cs="Times New Roman"/>
          <w:szCs w:val="24"/>
        </w:rPr>
        <w:t xml:space="preserve">Segundo Neto (2010, p. 163) este indicador “revela a porcentagem das dívidas </w:t>
      </w:r>
      <w:proofErr w:type="gramStart"/>
      <w:r w:rsidRPr="00A6356B">
        <w:rPr>
          <w:rFonts w:cs="Times New Roman"/>
          <w:szCs w:val="24"/>
        </w:rPr>
        <w:t>a curto prazo</w:t>
      </w:r>
      <w:proofErr w:type="gramEnd"/>
      <w:r w:rsidRPr="00A6356B">
        <w:rPr>
          <w:rFonts w:cs="Times New Roman"/>
          <w:szCs w:val="24"/>
        </w:rPr>
        <w:t xml:space="preserve"> (circulante) em condições de serem liquidadas imediatamente. Esse quociente é normalmente baixo pelo pouco interesse das empresas em manter recursos monetários em caixa, ativo operacionalmente de reduzida rentabilidade”.</w:t>
      </w:r>
    </w:p>
    <w:p w:rsidR="006A7254" w:rsidRPr="00A6356B" w:rsidRDefault="006A7254" w:rsidP="00402E2F">
      <w:pPr>
        <w:rPr>
          <w:rFonts w:cs="Times New Roman"/>
          <w:szCs w:val="24"/>
        </w:rPr>
      </w:pPr>
      <w:r w:rsidRPr="00A6356B">
        <w:rPr>
          <w:rFonts w:cs="Times New Roman"/>
          <w:szCs w:val="24"/>
        </w:rPr>
        <w:t>Silva (2010, p. 135) afirma que este indicador não tem muita relevância, e que “este índice tem maior significado quando o analisamos de forma conjunta com o fluxo mensal de caixa da empresa, ou utilizamos a média dos saldos mensais das contas, fugindo, assim de situações anormais que porventura tenham ocorrido à véspera do levantamento do Balanço”. Este índice é calculado conforme abaixo:</w:t>
      </w:r>
    </w:p>
    <w:p w:rsidR="006A7254" w:rsidRPr="00A6356B" w:rsidRDefault="006A7254" w:rsidP="0002058A">
      <w:pPr>
        <w:spacing w:line="240" w:lineRule="auto"/>
        <w:jc w:val="center"/>
        <w:rPr>
          <w:rFonts w:cs="Times New Roman"/>
          <w:szCs w:val="24"/>
        </w:rPr>
      </w:pPr>
      <w:r w:rsidRPr="00A6356B">
        <w:rPr>
          <w:rFonts w:cs="Times New Roman"/>
          <w:szCs w:val="24"/>
        </w:rPr>
        <w:t xml:space="preserve">Liquidez Imediata =   </w:t>
      </w:r>
      <w:r w:rsidRPr="00A6356B">
        <w:rPr>
          <w:rFonts w:cs="Times New Roman"/>
          <w:szCs w:val="24"/>
          <w:u w:val="single"/>
        </w:rPr>
        <w:t xml:space="preserve">       Disponível___</w:t>
      </w:r>
    </w:p>
    <w:p w:rsidR="006A7254" w:rsidRDefault="006A7254" w:rsidP="0002058A">
      <w:pPr>
        <w:spacing w:line="240" w:lineRule="auto"/>
        <w:ind w:left="2123"/>
        <w:jc w:val="center"/>
        <w:rPr>
          <w:rFonts w:cs="Times New Roman"/>
          <w:szCs w:val="24"/>
        </w:rPr>
      </w:pPr>
      <w:r w:rsidRPr="00A6356B">
        <w:rPr>
          <w:rFonts w:cs="Times New Roman"/>
          <w:szCs w:val="24"/>
        </w:rPr>
        <w:t>Passivo Circulante</w:t>
      </w:r>
    </w:p>
    <w:p w:rsidR="0002058A" w:rsidRPr="00A6356B" w:rsidRDefault="0002058A" w:rsidP="0002058A">
      <w:pPr>
        <w:spacing w:line="240" w:lineRule="auto"/>
        <w:ind w:left="2123"/>
        <w:jc w:val="center"/>
        <w:rPr>
          <w:rFonts w:cs="Times New Roman"/>
          <w:szCs w:val="24"/>
        </w:rPr>
      </w:pPr>
    </w:p>
    <w:p w:rsidR="006A7254" w:rsidRPr="00A6356B" w:rsidRDefault="00147437" w:rsidP="00402E2F">
      <w:pPr>
        <w:pStyle w:val="PargrafodaLista"/>
        <w:numPr>
          <w:ilvl w:val="0"/>
          <w:numId w:val="18"/>
        </w:numPr>
        <w:autoSpaceDE w:val="0"/>
        <w:autoSpaceDN w:val="0"/>
        <w:adjustRightInd w:val="0"/>
        <w:ind w:left="426" w:hanging="426"/>
        <w:rPr>
          <w:rFonts w:cs="Times New Roman"/>
          <w:b/>
        </w:rPr>
      </w:pPr>
      <w:r w:rsidRPr="00A6356B">
        <w:rPr>
          <w:rFonts w:cs="Times New Roman"/>
          <w:b/>
        </w:rPr>
        <w:t>Liquidez Seca</w:t>
      </w:r>
    </w:p>
    <w:p w:rsidR="006A7254" w:rsidRPr="00A6356B" w:rsidRDefault="006A7254" w:rsidP="00402E2F">
      <w:pPr>
        <w:autoSpaceDE w:val="0"/>
        <w:autoSpaceDN w:val="0"/>
        <w:adjustRightInd w:val="0"/>
        <w:ind w:firstLine="708"/>
        <w:rPr>
          <w:rFonts w:cs="Times New Roman"/>
          <w:szCs w:val="24"/>
        </w:rPr>
      </w:pPr>
      <w:r w:rsidRPr="00A6356B">
        <w:rPr>
          <w:rFonts w:cs="Times New Roman"/>
          <w:szCs w:val="24"/>
        </w:rPr>
        <w:t xml:space="preserve">Silva (2006, p. 314) afirma que o Indicador de Liquidez Seca “indica quanto a empresa possui em disponibilidades, aplicações financeiras </w:t>
      </w:r>
      <w:proofErr w:type="gramStart"/>
      <w:r w:rsidRPr="00A6356B">
        <w:rPr>
          <w:rFonts w:cs="Times New Roman"/>
          <w:szCs w:val="24"/>
        </w:rPr>
        <w:t>a curto prazo</w:t>
      </w:r>
      <w:proofErr w:type="gramEnd"/>
      <w:r w:rsidRPr="00A6356B">
        <w:rPr>
          <w:rFonts w:cs="Times New Roman"/>
          <w:szCs w:val="24"/>
        </w:rPr>
        <w:t xml:space="preserve"> e duplicatas a receber, para fazer face a seu passivo circulante”. O autor ainda afirma que este indicador está relacionado ao indicador de Liquidez Corrente, o qual informa quantos reais a empresa </w:t>
      </w:r>
      <w:proofErr w:type="gramStart"/>
      <w:r w:rsidRPr="00A6356B">
        <w:rPr>
          <w:rFonts w:cs="Times New Roman"/>
          <w:szCs w:val="24"/>
        </w:rPr>
        <w:t>tem disponível e conversível</w:t>
      </w:r>
      <w:proofErr w:type="gramEnd"/>
      <w:r w:rsidRPr="00A6356B">
        <w:rPr>
          <w:rFonts w:cs="Times New Roman"/>
          <w:szCs w:val="24"/>
        </w:rPr>
        <w:t xml:space="preserve"> em dinheiro em curto prazo com relação as suas dívidas no curto prazo.</w:t>
      </w:r>
    </w:p>
    <w:p w:rsidR="006A7254" w:rsidRPr="00A6356B" w:rsidRDefault="006A7254" w:rsidP="00402E2F">
      <w:pPr>
        <w:autoSpaceDE w:val="0"/>
        <w:autoSpaceDN w:val="0"/>
        <w:adjustRightInd w:val="0"/>
        <w:ind w:firstLine="708"/>
        <w:rPr>
          <w:rFonts w:cs="Times New Roman"/>
          <w:szCs w:val="24"/>
        </w:rPr>
      </w:pPr>
      <w:r w:rsidRPr="00A6356B">
        <w:rPr>
          <w:rFonts w:cs="Times New Roman"/>
          <w:szCs w:val="24"/>
        </w:rPr>
        <w:t xml:space="preserve">Segundo </w:t>
      </w:r>
      <w:proofErr w:type="spellStart"/>
      <w:r w:rsidRPr="00A6356B">
        <w:rPr>
          <w:rFonts w:cs="Times New Roman"/>
          <w:szCs w:val="24"/>
        </w:rPr>
        <w:t>Iudícibus</w:t>
      </w:r>
      <w:proofErr w:type="spellEnd"/>
      <w:r w:rsidRPr="00A6356B">
        <w:rPr>
          <w:rFonts w:cs="Times New Roman"/>
          <w:szCs w:val="24"/>
        </w:rPr>
        <w:t xml:space="preserve"> (2010, p. 96) “esta é uma variante muito adequada para se avaliar conservadoramente a situação de liquidez da empresa. Eliminando-se os estoques do </w:t>
      </w:r>
      <w:r w:rsidRPr="00A6356B">
        <w:rPr>
          <w:rFonts w:cs="Times New Roman"/>
          <w:szCs w:val="24"/>
        </w:rPr>
        <w:lastRenderedPageBreak/>
        <w:t>numerado</w:t>
      </w:r>
      <w:r w:rsidR="00194406">
        <w:rPr>
          <w:rFonts w:cs="Times New Roman"/>
          <w:szCs w:val="24"/>
        </w:rPr>
        <w:t>r</w:t>
      </w:r>
      <w:r w:rsidRPr="00A6356B">
        <w:rPr>
          <w:rFonts w:cs="Times New Roman"/>
          <w:szCs w:val="24"/>
        </w:rPr>
        <w:t>, estamos eliminando uma fonte de incerteza”. É calculado da seguinte forma:</w:t>
      </w:r>
    </w:p>
    <w:p w:rsidR="006A7254" w:rsidRPr="00A6356B" w:rsidRDefault="006A7254" w:rsidP="0002058A">
      <w:pPr>
        <w:autoSpaceDE w:val="0"/>
        <w:autoSpaceDN w:val="0"/>
        <w:adjustRightInd w:val="0"/>
        <w:spacing w:line="240" w:lineRule="auto"/>
        <w:ind w:firstLine="708"/>
        <w:jc w:val="center"/>
        <w:rPr>
          <w:rFonts w:cs="Times New Roman"/>
          <w:szCs w:val="24"/>
        </w:rPr>
      </w:pPr>
      <w:r w:rsidRPr="00A6356B">
        <w:rPr>
          <w:rFonts w:cs="Times New Roman"/>
          <w:szCs w:val="24"/>
        </w:rPr>
        <w:t xml:space="preserve">Liquidez Seca = </w:t>
      </w:r>
      <w:r w:rsidRPr="00A6356B">
        <w:rPr>
          <w:rFonts w:cs="Times New Roman"/>
          <w:szCs w:val="24"/>
          <w:u w:val="single"/>
        </w:rPr>
        <w:t>Ativo Circulante - Estoques</w:t>
      </w:r>
    </w:p>
    <w:p w:rsidR="006A7254" w:rsidRDefault="0002058A" w:rsidP="0002058A">
      <w:pPr>
        <w:autoSpaceDE w:val="0"/>
        <w:autoSpaceDN w:val="0"/>
        <w:adjustRightInd w:val="0"/>
        <w:spacing w:line="240" w:lineRule="auto"/>
        <w:ind w:firstLine="708"/>
        <w:jc w:val="center"/>
        <w:rPr>
          <w:rFonts w:cs="Times New Roman"/>
          <w:szCs w:val="24"/>
        </w:rPr>
      </w:pPr>
      <w:r>
        <w:rPr>
          <w:rFonts w:cs="Times New Roman"/>
          <w:szCs w:val="24"/>
        </w:rPr>
        <w:t xml:space="preserve">                       </w:t>
      </w:r>
      <w:r w:rsidR="006A7254" w:rsidRPr="00A6356B">
        <w:rPr>
          <w:rFonts w:cs="Times New Roman"/>
          <w:szCs w:val="24"/>
        </w:rPr>
        <w:t>Passivo Circulante</w:t>
      </w:r>
    </w:p>
    <w:p w:rsidR="006A7254" w:rsidRPr="002B30C6" w:rsidRDefault="009F7F05" w:rsidP="00A6356B">
      <w:pPr>
        <w:pStyle w:val="Ttulo3"/>
        <w:rPr>
          <w:rFonts w:eastAsiaTheme="minorHAnsi"/>
        </w:rPr>
      </w:pPr>
      <w:r w:rsidRPr="002B30C6">
        <w:rPr>
          <w:rFonts w:eastAsiaTheme="minorHAnsi"/>
        </w:rPr>
        <w:t>Indicadores de endividamento</w:t>
      </w:r>
    </w:p>
    <w:p w:rsidR="006A7254" w:rsidRPr="00A6356B" w:rsidRDefault="006A7254" w:rsidP="00402E2F">
      <w:pPr>
        <w:rPr>
          <w:rFonts w:cs="Times New Roman"/>
          <w:szCs w:val="24"/>
        </w:rPr>
      </w:pPr>
      <w:r w:rsidRPr="00A6356B">
        <w:rPr>
          <w:rFonts w:cs="Times New Roman"/>
          <w:szCs w:val="24"/>
        </w:rPr>
        <w:t>Conforme Marion (2010, p. 93) “são os indicadores de endividamento que nos informam se a empresa se utiliza mais de recursos de terceiros ou de recursos dos proprietários”. O autor afirma que a partir destes indicadores é possível saber se os vencimentos dos recursos de terceiros são na sua maioria a curto ou longo prazo.</w:t>
      </w:r>
    </w:p>
    <w:p w:rsidR="006A7254" w:rsidRPr="00A6356B" w:rsidRDefault="006A7254" w:rsidP="00402E2F">
      <w:pPr>
        <w:rPr>
          <w:rFonts w:cs="Times New Roman"/>
          <w:szCs w:val="24"/>
        </w:rPr>
      </w:pPr>
      <w:r w:rsidRPr="00A6356B">
        <w:rPr>
          <w:rFonts w:cs="Times New Roman"/>
          <w:szCs w:val="24"/>
        </w:rPr>
        <w:t xml:space="preserve">Segundo </w:t>
      </w:r>
      <w:proofErr w:type="spellStart"/>
      <w:r w:rsidRPr="00A6356B">
        <w:rPr>
          <w:rFonts w:cs="Times New Roman"/>
          <w:szCs w:val="24"/>
        </w:rPr>
        <w:t>Iudícibus</w:t>
      </w:r>
      <w:proofErr w:type="spellEnd"/>
      <w:r w:rsidRPr="00A6356B">
        <w:rPr>
          <w:rFonts w:cs="Times New Roman"/>
          <w:szCs w:val="24"/>
        </w:rPr>
        <w:t xml:space="preserve"> (2010, p. 97) “estes quocientes relacionam as fontes de fundos entre si, procurando retratar a posição relativa do capital próprio com relação ao capital de terceiros. São quocientes de muita importância, pois indicam a relação de dependência da empresa com relação ao capital de terceiros”.</w:t>
      </w:r>
    </w:p>
    <w:p w:rsidR="006A7254" w:rsidRPr="00A6356B" w:rsidRDefault="009F7F05" w:rsidP="00402E2F">
      <w:pPr>
        <w:spacing w:after="200"/>
        <w:ind w:left="360" w:hanging="360"/>
        <w:rPr>
          <w:rFonts w:cs="Times New Roman"/>
          <w:b/>
          <w:szCs w:val="24"/>
        </w:rPr>
      </w:pPr>
      <w:r w:rsidRPr="00A6356B">
        <w:rPr>
          <w:rFonts w:cs="Times New Roman"/>
          <w:b/>
          <w:szCs w:val="24"/>
        </w:rPr>
        <w:t>a)</w:t>
      </w:r>
      <w:r w:rsidR="006A7254" w:rsidRPr="00A6356B">
        <w:rPr>
          <w:rFonts w:cs="Times New Roman"/>
          <w:b/>
          <w:szCs w:val="24"/>
        </w:rPr>
        <w:t xml:space="preserve"> Participação de capital de terceiros sobre os recursos totais</w:t>
      </w:r>
    </w:p>
    <w:p w:rsidR="006A7254" w:rsidRPr="00A6356B" w:rsidRDefault="006A7254" w:rsidP="00402E2F">
      <w:pPr>
        <w:rPr>
          <w:rFonts w:cs="Times New Roman"/>
          <w:szCs w:val="24"/>
        </w:rPr>
      </w:pPr>
      <w:r w:rsidRPr="00A6356B">
        <w:rPr>
          <w:rFonts w:cs="Times New Roman"/>
          <w:szCs w:val="24"/>
        </w:rPr>
        <w:t>Representa o endividamento da empresa junto a terceiros. Segundo Silva (2010, p. 139) trabalhar com o capital de terceiros “do ponto de vista financeiro pode ser preocupante, porque revela uma menor liberdade de decisões financeiras da empresa ou uma maior dependência para com terceiros”.</w:t>
      </w:r>
    </w:p>
    <w:p w:rsidR="006A7254" w:rsidRPr="00A6356B" w:rsidRDefault="006A7254" w:rsidP="00402E2F">
      <w:pPr>
        <w:rPr>
          <w:rFonts w:cs="Times New Roman"/>
          <w:szCs w:val="24"/>
        </w:rPr>
      </w:pPr>
      <w:proofErr w:type="spellStart"/>
      <w:r w:rsidRPr="00A6356B">
        <w:rPr>
          <w:rFonts w:cs="Times New Roman"/>
          <w:szCs w:val="24"/>
        </w:rPr>
        <w:t>Iudícibus</w:t>
      </w:r>
      <w:proofErr w:type="spellEnd"/>
      <w:r w:rsidRPr="00A6356B">
        <w:rPr>
          <w:rFonts w:cs="Times New Roman"/>
          <w:szCs w:val="24"/>
        </w:rPr>
        <w:t xml:space="preserve"> (2010, p. 98) afirma que o quociente de participação de capital de terceiros sobre os recursos totais “também significa qual a porcentagem do ativo total financiada com recursos de terceiros”. Este quociente é calculado conforme abaixo:</w:t>
      </w:r>
    </w:p>
    <w:p w:rsidR="006A7254" w:rsidRPr="00A6356B" w:rsidRDefault="006A7254" w:rsidP="0002058A">
      <w:pPr>
        <w:spacing w:line="240" w:lineRule="auto"/>
        <w:ind w:left="360" w:firstLine="0"/>
        <w:jc w:val="center"/>
        <w:rPr>
          <w:rFonts w:cs="Times New Roman"/>
          <w:szCs w:val="24"/>
        </w:rPr>
      </w:pPr>
      <w:r w:rsidRPr="00A6356B">
        <w:rPr>
          <w:rFonts w:cs="Times New Roman"/>
          <w:szCs w:val="24"/>
        </w:rPr>
        <w:t xml:space="preserve">Grau de Endividamento = </w:t>
      </w:r>
      <w:r w:rsidRPr="00A6356B">
        <w:rPr>
          <w:rFonts w:cs="Times New Roman"/>
          <w:szCs w:val="24"/>
          <w:u w:val="single"/>
        </w:rPr>
        <w:t>Capitais de Terceiros (PC + ELP)</w:t>
      </w:r>
      <w:proofErr w:type="gramStart"/>
      <w:r w:rsidRPr="00A6356B">
        <w:rPr>
          <w:rFonts w:cs="Times New Roman"/>
          <w:szCs w:val="24"/>
          <w:u w:val="single"/>
        </w:rPr>
        <w:t xml:space="preserve">  </w:t>
      </w:r>
      <w:r w:rsidRPr="00A6356B">
        <w:rPr>
          <w:rFonts w:cs="Times New Roman"/>
          <w:szCs w:val="24"/>
        </w:rPr>
        <w:t xml:space="preserve">  </w:t>
      </w:r>
      <w:proofErr w:type="gramEnd"/>
      <w:r w:rsidRPr="00A6356B">
        <w:rPr>
          <w:rFonts w:cs="Times New Roman"/>
          <w:szCs w:val="24"/>
        </w:rPr>
        <w:t>x 100</w:t>
      </w:r>
    </w:p>
    <w:p w:rsidR="006A7254" w:rsidRDefault="006A7254" w:rsidP="0002058A">
      <w:pPr>
        <w:ind w:left="1776" w:firstLine="348"/>
        <w:jc w:val="center"/>
        <w:rPr>
          <w:rFonts w:cs="Times New Roman"/>
          <w:szCs w:val="24"/>
        </w:rPr>
      </w:pPr>
      <w:r w:rsidRPr="00A6356B">
        <w:rPr>
          <w:rFonts w:cs="Times New Roman"/>
          <w:szCs w:val="24"/>
        </w:rPr>
        <w:t>Patrimônio Líquido</w:t>
      </w:r>
    </w:p>
    <w:p w:rsidR="006A7254" w:rsidRPr="00A6356B" w:rsidRDefault="006A7254" w:rsidP="00402E2F">
      <w:pPr>
        <w:pStyle w:val="PargrafodaLista"/>
        <w:numPr>
          <w:ilvl w:val="0"/>
          <w:numId w:val="20"/>
        </w:numPr>
        <w:spacing w:after="200"/>
        <w:ind w:left="426" w:hanging="426"/>
        <w:rPr>
          <w:rFonts w:cs="Times New Roman"/>
          <w:b/>
        </w:rPr>
      </w:pPr>
      <w:r w:rsidRPr="00A6356B">
        <w:rPr>
          <w:rFonts w:cs="Times New Roman"/>
          <w:b/>
        </w:rPr>
        <w:t>Participação das dívidas de curto prazo sobre o endividamento total</w:t>
      </w:r>
    </w:p>
    <w:p w:rsidR="006A7254" w:rsidRPr="00A6356B" w:rsidRDefault="006A7254" w:rsidP="00402E2F">
      <w:pPr>
        <w:spacing w:after="200"/>
        <w:rPr>
          <w:rFonts w:cs="Times New Roman"/>
          <w:szCs w:val="24"/>
        </w:rPr>
      </w:pPr>
      <w:r w:rsidRPr="00A6356B">
        <w:rPr>
          <w:rFonts w:cs="Times New Roman"/>
          <w:szCs w:val="24"/>
        </w:rPr>
        <w:t xml:space="preserve">Segundo </w:t>
      </w:r>
      <w:proofErr w:type="spellStart"/>
      <w:r w:rsidRPr="00A6356B">
        <w:rPr>
          <w:rFonts w:cs="Times New Roman"/>
          <w:szCs w:val="24"/>
        </w:rPr>
        <w:t>Iudícibus</w:t>
      </w:r>
      <w:proofErr w:type="spellEnd"/>
      <w:r w:rsidRPr="00A6356B">
        <w:rPr>
          <w:rFonts w:cs="Times New Roman"/>
          <w:szCs w:val="24"/>
        </w:rPr>
        <w:t xml:space="preserve"> (2010, p. 98) “representa a composição do Endividamento Total ou qual a parcela que se vence </w:t>
      </w:r>
      <w:proofErr w:type="gramStart"/>
      <w:r w:rsidRPr="00A6356B">
        <w:rPr>
          <w:rFonts w:cs="Times New Roman"/>
          <w:szCs w:val="24"/>
        </w:rPr>
        <w:t>a Curto Prazo</w:t>
      </w:r>
      <w:proofErr w:type="gramEnd"/>
      <w:r w:rsidRPr="00A6356B">
        <w:rPr>
          <w:rFonts w:cs="Times New Roman"/>
          <w:szCs w:val="24"/>
        </w:rPr>
        <w:t>, no Endividamento Total”.</w:t>
      </w:r>
    </w:p>
    <w:p w:rsidR="006A7254" w:rsidRPr="00A6356B" w:rsidRDefault="006A7254" w:rsidP="00F3169A">
      <w:pPr>
        <w:spacing w:line="240" w:lineRule="auto"/>
        <w:ind w:left="360" w:firstLine="0"/>
        <w:jc w:val="center"/>
        <w:rPr>
          <w:rFonts w:cs="Times New Roman"/>
          <w:szCs w:val="24"/>
          <w:u w:val="single"/>
        </w:rPr>
      </w:pPr>
      <w:r w:rsidRPr="00A6356B">
        <w:rPr>
          <w:rFonts w:cs="Times New Roman"/>
          <w:szCs w:val="24"/>
        </w:rPr>
        <w:t xml:space="preserve">Grau de Endividamento =    </w:t>
      </w:r>
      <w:r w:rsidRPr="00A6356B">
        <w:rPr>
          <w:rFonts w:cs="Times New Roman"/>
          <w:szCs w:val="24"/>
          <w:u w:val="single"/>
        </w:rPr>
        <w:t xml:space="preserve">    Exigível Total__</w:t>
      </w:r>
    </w:p>
    <w:p w:rsidR="009F7F05" w:rsidRDefault="00F3169A" w:rsidP="00F3169A">
      <w:pPr>
        <w:spacing w:after="200" w:line="240" w:lineRule="auto"/>
        <w:ind w:left="4956" w:firstLine="0"/>
        <w:rPr>
          <w:rFonts w:cs="Times New Roman"/>
          <w:szCs w:val="24"/>
        </w:rPr>
      </w:pPr>
      <w:r>
        <w:rPr>
          <w:rFonts w:cs="Times New Roman"/>
          <w:szCs w:val="24"/>
        </w:rPr>
        <w:t xml:space="preserve">   </w:t>
      </w:r>
      <w:r w:rsidR="006A7254" w:rsidRPr="00A6356B">
        <w:rPr>
          <w:rFonts w:cs="Times New Roman"/>
          <w:szCs w:val="24"/>
        </w:rPr>
        <w:t>Patrimônio Líquido</w:t>
      </w:r>
    </w:p>
    <w:p w:rsidR="006A7254" w:rsidRPr="00A6356B" w:rsidRDefault="009F7F05" w:rsidP="00402E2F">
      <w:pPr>
        <w:pStyle w:val="PargrafodaLista"/>
        <w:numPr>
          <w:ilvl w:val="0"/>
          <w:numId w:val="20"/>
        </w:numPr>
        <w:spacing w:after="200"/>
        <w:ind w:left="426" w:hanging="426"/>
        <w:rPr>
          <w:rFonts w:cs="Times New Roman"/>
          <w:b/>
        </w:rPr>
      </w:pPr>
      <w:r w:rsidRPr="00A6356B">
        <w:rPr>
          <w:rFonts w:cs="Times New Roman"/>
          <w:b/>
        </w:rPr>
        <w:t>I</w:t>
      </w:r>
      <w:r w:rsidR="006A7254" w:rsidRPr="00A6356B">
        <w:rPr>
          <w:rFonts w:cs="Times New Roman"/>
          <w:b/>
        </w:rPr>
        <w:t>mobilização do Patrimônio Líquido</w:t>
      </w:r>
    </w:p>
    <w:p w:rsidR="006A7254" w:rsidRPr="00A6356B" w:rsidRDefault="006A7254" w:rsidP="00402E2F">
      <w:pPr>
        <w:rPr>
          <w:rFonts w:cs="Times New Roman"/>
          <w:szCs w:val="24"/>
        </w:rPr>
      </w:pPr>
      <w:r w:rsidRPr="00A6356B">
        <w:rPr>
          <w:rFonts w:cs="Times New Roman"/>
          <w:szCs w:val="24"/>
        </w:rPr>
        <w:t xml:space="preserve">Este indicador mostra quanto do Patrimônio Líquido está comprometido no financiamento dos ativos permanentes (NETO, 2010). </w:t>
      </w:r>
    </w:p>
    <w:p w:rsidR="006A7254" w:rsidRPr="00A6356B" w:rsidRDefault="006A7254" w:rsidP="00402E2F">
      <w:pPr>
        <w:rPr>
          <w:rFonts w:cs="Times New Roman"/>
          <w:szCs w:val="24"/>
        </w:rPr>
      </w:pPr>
      <w:r w:rsidRPr="00A6356B">
        <w:rPr>
          <w:rFonts w:cs="Times New Roman"/>
          <w:szCs w:val="24"/>
        </w:rPr>
        <w:t xml:space="preserve">Em concordância Silva (2010, p. 141) define que “a análise deste índice possibilita a identificação de quanto do Patrimônio Líquido da empresa está aplicado no Ativo </w:t>
      </w:r>
      <w:r w:rsidRPr="00A6356B">
        <w:rPr>
          <w:rFonts w:cs="Times New Roman"/>
          <w:szCs w:val="24"/>
        </w:rPr>
        <w:lastRenderedPageBreak/>
        <w:t>Permanente, revelando assim o volume de Capital Circulante Próprio”. Neste caso quanto menor o índice melhor.</w:t>
      </w:r>
    </w:p>
    <w:p w:rsidR="006A7254" w:rsidRPr="00A6356B" w:rsidRDefault="006A7254" w:rsidP="00F3169A">
      <w:pPr>
        <w:spacing w:line="240" w:lineRule="auto"/>
        <w:ind w:left="360" w:firstLine="0"/>
        <w:jc w:val="center"/>
        <w:rPr>
          <w:rFonts w:cs="Times New Roman"/>
          <w:szCs w:val="24"/>
          <w:u w:val="single"/>
        </w:rPr>
      </w:pPr>
      <w:r w:rsidRPr="00A6356B">
        <w:rPr>
          <w:rFonts w:cs="Times New Roman"/>
          <w:szCs w:val="24"/>
        </w:rPr>
        <w:t>Imobilização do Patrimônio Líquido =</w:t>
      </w:r>
      <w:proofErr w:type="gramStart"/>
      <w:r w:rsidRPr="00A6356B">
        <w:rPr>
          <w:rFonts w:cs="Times New Roman"/>
          <w:szCs w:val="24"/>
        </w:rPr>
        <w:t xml:space="preserve"> </w:t>
      </w:r>
      <w:r w:rsidRPr="00A6356B">
        <w:rPr>
          <w:rFonts w:cs="Times New Roman"/>
          <w:szCs w:val="24"/>
          <w:u w:val="single"/>
        </w:rPr>
        <w:t xml:space="preserve">   </w:t>
      </w:r>
      <w:proofErr w:type="gramEnd"/>
      <w:r w:rsidRPr="00A6356B">
        <w:rPr>
          <w:rFonts w:cs="Times New Roman"/>
          <w:szCs w:val="24"/>
          <w:u w:val="single"/>
        </w:rPr>
        <w:t>Ativo Permanente</w:t>
      </w:r>
      <w:r w:rsidRPr="00A6356B">
        <w:rPr>
          <w:rFonts w:cs="Times New Roman"/>
          <w:szCs w:val="24"/>
        </w:rPr>
        <w:t>_ x 100</w:t>
      </w:r>
    </w:p>
    <w:p w:rsidR="006A7254" w:rsidRPr="00A6356B" w:rsidRDefault="006A7254" w:rsidP="00F3169A">
      <w:pPr>
        <w:spacing w:after="200" w:line="240" w:lineRule="auto"/>
        <w:ind w:left="3192" w:firstLine="348"/>
        <w:jc w:val="center"/>
        <w:rPr>
          <w:rFonts w:cs="Times New Roman"/>
          <w:szCs w:val="24"/>
        </w:rPr>
      </w:pPr>
      <w:r w:rsidRPr="00A6356B">
        <w:rPr>
          <w:rFonts w:cs="Times New Roman"/>
          <w:szCs w:val="24"/>
        </w:rPr>
        <w:t>Patrimônio Líquido</w:t>
      </w:r>
    </w:p>
    <w:p w:rsidR="006A7254" w:rsidRPr="002B30C6" w:rsidRDefault="009F7F05" w:rsidP="00A6356B">
      <w:pPr>
        <w:pStyle w:val="Ttulo3"/>
        <w:rPr>
          <w:rFonts w:eastAsiaTheme="minorHAnsi"/>
        </w:rPr>
      </w:pPr>
      <w:r w:rsidRPr="002B30C6">
        <w:rPr>
          <w:rFonts w:eastAsiaTheme="minorHAnsi"/>
        </w:rPr>
        <w:t>Indicadores de rentabilidade</w:t>
      </w:r>
    </w:p>
    <w:p w:rsidR="009F7F05" w:rsidRPr="00A6356B" w:rsidRDefault="006A7254" w:rsidP="00402E2F">
      <w:pPr>
        <w:rPr>
          <w:rFonts w:cs="Times New Roman"/>
          <w:szCs w:val="24"/>
        </w:rPr>
      </w:pPr>
      <w:r w:rsidRPr="00A6356B">
        <w:rPr>
          <w:rFonts w:cs="Times New Roman"/>
          <w:szCs w:val="24"/>
        </w:rPr>
        <w:t>Marion (2008, p. 139), afirma que os Indicadores de Rentabilidade expressam a atenção para a: “rentabilidade da empresa, para seu potencial de vendas, para sua habilidade de gerar resultados, para a evolução das despesas”</w:t>
      </w:r>
      <w:r w:rsidR="009F7F05" w:rsidRPr="00A6356B">
        <w:rPr>
          <w:rFonts w:cs="Times New Roman"/>
          <w:szCs w:val="24"/>
        </w:rPr>
        <w:t>.</w:t>
      </w:r>
    </w:p>
    <w:p w:rsidR="006A7254" w:rsidRPr="00A6356B" w:rsidRDefault="006A7254" w:rsidP="00402E2F">
      <w:pPr>
        <w:rPr>
          <w:rFonts w:cs="Times New Roman"/>
          <w:szCs w:val="24"/>
        </w:rPr>
      </w:pPr>
      <w:r w:rsidRPr="00A6356B">
        <w:rPr>
          <w:rFonts w:cs="Times New Roman"/>
          <w:szCs w:val="24"/>
        </w:rPr>
        <w:t>De acordo com Neto (2009, p. 39) a análise da rentabilidade e lucratividade “é uma avaliação econômica do desempenho da empresa, dimensionando o retorno sobre os investimentos realizados e a lucratividade apresentada pelas vendas”.</w:t>
      </w:r>
    </w:p>
    <w:p w:rsidR="006A7254" w:rsidRPr="00A6356B" w:rsidRDefault="006A7254" w:rsidP="00402E2F">
      <w:pPr>
        <w:rPr>
          <w:rFonts w:cs="Times New Roman"/>
          <w:szCs w:val="24"/>
        </w:rPr>
      </w:pPr>
      <w:r w:rsidRPr="00A6356B">
        <w:rPr>
          <w:rFonts w:cs="Times New Roman"/>
          <w:szCs w:val="24"/>
        </w:rPr>
        <w:t>Estes indicadores analisam o desempenho econômico da empresa, portanto é medido através do capital inv</w:t>
      </w:r>
      <w:r w:rsidR="009F7F05" w:rsidRPr="00A6356B">
        <w:rPr>
          <w:rFonts w:cs="Times New Roman"/>
          <w:szCs w:val="24"/>
        </w:rPr>
        <w:t>estido nas contas de resultado.</w:t>
      </w:r>
    </w:p>
    <w:p w:rsidR="006A7254" w:rsidRDefault="006A7254" w:rsidP="00402E2F">
      <w:pPr>
        <w:autoSpaceDE w:val="0"/>
        <w:autoSpaceDN w:val="0"/>
        <w:adjustRightInd w:val="0"/>
        <w:ind w:firstLine="708"/>
        <w:rPr>
          <w:rFonts w:cs="Times New Roman"/>
          <w:szCs w:val="24"/>
        </w:rPr>
      </w:pPr>
      <w:r w:rsidRPr="00A6356B">
        <w:rPr>
          <w:rFonts w:cs="Times New Roman"/>
          <w:szCs w:val="24"/>
        </w:rPr>
        <w:t>Para Matarazzo (2003, p. 150), os indicadores de rentabilidade mostram a rentabilidade dos capitais investidos, ou seja, demonstram o grau de êxito da empresa em relação ao capital investido, e também informa qual a remuneração que estes recursos obtiveram em determinado período.</w:t>
      </w:r>
    </w:p>
    <w:p w:rsidR="006A7254" w:rsidRPr="00A6356B" w:rsidRDefault="009F7F05" w:rsidP="00402E2F">
      <w:pPr>
        <w:autoSpaceDE w:val="0"/>
        <w:autoSpaceDN w:val="0"/>
        <w:adjustRightInd w:val="0"/>
        <w:ind w:firstLine="0"/>
        <w:rPr>
          <w:rFonts w:cs="Times New Roman"/>
          <w:b/>
          <w:szCs w:val="24"/>
        </w:rPr>
      </w:pPr>
      <w:r w:rsidRPr="00A6356B">
        <w:rPr>
          <w:rFonts w:cs="Times New Roman"/>
          <w:b/>
          <w:szCs w:val="24"/>
        </w:rPr>
        <w:t>a)</w:t>
      </w:r>
      <w:r w:rsidR="006A7254" w:rsidRPr="00A6356B">
        <w:rPr>
          <w:rFonts w:cs="Times New Roman"/>
          <w:b/>
          <w:szCs w:val="24"/>
        </w:rPr>
        <w:t xml:space="preserve"> Rentabilidade ou Retorno Sobre o Ativo (ROA ou ROI)</w:t>
      </w:r>
    </w:p>
    <w:p w:rsidR="006A7254" w:rsidRPr="00A6356B" w:rsidRDefault="006A7254" w:rsidP="00402E2F">
      <w:pPr>
        <w:autoSpaceDE w:val="0"/>
        <w:autoSpaceDN w:val="0"/>
        <w:adjustRightInd w:val="0"/>
        <w:ind w:firstLine="360"/>
        <w:rPr>
          <w:rFonts w:cs="Times New Roman"/>
          <w:szCs w:val="24"/>
        </w:rPr>
      </w:pPr>
      <w:r w:rsidRPr="00A6356B">
        <w:rPr>
          <w:rFonts w:cs="Times New Roman"/>
          <w:szCs w:val="24"/>
        </w:rPr>
        <w:t>Conforme Silva (2010, p. 145) “este indicador tem por objetivo medir a EFICIÊNCIA global da alta direção da empresa na geração de lucros com seus investimentos totais”. Quanto maior o resultado, melhor.</w:t>
      </w:r>
    </w:p>
    <w:p w:rsidR="006A7254" w:rsidRPr="00A6356B" w:rsidRDefault="006A7254" w:rsidP="00F3169A">
      <w:pPr>
        <w:autoSpaceDE w:val="0"/>
        <w:autoSpaceDN w:val="0"/>
        <w:adjustRightInd w:val="0"/>
        <w:spacing w:line="240" w:lineRule="auto"/>
        <w:ind w:firstLine="360"/>
        <w:jc w:val="center"/>
        <w:rPr>
          <w:rFonts w:cs="Times New Roman"/>
          <w:szCs w:val="24"/>
          <w:u w:val="single"/>
        </w:rPr>
      </w:pPr>
      <w:r w:rsidRPr="00A6356B">
        <w:rPr>
          <w:rFonts w:cs="Times New Roman"/>
          <w:szCs w:val="24"/>
        </w:rPr>
        <w:t xml:space="preserve">ROA = </w:t>
      </w:r>
      <w:r w:rsidRPr="00A6356B">
        <w:rPr>
          <w:rFonts w:cs="Times New Roman"/>
          <w:szCs w:val="24"/>
          <w:u w:val="single"/>
        </w:rPr>
        <w:t xml:space="preserve">           Lucro Líquido______</w:t>
      </w:r>
      <w:r w:rsidRPr="00A6356B">
        <w:rPr>
          <w:rFonts w:cs="Times New Roman"/>
          <w:szCs w:val="24"/>
        </w:rPr>
        <w:t xml:space="preserve"> x 100</w:t>
      </w:r>
    </w:p>
    <w:p w:rsidR="006A7254" w:rsidRDefault="006A7254" w:rsidP="0002058A">
      <w:pPr>
        <w:autoSpaceDE w:val="0"/>
        <w:autoSpaceDN w:val="0"/>
        <w:adjustRightInd w:val="0"/>
        <w:spacing w:after="240" w:line="240" w:lineRule="auto"/>
        <w:ind w:firstLine="360"/>
        <w:jc w:val="center"/>
        <w:rPr>
          <w:rFonts w:cs="Times New Roman"/>
          <w:szCs w:val="24"/>
        </w:rPr>
      </w:pPr>
      <w:r w:rsidRPr="00A6356B">
        <w:rPr>
          <w:rFonts w:cs="Times New Roman"/>
          <w:szCs w:val="24"/>
        </w:rPr>
        <w:t>Ativo Total ou Ativo Médio</w:t>
      </w:r>
    </w:p>
    <w:p w:rsidR="006A7254" w:rsidRPr="00A6356B" w:rsidRDefault="006A7254" w:rsidP="00402E2F">
      <w:pPr>
        <w:pStyle w:val="PargrafodaLista"/>
        <w:numPr>
          <w:ilvl w:val="0"/>
          <w:numId w:val="21"/>
        </w:numPr>
        <w:autoSpaceDE w:val="0"/>
        <w:autoSpaceDN w:val="0"/>
        <w:adjustRightInd w:val="0"/>
        <w:ind w:left="426" w:hanging="426"/>
        <w:rPr>
          <w:rFonts w:cs="Times New Roman"/>
          <w:b/>
        </w:rPr>
      </w:pPr>
      <w:r w:rsidRPr="00A6356B">
        <w:rPr>
          <w:rFonts w:cs="Times New Roman"/>
          <w:b/>
        </w:rPr>
        <w:t>Rentabilidade do Patrimônio Líquido ou Retorno do Capital Próprio (ROE)</w:t>
      </w:r>
    </w:p>
    <w:p w:rsidR="006A7254" w:rsidRPr="00A6356B" w:rsidRDefault="006A7254" w:rsidP="00402E2F">
      <w:pPr>
        <w:autoSpaceDE w:val="0"/>
        <w:autoSpaceDN w:val="0"/>
        <w:adjustRightInd w:val="0"/>
        <w:ind w:firstLine="360"/>
        <w:rPr>
          <w:rFonts w:cs="Times New Roman"/>
          <w:szCs w:val="24"/>
        </w:rPr>
      </w:pPr>
      <w:r w:rsidRPr="00A6356B">
        <w:rPr>
          <w:rFonts w:cs="Times New Roman"/>
          <w:szCs w:val="24"/>
        </w:rPr>
        <w:t>Segundo Silva (2010, p. 145) “este indicador apresenta o retorno que os acionistas ou quotistas da empresa estão obtendo em relação aos seus investimentos na empresa”. Quanto maior o índice, melhor.</w:t>
      </w:r>
    </w:p>
    <w:p w:rsidR="006A7254" w:rsidRPr="00A6356B" w:rsidRDefault="006A7254" w:rsidP="00F3169A">
      <w:pPr>
        <w:autoSpaceDE w:val="0"/>
        <w:autoSpaceDN w:val="0"/>
        <w:adjustRightInd w:val="0"/>
        <w:spacing w:line="240" w:lineRule="auto"/>
        <w:ind w:firstLine="360"/>
        <w:jc w:val="center"/>
        <w:rPr>
          <w:rFonts w:cs="Times New Roman"/>
          <w:szCs w:val="24"/>
          <w:u w:val="single"/>
        </w:rPr>
      </w:pPr>
      <w:r w:rsidRPr="00A6356B">
        <w:rPr>
          <w:rFonts w:cs="Times New Roman"/>
          <w:szCs w:val="24"/>
        </w:rPr>
        <w:t xml:space="preserve">ROE = </w:t>
      </w:r>
      <w:r w:rsidRPr="00A6356B">
        <w:rPr>
          <w:rFonts w:cs="Times New Roman"/>
          <w:szCs w:val="24"/>
          <w:u w:val="single"/>
        </w:rPr>
        <w:t xml:space="preserve">                  Lucro Líquido_______</w:t>
      </w:r>
      <w:proofErr w:type="gramStart"/>
      <w:r w:rsidRPr="00A6356B">
        <w:rPr>
          <w:rFonts w:cs="Times New Roman"/>
          <w:szCs w:val="24"/>
          <w:u w:val="single"/>
        </w:rPr>
        <w:t xml:space="preserve"> </w:t>
      </w:r>
      <w:r w:rsidRPr="00A6356B">
        <w:rPr>
          <w:rFonts w:cs="Times New Roman"/>
          <w:szCs w:val="24"/>
        </w:rPr>
        <w:t xml:space="preserve"> </w:t>
      </w:r>
      <w:proofErr w:type="gramEnd"/>
      <w:r w:rsidRPr="00A6356B">
        <w:rPr>
          <w:rFonts w:cs="Times New Roman"/>
          <w:szCs w:val="24"/>
        </w:rPr>
        <w:t>x 100</w:t>
      </w:r>
    </w:p>
    <w:p w:rsidR="006A7254" w:rsidRPr="00A6356B" w:rsidRDefault="006A7254" w:rsidP="0002058A">
      <w:pPr>
        <w:autoSpaceDE w:val="0"/>
        <w:autoSpaceDN w:val="0"/>
        <w:adjustRightInd w:val="0"/>
        <w:spacing w:after="240" w:line="240" w:lineRule="auto"/>
        <w:ind w:firstLine="360"/>
        <w:jc w:val="center"/>
        <w:rPr>
          <w:rFonts w:cs="Times New Roman"/>
          <w:szCs w:val="24"/>
        </w:rPr>
      </w:pPr>
      <w:r w:rsidRPr="00A6356B">
        <w:rPr>
          <w:rFonts w:cs="Times New Roman"/>
          <w:szCs w:val="24"/>
        </w:rPr>
        <w:t xml:space="preserve">Patrimônio Líquido Médio ou Total </w:t>
      </w:r>
    </w:p>
    <w:p w:rsidR="006A7254" w:rsidRPr="00A6356B" w:rsidRDefault="006A7254" w:rsidP="00402E2F">
      <w:pPr>
        <w:pStyle w:val="PargrafodaLista"/>
        <w:numPr>
          <w:ilvl w:val="0"/>
          <w:numId w:val="21"/>
        </w:numPr>
        <w:autoSpaceDE w:val="0"/>
        <w:autoSpaceDN w:val="0"/>
        <w:adjustRightInd w:val="0"/>
        <w:ind w:left="426" w:hanging="426"/>
        <w:rPr>
          <w:rFonts w:cs="Times New Roman"/>
          <w:b/>
        </w:rPr>
      </w:pPr>
      <w:r w:rsidRPr="00A6356B">
        <w:rPr>
          <w:rFonts w:cs="Times New Roman"/>
          <w:b/>
        </w:rPr>
        <w:t>Margem Líquida</w:t>
      </w:r>
    </w:p>
    <w:p w:rsidR="006A7254" w:rsidRPr="00A6356B" w:rsidRDefault="006A7254" w:rsidP="00402E2F">
      <w:pPr>
        <w:autoSpaceDE w:val="0"/>
        <w:autoSpaceDN w:val="0"/>
        <w:adjustRightInd w:val="0"/>
        <w:ind w:firstLine="360"/>
        <w:rPr>
          <w:rFonts w:cs="Times New Roman"/>
          <w:szCs w:val="24"/>
        </w:rPr>
      </w:pPr>
      <w:r w:rsidRPr="00A6356B">
        <w:rPr>
          <w:rFonts w:cs="Times New Roman"/>
          <w:szCs w:val="24"/>
        </w:rPr>
        <w:t>Representa a lucratividade em relação às vendas líquidas do período (SILVA, 2010). Quanto maior o resultado, melhor.</w:t>
      </w:r>
    </w:p>
    <w:p w:rsidR="006A7254" w:rsidRPr="00A6356B" w:rsidRDefault="006A7254" w:rsidP="00F3169A">
      <w:pPr>
        <w:autoSpaceDE w:val="0"/>
        <w:autoSpaceDN w:val="0"/>
        <w:adjustRightInd w:val="0"/>
        <w:spacing w:line="240" w:lineRule="auto"/>
        <w:ind w:firstLine="360"/>
        <w:jc w:val="center"/>
        <w:rPr>
          <w:rFonts w:cs="Times New Roman"/>
          <w:szCs w:val="24"/>
          <w:u w:val="single"/>
        </w:rPr>
      </w:pPr>
      <w:r w:rsidRPr="00A6356B">
        <w:rPr>
          <w:rFonts w:cs="Times New Roman"/>
          <w:szCs w:val="24"/>
        </w:rPr>
        <w:t xml:space="preserve">Margem Líquida = </w:t>
      </w:r>
      <w:r w:rsidRPr="00A6356B">
        <w:rPr>
          <w:rFonts w:cs="Times New Roman"/>
          <w:szCs w:val="24"/>
          <w:u w:val="single"/>
        </w:rPr>
        <w:t xml:space="preserve">                  Lucro Líquido__________</w:t>
      </w:r>
      <w:proofErr w:type="gramStart"/>
      <w:r w:rsidRPr="00A6356B">
        <w:rPr>
          <w:rFonts w:cs="Times New Roman"/>
          <w:szCs w:val="24"/>
          <w:u w:val="single"/>
        </w:rPr>
        <w:t xml:space="preserve"> </w:t>
      </w:r>
      <w:r w:rsidRPr="00A6356B">
        <w:rPr>
          <w:rFonts w:cs="Times New Roman"/>
          <w:szCs w:val="24"/>
        </w:rPr>
        <w:t xml:space="preserve">   </w:t>
      </w:r>
      <w:proofErr w:type="gramEnd"/>
      <w:r w:rsidRPr="00A6356B">
        <w:rPr>
          <w:rFonts w:cs="Times New Roman"/>
          <w:szCs w:val="24"/>
        </w:rPr>
        <w:t>x  100</w:t>
      </w:r>
    </w:p>
    <w:p w:rsidR="006A7254" w:rsidRPr="00A6356B" w:rsidRDefault="006A7254" w:rsidP="00F3169A">
      <w:pPr>
        <w:autoSpaceDE w:val="0"/>
        <w:autoSpaceDN w:val="0"/>
        <w:adjustRightInd w:val="0"/>
        <w:spacing w:line="240" w:lineRule="auto"/>
        <w:ind w:left="708" w:firstLine="708"/>
        <w:jc w:val="center"/>
        <w:rPr>
          <w:rFonts w:cs="Times New Roman"/>
          <w:szCs w:val="24"/>
        </w:rPr>
      </w:pPr>
      <w:r w:rsidRPr="00A6356B">
        <w:rPr>
          <w:rFonts w:cs="Times New Roman"/>
          <w:szCs w:val="24"/>
        </w:rPr>
        <w:t>Vendas Líquidas (ou Receita Líquida)</w:t>
      </w:r>
    </w:p>
    <w:p w:rsidR="006A7254" w:rsidRPr="002B30C6" w:rsidRDefault="009F7F05" w:rsidP="00A6356B">
      <w:pPr>
        <w:pStyle w:val="Ttulo3"/>
      </w:pPr>
      <w:r w:rsidRPr="002B30C6">
        <w:lastRenderedPageBreak/>
        <w:t>Indicadores de prazos médios e ciclo financeiro</w:t>
      </w:r>
    </w:p>
    <w:p w:rsidR="006A7254" w:rsidRPr="00A6356B" w:rsidRDefault="006A7254" w:rsidP="00402E2F">
      <w:pPr>
        <w:rPr>
          <w:rFonts w:cs="Times New Roman"/>
          <w:szCs w:val="24"/>
        </w:rPr>
      </w:pPr>
      <w:r w:rsidRPr="00A6356B">
        <w:rPr>
          <w:rFonts w:cs="Times New Roman"/>
          <w:szCs w:val="24"/>
        </w:rPr>
        <w:t xml:space="preserve">Conforme </w:t>
      </w:r>
      <w:proofErr w:type="spellStart"/>
      <w:r w:rsidRPr="00A6356B">
        <w:rPr>
          <w:rFonts w:cs="Times New Roman"/>
          <w:szCs w:val="24"/>
        </w:rPr>
        <w:t>Iudícibus</w:t>
      </w:r>
      <w:proofErr w:type="spellEnd"/>
      <w:r w:rsidRPr="00A6356B">
        <w:rPr>
          <w:rFonts w:cs="Times New Roman"/>
          <w:szCs w:val="24"/>
        </w:rPr>
        <w:t xml:space="preserve"> (2010, p. 100) a análise dos quocientes referentes </w:t>
      </w:r>
      <w:proofErr w:type="gramStart"/>
      <w:r w:rsidRPr="00A6356B">
        <w:rPr>
          <w:rFonts w:cs="Times New Roman"/>
          <w:szCs w:val="24"/>
        </w:rPr>
        <w:t>a</w:t>
      </w:r>
      <w:proofErr w:type="gramEnd"/>
      <w:r w:rsidRPr="00A6356B">
        <w:rPr>
          <w:rFonts w:cs="Times New Roman"/>
          <w:szCs w:val="24"/>
        </w:rPr>
        <w:t xml:space="preserve"> rotatividade é muito importante, pois “representam a velocidade com que elementos patrimoniais de relevo se renovam durante determinado período de tempo”.</w:t>
      </w:r>
    </w:p>
    <w:p w:rsidR="006A7254" w:rsidRPr="00A6356B" w:rsidRDefault="009F7F05" w:rsidP="00402E2F">
      <w:pPr>
        <w:pStyle w:val="PargrafodaLista"/>
        <w:numPr>
          <w:ilvl w:val="0"/>
          <w:numId w:val="22"/>
        </w:numPr>
        <w:ind w:left="284" w:hanging="284"/>
        <w:rPr>
          <w:rFonts w:cs="Times New Roman"/>
          <w:b/>
        </w:rPr>
      </w:pPr>
      <w:r w:rsidRPr="00A6356B">
        <w:rPr>
          <w:rFonts w:cs="Times New Roman"/>
          <w:b/>
        </w:rPr>
        <w:t xml:space="preserve">Prazo Médio Da Rotação Dos Estoques </w:t>
      </w:r>
    </w:p>
    <w:p w:rsidR="006A7254" w:rsidRPr="00A6356B" w:rsidRDefault="006A7254" w:rsidP="00402E2F">
      <w:pPr>
        <w:rPr>
          <w:rFonts w:cs="Times New Roman"/>
          <w:szCs w:val="24"/>
        </w:rPr>
      </w:pPr>
      <w:r w:rsidRPr="00A6356B">
        <w:rPr>
          <w:rFonts w:cs="Times New Roman"/>
          <w:szCs w:val="24"/>
        </w:rPr>
        <w:t>Silva (2010, p. 128) afirma que “este indicador mostra quantos dias ou meses, em média, as mercadorias ou produtos acabados ficaram estocados antes de serem vendidos”. Sendo o ideal uma alta rotação, que o estoque gire em menos dias em função da demanda.</w:t>
      </w:r>
    </w:p>
    <w:p w:rsidR="006A7254" w:rsidRPr="00A6356B" w:rsidRDefault="006A7254" w:rsidP="00402E2F">
      <w:pPr>
        <w:rPr>
          <w:rFonts w:cs="Times New Roman"/>
          <w:szCs w:val="24"/>
        </w:rPr>
      </w:pPr>
      <w:r w:rsidRPr="00A6356B">
        <w:rPr>
          <w:rFonts w:cs="Times New Roman"/>
          <w:szCs w:val="24"/>
        </w:rPr>
        <w:t xml:space="preserve">Conforme </w:t>
      </w:r>
      <w:proofErr w:type="spellStart"/>
      <w:r w:rsidRPr="00A6356B">
        <w:rPr>
          <w:rFonts w:cs="Times New Roman"/>
          <w:szCs w:val="24"/>
        </w:rPr>
        <w:t>Iudícibus</w:t>
      </w:r>
      <w:proofErr w:type="spellEnd"/>
      <w:r w:rsidRPr="00A6356B">
        <w:rPr>
          <w:rFonts w:cs="Times New Roman"/>
          <w:szCs w:val="24"/>
        </w:rPr>
        <w:t xml:space="preserve"> (2010, p. 100) “este quociente, muito divulgado, procura (mensurado pelo custo das vendas) representar quantas vezes se ‘renovou’ o estoque por causa das vendas”.</w:t>
      </w:r>
    </w:p>
    <w:p w:rsidR="006A7254" w:rsidRPr="00A6356B" w:rsidRDefault="006A7254" w:rsidP="00F3169A">
      <w:pPr>
        <w:spacing w:line="240" w:lineRule="auto"/>
        <w:jc w:val="center"/>
        <w:rPr>
          <w:rFonts w:cs="Times New Roman"/>
          <w:szCs w:val="24"/>
        </w:rPr>
      </w:pPr>
      <w:r w:rsidRPr="00A6356B">
        <w:rPr>
          <w:rFonts w:cs="Times New Roman"/>
          <w:szCs w:val="24"/>
        </w:rPr>
        <w:t xml:space="preserve">PRME = </w:t>
      </w:r>
      <w:r w:rsidRPr="00A6356B">
        <w:rPr>
          <w:rFonts w:cs="Times New Roman"/>
          <w:szCs w:val="24"/>
          <w:u w:val="single"/>
        </w:rPr>
        <w:t>Estoque ou Estoque Médio (ou média dos períodos)</w:t>
      </w:r>
      <w:proofErr w:type="gramStart"/>
      <w:r w:rsidRPr="00A6356B">
        <w:rPr>
          <w:rFonts w:cs="Times New Roman"/>
          <w:szCs w:val="24"/>
        </w:rPr>
        <w:t xml:space="preserve">   </w:t>
      </w:r>
      <w:proofErr w:type="gramEnd"/>
      <w:r w:rsidRPr="00A6356B">
        <w:rPr>
          <w:rFonts w:cs="Times New Roman"/>
          <w:szCs w:val="24"/>
        </w:rPr>
        <w:t>x DP</w:t>
      </w:r>
    </w:p>
    <w:p w:rsidR="006A7254" w:rsidRDefault="006A7254" w:rsidP="00F3169A">
      <w:pPr>
        <w:jc w:val="center"/>
        <w:rPr>
          <w:rFonts w:cs="Times New Roman"/>
          <w:szCs w:val="24"/>
        </w:rPr>
      </w:pPr>
      <w:r w:rsidRPr="00A6356B">
        <w:rPr>
          <w:rFonts w:cs="Times New Roman"/>
          <w:szCs w:val="24"/>
        </w:rPr>
        <w:t>CMV</w:t>
      </w:r>
    </w:p>
    <w:p w:rsidR="006A7254" w:rsidRPr="00A6356B" w:rsidRDefault="003C27E2" w:rsidP="00402E2F">
      <w:pPr>
        <w:pStyle w:val="PargrafodaLista"/>
        <w:numPr>
          <w:ilvl w:val="0"/>
          <w:numId w:val="22"/>
        </w:numPr>
        <w:ind w:left="426" w:hanging="426"/>
        <w:rPr>
          <w:rFonts w:cs="Times New Roman"/>
          <w:b/>
        </w:rPr>
      </w:pPr>
      <w:r w:rsidRPr="00A6356B">
        <w:rPr>
          <w:rFonts w:cs="Times New Roman"/>
          <w:b/>
        </w:rPr>
        <w:t>Prazo Médio De Recebimento De Vendas</w:t>
      </w:r>
    </w:p>
    <w:p w:rsidR="006A7254" w:rsidRPr="00A6356B" w:rsidRDefault="006A7254" w:rsidP="00402E2F">
      <w:pPr>
        <w:rPr>
          <w:rFonts w:cs="Times New Roman"/>
          <w:szCs w:val="24"/>
        </w:rPr>
      </w:pPr>
      <w:proofErr w:type="spellStart"/>
      <w:r w:rsidRPr="00A6356B">
        <w:rPr>
          <w:rFonts w:cs="Times New Roman"/>
          <w:szCs w:val="24"/>
        </w:rPr>
        <w:t>Iudícibus</w:t>
      </w:r>
      <w:proofErr w:type="spellEnd"/>
      <w:r w:rsidRPr="00A6356B">
        <w:rPr>
          <w:rFonts w:cs="Times New Roman"/>
          <w:szCs w:val="24"/>
        </w:rPr>
        <w:t xml:space="preserve"> (2010) e Silva (2010) afi</w:t>
      </w:r>
      <w:r w:rsidR="008F05B5">
        <w:rPr>
          <w:rFonts w:cs="Times New Roman"/>
          <w:szCs w:val="24"/>
        </w:rPr>
        <w:t>rmam que este indicador informa</w:t>
      </w:r>
      <w:r w:rsidRPr="00A6356B">
        <w:rPr>
          <w:rFonts w:cs="Times New Roman"/>
          <w:szCs w:val="24"/>
        </w:rPr>
        <w:t xml:space="preserve"> quanto dias, semanas ou meses a empresa leva para receber suas vendas a prazo. Segundo Silva é preciso uma verificação mais aprofundada deste indicador:</w:t>
      </w:r>
    </w:p>
    <w:p w:rsidR="006A7254" w:rsidRPr="00A6356B" w:rsidRDefault="006A7254" w:rsidP="00A6356B">
      <w:pPr>
        <w:spacing w:line="240" w:lineRule="auto"/>
        <w:ind w:left="2268" w:firstLine="0"/>
        <w:rPr>
          <w:rFonts w:cs="Times New Roman"/>
          <w:sz w:val="20"/>
          <w:szCs w:val="20"/>
        </w:rPr>
      </w:pPr>
      <w:r w:rsidRPr="00A6356B">
        <w:rPr>
          <w:rFonts w:cs="Times New Roman"/>
          <w:sz w:val="20"/>
          <w:szCs w:val="20"/>
        </w:rPr>
        <w:t>Quanto maior o prazo de recebimento pior será para a empresa, porém uma análise completa deve ser feita observando também o prazo de rotação dos estoques e de pagamento das compras, sendo que a qualidade das duplicatas a receber também interfere diretamente na avaliação deste indicador. O estudo do PMRV permitirá ainda avaliar a política de concessão de créditos e a eficiência do setor de cobrança. (SILVA, 2010)</w:t>
      </w:r>
    </w:p>
    <w:p w:rsidR="0002058A" w:rsidRDefault="0002058A" w:rsidP="0002058A">
      <w:pPr>
        <w:spacing w:line="240" w:lineRule="auto"/>
        <w:ind w:firstLine="708"/>
        <w:jc w:val="left"/>
        <w:rPr>
          <w:rFonts w:cs="Times New Roman"/>
          <w:szCs w:val="24"/>
        </w:rPr>
      </w:pPr>
      <w:r>
        <w:rPr>
          <w:rFonts w:cs="Times New Roman"/>
          <w:szCs w:val="24"/>
        </w:rPr>
        <w:t>Fórmula:</w:t>
      </w:r>
    </w:p>
    <w:p w:rsidR="006A7254" w:rsidRPr="00A6356B" w:rsidRDefault="006A7254" w:rsidP="00F3169A">
      <w:pPr>
        <w:spacing w:line="240" w:lineRule="auto"/>
        <w:ind w:firstLine="0"/>
        <w:jc w:val="center"/>
        <w:rPr>
          <w:rFonts w:cs="Times New Roman"/>
          <w:szCs w:val="24"/>
        </w:rPr>
      </w:pPr>
      <w:r w:rsidRPr="00A6356B">
        <w:rPr>
          <w:rFonts w:cs="Times New Roman"/>
          <w:szCs w:val="24"/>
        </w:rPr>
        <w:t xml:space="preserve">PMRV = </w:t>
      </w:r>
      <w:r w:rsidRPr="00A6356B">
        <w:rPr>
          <w:rFonts w:cs="Times New Roman"/>
          <w:szCs w:val="24"/>
          <w:u w:val="single"/>
        </w:rPr>
        <w:t>Duplicatas a Receber (ou média dos períodos)</w:t>
      </w:r>
      <w:proofErr w:type="gramStart"/>
      <w:r w:rsidRPr="00A6356B">
        <w:rPr>
          <w:rFonts w:cs="Times New Roman"/>
          <w:szCs w:val="24"/>
        </w:rPr>
        <w:t xml:space="preserve">  </w:t>
      </w:r>
      <w:proofErr w:type="gramEnd"/>
      <w:r w:rsidRPr="00A6356B">
        <w:rPr>
          <w:rFonts w:cs="Times New Roman"/>
          <w:szCs w:val="24"/>
        </w:rPr>
        <w:t>x  DP</w:t>
      </w:r>
    </w:p>
    <w:p w:rsidR="006A7254" w:rsidRPr="00A6356B" w:rsidRDefault="006A7254" w:rsidP="0002058A">
      <w:pPr>
        <w:spacing w:after="240" w:line="240" w:lineRule="auto"/>
        <w:ind w:firstLine="0"/>
        <w:jc w:val="center"/>
        <w:rPr>
          <w:rFonts w:cs="Times New Roman"/>
          <w:szCs w:val="24"/>
        </w:rPr>
      </w:pPr>
      <w:r w:rsidRPr="00A6356B">
        <w:rPr>
          <w:rFonts w:cs="Times New Roman"/>
          <w:szCs w:val="24"/>
        </w:rPr>
        <w:t>Receita Líquida de Vendas</w:t>
      </w:r>
    </w:p>
    <w:p w:rsidR="006A7254" w:rsidRPr="00A6356B" w:rsidRDefault="003C27E2" w:rsidP="00402E2F">
      <w:pPr>
        <w:pStyle w:val="PargrafodaLista"/>
        <w:numPr>
          <w:ilvl w:val="0"/>
          <w:numId w:val="22"/>
        </w:numPr>
        <w:ind w:left="426" w:hanging="426"/>
        <w:rPr>
          <w:rFonts w:cs="Times New Roman"/>
          <w:b/>
        </w:rPr>
      </w:pPr>
      <w:r w:rsidRPr="00A6356B">
        <w:rPr>
          <w:rFonts w:cs="Times New Roman"/>
          <w:b/>
        </w:rPr>
        <w:t>Prazo Médio Do Pagamento Das Compras</w:t>
      </w:r>
    </w:p>
    <w:p w:rsidR="006A7254" w:rsidRPr="00A6356B" w:rsidRDefault="006A7254" w:rsidP="00402E2F">
      <w:pPr>
        <w:rPr>
          <w:rFonts w:cs="Times New Roman"/>
          <w:szCs w:val="24"/>
        </w:rPr>
      </w:pPr>
      <w:r w:rsidRPr="00A6356B">
        <w:rPr>
          <w:rFonts w:cs="Times New Roman"/>
          <w:szCs w:val="24"/>
        </w:rPr>
        <w:t>Conforme Silva (2010, p. 130) “este indicador mostra quantos dias ou meses, em média, a empresa leva para quitar suas dívidas junto aos seus fornecedores”. Sendo o ideal para manter a liquidez que este prazo seja maior do que o prazo dado aos clientes para quitar suas compras.</w:t>
      </w:r>
    </w:p>
    <w:p w:rsidR="006A7254" w:rsidRPr="00A6356B" w:rsidRDefault="006A7254" w:rsidP="00F3169A">
      <w:pPr>
        <w:spacing w:line="240" w:lineRule="auto"/>
        <w:ind w:firstLine="0"/>
        <w:jc w:val="center"/>
        <w:rPr>
          <w:rFonts w:cs="Times New Roman"/>
          <w:szCs w:val="24"/>
        </w:rPr>
      </w:pPr>
      <w:r w:rsidRPr="00A6356B">
        <w:rPr>
          <w:rFonts w:cs="Times New Roman"/>
          <w:szCs w:val="24"/>
        </w:rPr>
        <w:t xml:space="preserve">PMPC = </w:t>
      </w:r>
      <w:r w:rsidRPr="00A6356B">
        <w:rPr>
          <w:rFonts w:cs="Times New Roman"/>
          <w:szCs w:val="24"/>
          <w:u w:val="single"/>
        </w:rPr>
        <w:t>Fornecedores (média dos períodos)</w:t>
      </w:r>
      <w:proofErr w:type="gramStart"/>
      <w:r w:rsidRPr="00A6356B">
        <w:rPr>
          <w:rFonts w:cs="Times New Roman"/>
          <w:szCs w:val="24"/>
        </w:rPr>
        <w:t xml:space="preserve">  </w:t>
      </w:r>
      <w:proofErr w:type="gramEnd"/>
      <w:r w:rsidRPr="00A6356B">
        <w:rPr>
          <w:rFonts w:cs="Times New Roman"/>
          <w:szCs w:val="24"/>
        </w:rPr>
        <w:t>x DP</w:t>
      </w:r>
    </w:p>
    <w:p w:rsidR="006A7254" w:rsidRPr="00A6356B" w:rsidRDefault="006A7254" w:rsidP="00F3169A">
      <w:pPr>
        <w:spacing w:line="240" w:lineRule="auto"/>
        <w:ind w:firstLine="0"/>
        <w:jc w:val="center"/>
        <w:rPr>
          <w:rFonts w:cs="Times New Roman"/>
          <w:szCs w:val="24"/>
          <w:lang w:val="en-US"/>
        </w:rPr>
      </w:pPr>
      <w:proofErr w:type="spellStart"/>
      <w:r w:rsidRPr="00A6356B">
        <w:rPr>
          <w:rFonts w:cs="Times New Roman"/>
          <w:szCs w:val="24"/>
          <w:lang w:val="en-US"/>
        </w:rPr>
        <w:t>Compras</w:t>
      </w:r>
      <w:proofErr w:type="spellEnd"/>
    </w:p>
    <w:p w:rsidR="006A7254" w:rsidRPr="002B30C6" w:rsidRDefault="006A7254" w:rsidP="00A6356B">
      <w:pPr>
        <w:pStyle w:val="Ttulo3"/>
        <w:rPr>
          <w:lang w:val="en-US"/>
        </w:rPr>
      </w:pPr>
      <w:r w:rsidRPr="002B30C6">
        <w:rPr>
          <w:lang w:val="en-US"/>
        </w:rPr>
        <w:t xml:space="preserve">EBITDA (Earnings </w:t>
      </w:r>
      <w:proofErr w:type="gramStart"/>
      <w:r w:rsidRPr="002B30C6">
        <w:rPr>
          <w:lang w:val="en-US"/>
        </w:rPr>
        <w:t>Before</w:t>
      </w:r>
      <w:proofErr w:type="gramEnd"/>
      <w:r w:rsidRPr="002B30C6">
        <w:rPr>
          <w:lang w:val="en-US"/>
        </w:rPr>
        <w:t xml:space="preserve"> Interest, Taxes, Depreciation and Amortization)</w:t>
      </w:r>
    </w:p>
    <w:p w:rsidR="006A7254" w:rsidRPr="00A6356B" w:rsidRDefault="006A7254" w:rsidP="00402E2F">
      <w:pPr>
        <w:rPr>
          <w:rFonts w:cs="Times New Roman"/>
          <w:szCs w:val="24"/>
        </w:rPr>
      </w:pPr>
      <w:r w:rsidRPr="00A6356B">
        <w:rPr>
          <w:rFonts w:cs="Times New Roman"/>
          <w:szCs w:val="24"/>
        </w:rPr>
        <w:t xml:space="preserve">Conforme Neto (2010, p. 196) “o EBITDA equivale ao conceito de </w:t>
      </w:r>
      <w:r w:rsidRPr="00A6356B">
        <w:rPr>
          <w:rFonts w:cs="Times New Roman"/>
          <w:i/>
          <w:szCs w:val="24"/>
        </w:rPr>
        <w:t>fluxo de caixa operacional</w:t>
      </w:r>
      <w:r w:rsidRPr="00A6356B">
        <w:rPr>
          <w:rFonts w:cs="Times New Roman"/>
          <w:szCs w:val="24"/>
        </w:rPr>
        <w:t xml:space="preserve"> da empresa, apurado antes do cálculo do imposto de renda”.</w:t>
      </w:r>
    </w:p>
    <w:p w:rsidR="006A7254" w:rsidRPr="00A6356B" w:rsidRDefault="006A7254" w:rsidP="00402E2F">
      <w:pPr>
        <w:rPr>
          <w:rFonts w:cs="Times New Roman"/>
          <w:szCs w:val="24"/>
        </w:rPr>
      </w:pPr>
      <w:r w:rsidRPr="00A6356B">
        <w:rPr>
          <w:rFonts w:cs="Times New Roman"/>
          <w:szCs w:val="24"/>
        </w:rPr>
        <w:t xml:space="preserve">Silva (2010) define EBITDA como lucro operacional ajustado, desconsiderando os </w:t>
      </w:r>
      <w:r w:rsidRPr="00A6356B">
        <w:rPr>
          <w:rFonts w:cs="Times New Roman"/>
          <w:szCs w:val="24"/>
        </w:rPr>
        <w:lastRenderedPageBreak/>
        <w:t>juros, impostos sobre o lucro, depreciações e amortizações.</w:t>
      </w:r>
    </w:p>
    <w:p w:rsidR="007000FE" w:rsidRPr="002B30C6" w:rsidRDefault="007000FE" w:rsidP="0002058A">
      <w:pPr>
        <w:pStyle w:val="Ttulo1"/>
      </w:pPr>
      <w:r w:rsidRPr="002B30C6">
        <w:t>metodologia</w:t>
      </w:r>
    </w:p>
    <w:p w:rsidR="00BD6AB3" w:rsidRDefault="00BD6AB3" w:rsidP="00BD6AB3">
      <w:r>
        <w:t xml:space="preserve">Considerando a ótica do investidor, utilizou-se neste artigo a pesquisa de natureza aplicada com objetivo explicativo, visando fornecer ao leitor o embasamento teórico-prático, oriundo do uso das ferramentas da análise fundamentalista, para nortear o proprietário do capital quanto à hipótese de multiplicação de seus recursos ao aplicá-los na companhia. Para tanto, adotar-se-ão os procedimentos técnicos dos tipos de pesquisa bibliográfico e documental. </w:t>
      </w:r>
    </w:p>
    <w:p w:rsidR="00BD6AB3" w:rsidRDefault="00BD6AB3" w:rsidP="00BD6AB3">
      <w:r>
        <w:t xml:space="preserve">Tendo em vista a falta de dados consolidados recentes e em período semelhante ao utilizado na aplicação do tema, sobre os indicadores de empresas semelhantes a Gerdau no mercado, optou-se pelo uso das ferramentas clássicas da análise financeira fundamentalista, quer sejam, análise vertical, horizontal e por indicadores chave de desempenho, aplicados sobre os demonstrativos contábeis da empresa focal no período de 2009 a 2013, para fins de identificação da saúde financeira da entidade, validando ou não a hipótese de um investimento na companhia. </w:t>
      </w:r>
    </w:p>
    <w:p w:rsidR="00BD6AB3" w:rsidRDefault="00BD6AB3" w:rsidP="00BD6AB3">
      <w:r>
        <w:t>A escolha do intervalo de tempo superior a dois anos</w:t>
      </w:r>
      <w:r>
        <w:t xml:space="preserve"> justifica-se</w:t>
      </w:r>
      <w:r>
        <w:t xml:space="preserve"> pela maior precisão de análise da evolução dos indicadores no espaço temporal de cinco anos, pois conforme </w:t>
      </w:r>
      <w:proofErr w:type="spellStart"/>
      <w:r>
        <w:t>Damodaran</w:t>
      </w:r>
      <w:proofErr w:type="spellEnd"/>
      <w:r>
        <w:t xml:space="preserve"> (2002), o modelo de avaliação de ativos não deve ser estático, carecendo de atualizações à medida que novas informações são disponibilizadas. </w:t>
      </w:r>
    </w:p>
    <w:p w:rsidR="007000FE" w:rsidRPr="002B30C6" w:rsidRDefault="007000FE" w:rsidP="0057652A">
      <w:pPr>
        <w:pStyle w:val="Ttulo2"/>
        <w:numPr>
          <w:ilvl w:val="0"/>
          <w:numId w:val="0"/>
        </w:numPr>
        <w:ind w:left="567" w:hanging="567"/>
      </w:pPr>
      <w:r w:rsidRPr="002B30C6">
        <w:t>6.1 Indicadores</w:t>
      </w:r>
    </w:p>
    <w:p w:rsidR="007000FE" w:rsidRPr="00A6356B" w:rsidRDefault="007000FE" w:rsidP="00402E2F">
      <w:pPr>
        <w:rPr>
          <w:rFonts w:cs="Times New Roman"/>
          <w:szCs w:val="24"/>
        </w:rPr>
      </w:pPr>
      <w:r w:rsidRPr="00A6356B">
        <w:rPr>
          <w:rFonts w:cs="Times New Roman"/>
          <w:szCs w:val="24"/>
        </w:rPr>
        <w:t>Foram selecionados os seguintes indicadores para a análise proposta:</w:t>
      </w:r>
    </w:p>
    <w:p w:rsidR="007000FE" w:rsidRPr="00A6356B" w:rsidRDefault="007000FE" w:rsidP="00402E2F">
      <w:pPr>
        <w:pStyle w:val="PargrafodaLista"/>
        <w:numPr>
          <w:ilvl w:val="0"/>
          <w:numId w:val="23"/>
        </w:numPr>
        <w:spacing w:after="120"/>
        <w:rPr>
          <w:rFonts w:cs="Times New Roman"/>
        </w:rPr>
      </w:pPr>
      <w:r w:rsidRPr="00A6356B">
        <w:rPr>
          <w:rFonts w:cs="Times New Roman"/>
        </w:rPr>
        <w:t>Indicadores de Liquidez (</w:t>
      </w:r>
      <w:proofErr w:type="gramStart"/>
      <w:r w:rsidRPr="00A6356B">
        <w:rPr>
          <w:rFonts w:cs="Times New Roman"/>
        </w:rPr>
        <w:t>Geral, Imediata</w:t>
      </w:r>
      <w:proofErr w:type="gramEnd"/>
      <w:r w:rsidRPr="00A6356B">
        <w:rPr>
          <w:rFonts w:cs="Times New Roman"/>
        </w:rPr>
        <w:t xml:space="preserve"> e Seca);</w:t>
      </w:r>
    </w:p>
    <w:p w:rsidR="007000FE" w:rsidRPr="00A6356B" w:rsidRDefault="007000FE" w:rsidP="00402E2F">
      <w:pPr>
        <w:pStyle w:val="PargrafodaLista"/>
        <w:numPr>
          <w:ilvl w:val="0"/>
          <w:numId w:val="23"/>
        </w:numPr>
        <w:tabs>
          <w:tab w:val="left" w:pos="993"/>
        </w:tabs>
        <w:spacing w:after="120"/>
        <w:ind w:left="0" w:firstLine="709"/>
        <w:rPr>
          <w:rFonts w:cs="Times New Roman"/>
        </w:rPr>
      </w:pPr>
      <w:r w:rsidRPr="00A6356B">
        <w:rPr>
          <w:rFonts w:cs="Times New Roman"/>
        </w:rPr>
        <w:t xml:space="preserve"> Indicadores de Composição do Endividamento (Participação de </w:t>
      </w:r>
      <w:proofErr w:type="gramStart"/>
      <w:r w:rsidRPr="00A6356B">
        <w:rPr>
          <w:rFonts w:cs="Times New Roman"/>
        </w:rPr>
        <w:t>Terceiros Sobre Recursos Totais, Participação</w:t>
      </w:r>
      <w:proofErr w:type="gramEnd"/>
      <w:r w:rsidRPr="00A6356B">
        <w:rPr>
          <w:rFonts w:cs="Times New Roman"/>
        </w:rPr>
        <w:t xml:space="preserve"> de Terceiros Sobre Patrimônio Líquido, Participação das Dívidas de Curto Prazo Sobre Endividamento Total e Grau de Imobilização do Patrimônio Líquido;</w:t>
      </w:r>
    </w:p>
    <w:p w:rsidR="007000FE" w:rsidRPr="00A6356B" w:rsidRDefault="007000FE" w:rsidP="00402E2F">
      <w:pPr>
        <w:pStyle w:val="PargrafodaLista"/>
        <w:numPr>
          <w:ilvl w:val="0"/>
          <w:numId w:val="23"/>
        </w:numPr>
        <w:tabs>
          <w:tab w:val="left" w:pos="993"/>
        </w:tabs>
        <w:spacing w:after="120"/>
        <w:ind w:left="0" w:firstLine="709"/>
        <w:rPr>
          <w:rFonts w:cs="Times New Roman"/>
        </w:rPr>
      </w:pPr>
      <w:r w:rsidRPr="00A6356B">
        <w:rPr>
          <w:rFonts w:cs="Times New Roman"/>
        </w:rPr>
        <w:t xml:space="preserve"> Indicadores de Rentabilidade (Retorno Sobre Ativos Totais, Retorno Sobre Patrimônio Líquido e Margem Líquida);</w:t>
      </w:r>
    </w:p>
    <w:p w:rsidR="007000FE" w:rsidRPr="00A6356B" w:rsidRDefault="007000FE" w:rsidP="00402E2F">
      <w:pPr>
        <w:pStyle w:val="PargrafodaLista"/>
        <w:numPr>
          <w:ilvl w:val="0"/>
          <w:numId w:val="23"/>
        </w:numPr>
        <w:tabs>
          <w:tab w:val="left" w:pos="993"/>
        </w:tabs>
        <w:spacing w:after="120"/>
        <w:ind w:left="0" w:firstLine="709"/>
        <w:rPr>
          <w:rFonts w:cs="Times New Roman"/>
        </w:rPr>
      </w:pPr>
      <w:r w:rsidRPr="00A6356B">
        <w:rPr>
          <w:rFonts w:cs="Times New Roman"/>
        </w:rPr>
        <w:t xml:space="preserve"> Indicadores de Prazos Médios e Ciclo Financeiro (Prazo Médio de Estoques, Prazo Médio de Recebimento de Vendas, Prazo Médio de Pagamento de Compras);</w:t>
      </w:r>
    </w:p>
    <w:p w:rsidR="007000FE" w:rsidRPr="00A6356B" w:rsidRDefault="007000FE" w:rsidP="00402E2F">
      <w:pPr>
        <w:pStyle w:val="PargrafodaLista"/>
        <w:numPr>
          <w:ilvl w:val="0"/>
          <w:numId w:val="23"/>
        </w:numPr>
        <w:spacing w:after="120"/>
        <w:rPr>
          <w:rFonts w:cs="Times New Roman"/>
        </w:rPr>
      </w:pPr>
      <w:r w:rsidRPr="00A6356B">
        <w:rPr>
          <w:rFonts w:cs="Times New Roman"/>
        </w:rPr>
        <w:t>Indicadores de Geração de Caixa (EBITDA e Margem EBITDA).</w:t>
      </w:r>
    </w:p>
    <w:p w:rsidR="007000FE" w:rsidRPr="00A6356B" w:rsidRDefault="007000FE" w:rsidP="00402E2F">
      <w:pPr>
        <w:rPr>
          <w:rFonts w:cs="Times New Roman"/>
          <w:szCs w:val="24"/>
        </w:rPr>
      </w:pPr>
      <w:r w:rsidRPr="00A6356B">
        <w:rPr>
          <w:rFonts w:cs="Times New Roman"/>
          <w:szCs w:val="24"/>
        </w:rPr>
        <w:t xml:space="preserve">A escolha dos indicadores justifica-se pela relevância de sua evolução ao longo do </w:t>
      </w:r>
      <w:r w:rsidRPr="00A6356B">
        <w:rPr>
          <w:rFonts w:cs="Times New Roman"/>
          <w:szCs w:val="24"/>
        </w:rPr>
        <w:lastRenderedPageBreak/>
        <w:t>período selecionado, ao f</w:t>
      </w:r>
      <w:r w:rsidR="0002058A">
        <w:rPr>
          <w:rFonts w:cs="Times New Roman"/>
          <w:szCs w:val="24"/>
        </w:rPr>
        <w:t>ornecer um</w:t>
      </w:r>
      <w:r w:rsidRPr="00A6356B">
        <w:rPr>
          <w:rFonts w:cs="Times New Roman"/>
          <w:szCs w:val="24"/>
        </w:rPr>
        <w:t xml:space="preserve"> embasamento técnico básico para aprovar-se a hipótese de um investimento em papéis da empresa, bem como para verificar se as operações da companhia estão alinhadas aos objetivos estratégicos destacados em seus relatórios disponibilizados aos investidores, e às expectativas relacionadas ao mercado em que a entidade está inserida. </w:t>
      </w:r>
    </w:p>
    <w:p w:rsidR="007000FE" w:rsidRPr="002B30C6" w:rsidRDefault="007000FE" w:rsidP="0002058A">
      <w:pPr>
        <w:pStyle w:val="Ttulo1"/>
      </w:pPr>
      <w:r w:rsidRPr="002B30C6">
        <w:t>Aplicação</w:t>
      </w:r>
    </w:p>
    <w:p w:rsidR="00147437" w:rsidRDefault="007000FE" w:rsidP="00402E2F">
      <w:pPr>
        <w:rPr>
          <w:rFonts w:cs="Times New Roman"/>
          <w:szCs w:val="24"/>
        </w:rPr>
      </w:pPr>
      <w:r w:rsidRPr="00A6356B">
        <w:rPr>
          <w:rFonts w:cs="Times New Roman"/>
          <w:szCs w:val="24"/>
        </w:rPr>
        <w:t xml:space="preserve">A aplicação do tema se dará em duas etapas, iniciando com alguns aspectos relacionados às análises vertical e horizontal e, em um segundo momento, a apreciação dos indicadores chave de </w:t>
      </w:r>
      <w:proofErr w:type="gramStart"/>
      <w:r w:rsidRPr="00A6356B">
        <w:rPr>
          <w:rFonts w:cs="Times New Roman"/>
          <w:szCs w:val="24"/>
        </w:rPr>
        <w:t>desempenho mencionados</w:t>
      </w:r>
      <w:proofErr w:type="gramEnd"/>
      <w:r w:rsidRPr="00A6356B">
        <w:rPr>
          <w:rFonts w:cs="Times New Roman"/>
          <w:szCs w:val="24"/>
        </w:rPr>
        <w:t>. Contudo, os resultados das análises vertical e horizontal não se restringirão ao âmbito da primeira parte da aplicação, sendo mencionados também durante a apreciaç</w:t>
      </w:r>
      <w:r w:rsidR="00147437" w:rsidRPr="00A6356B">
        <w:rPr>
          <w:rFonts w:cs="Times New Roman"/>
          <w:szCs w:val="24"/>
        </w:rPr>
        <w:t>ão dos indicadores.</w:t>
      </w:r>
    </w:p>
    <w:p w:rsidR="007000FE" w:rsidRPr="002B30C6" w:rsidRDefault="00147437" w:rsidP="0057652A">
      <w:pPr>
        <w:pStyle w:val="Ttulo2"/>
        <w:numPr>
          <w:ilvl w:val="0"/>
          <w:numId w:val="0"/>
        </w:numPr>
      </w:pPr>
      <w:proofErr w:type="gramStart"/>
      <w:r w:rsidRPr="002B30C6">
        <w:t xml:space="preserve">7.1 </w:t>
      </w:r>
      <w:r w:rsidR="007000FE" w:rsidRPr="002B30C6">
        <w:t>Aplicação</w:t>
      </w:r>
      <w:proofErr w:type="gramEnd"/>
      <w:r w:rsidR="007000FE" w:rsidRPr="002B30C6">
        <w:t xml:space="preserve"> das análises vertical e horizontal sobre os Demonstrativos de Resultados do Exercício</w:t>
      </w:r>
    </w:p>
    <w:p w:rsidR="007000FE" w:rsidRPr="00A6356B" w:rsidRDefault="007000FE" w:rsidP="00385E7B">
      <w:pPr>
        <w:ind w:firstLine="0"/>
        <w:rPr>
          <w:rFonts w:cs="Times New Roman"/>
          <w:szCs w:val="24"/>
        </w:rPr>
      </w:pPr>
      <w:r w:rsidRPr="00A6356B">
        <w:rPr>
          <w:rFonts w:cs="Times New Roman"/>
          <w:szCs w:val="24"/>
        </w:rPr>
        <w:t>A Gerdau apresentou no período entre 2009 e 2013 uma taxa de crescimento médio ponderado (CAGR</w:t>
      </w:r>
      <w:r w:rsidRPr="00A6356B">
        <w:rPr>
          <w:rFonts w:cs="Times New Roman"/>
          <w:szCs w:val="24"/>
        </w:rPr>
        <w:footnoteReference w:id="1"/>
      </w:r>
      <w:r w:rsidRPr="00A6356B">
        <w:rPr>
          <w:rFonts w:cs="Times New Roman"/>
          <w:szCs w:val="24"/>
        </w:rPr>
        <w:t xml:space="preserve">) de 8,5% em seu faturamento líquido a preços correntes. Considerando-se a inflação média do período, 6,08% medida pelo IPCA, e ano base 2009, o crescimento da receita líquida foi de 7,2%. Em contrapartida, o Custo dos Bens e Serviços Vendidos apresentou crescimento superior, a preços correntes, tendo encerrado o intervalo analisado com uma taxa de expansão de 9,3%. Tal resultado foi contrabalançado por significativa redução nas Despesas Operacionais (-6,8%). O gráfico </w:t>
      </w:r>
      <w:proofErr w:type="gramStart"/>
      <w:r w:rsidRPr="00A6356B">
        <w:rPr>
          <w:rFonts w:cs="Times New Roman"/>
          <w:szCs w:val="24"/>
        </w:rPr>
        <w:t>1</w:t>
      </w:r>
      <w:proofErr w:type="gramEnd"/>
      <w:r w:rsidRPr="00A6356B">
        <w:rPr>
          <w:rFonts w:cs="Times New Roman"/>
          <w:szCs w:val="24"/>
        </w:rPr>
        <w:t xml:space="preserve"> compara o faturamento líquido da companhia ao lucro líquido consolidado do período 2009 a 2013.</w:t>
      </w:r>
    </w:p>
    <w:p w:rsidR="007000FE" w:rsidRPr="002B30C6" w:rsidRDefault="007000FE" w:rsidP="001F1F79">
      <w:pPr>
        <w:spacing w:line="240" w:lineRule="auto"/>
        <w:ind w:firstLine="0"/>
        <w:rPr>
          <w:rFonts w:ascii="Arial" w:hAnsi="Arial" w:cs="Arial"/>
          <w:szCs w:val="24"/>
        </w:rPr>
      </w:pPr>
      <w:r w:rsidRPr="002B30C6">
        <w:rPr>
          <w:rFonts w:ascii="Arial" w:hAnsi="Arial" w:cs="Arial"/>
          <w:noProof/>
          <w:szCs w:val="24"/>
          <w:lang w:eastAsia="pt-BR"/>
        </w:rPr>
        <w:lastRenderedPageBreak/>
        <w:drawing>
          <wp:inline distT="0" distB="0" distL="0" distR="0" wp14:anchorId="775A270E" wp14:editId="589947A9">
            <wp:extent cx="5829300" cy="2380422"/>
            <wp:effectExtent l="19050" t="19050" r="19050" b="203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2380422"/>
                    </a:xfrm>
                    <a:prstGeom prst="rect">
                      <a:avLst/>
                    </a:prstGeom>
                    <a:noFill/>
                    <a:ln w="3175">
                      <a:solidFill>
                        <a:schemeClr val="tx1"/>
                      </a:solidFill>
                    </a:ln>
                  </pic:spPr>
                </pic:pic>
              </a:graphicData>
            </a:graphic>
          </wp:inline>
        </w:drawing>
      </w:r>
    </w:p>
    <w:p w:rsidR="007000FE" w:rsidRPr="001F1F79" w:rsidRDefault="001F1F79" w:rsidP="001F1F79">
      <w:pPr>
        <w:pStyle w:val="SemEspaamento"/>
        <w:jc w:val="center"/>
        <w:rPr>
          <w:rFonts w:ascii="Times New Roman" w:hAnsi="Times New Roman" w:cs="Times New Roman"/>
          <w:sz w:val="20"/>
          <w:szCs w:val="20"/>
        </w:rPr>
      </w:pPr>
      <w:r>
        <w:rPr>
          <w:rFonts w:ascii="Times New Roman" w:hAnsi="Times New Roman" w:cs="Times New Roman"/>
          <w:sz w:val="20"/>
          <w:szCs w:val="20"/>
        </w:rPr>
        <w:t>Fonte: E</w:t>
      </w:r>
      <w:r w:rsidR="007000FE" w:rsidRPr="001F1F79">
        <w:rPr>
          <w:rFonts w:ascii="Times New Roman" w:hAnsi="Times New Roman" w:cs="Times New Roman"/>
          <w:sz w:val="20"/>
          <w:szCs w:val="20"/>
        </w:rPr>
        <w:t>laboração própria com dados do Relatório Anual Completo (versões 2009 a 2013). Site Gerdau – Relações com Investidores, 29/03/2014. Disponível em http://ri.gerdau.com/.</w:t>
      </w:r>
    </w:p>
    <w:p w:rsidR="00147437" w:rsidRPr="002B30C6" w:rsidRDefault="00147437" w:rsidP="00402E2F">
      <w:pPr>
        <w:rPr>
          <w:rFonts w:ascii="Arial" w:hAnsi="Arial" w:cs="Arial"/>
          <w:szCs w:val="24"/>
        </w:rPr>
      </w:pPr>
    </w:p>
    <w:p w:rsidR="007000FE" w:rsidRPr="001F1F79" w:rsidRDefault="007000FE" w:rsidP="00402E2F">
      <w:pPr>
        <w:rPr>
          <w:rFonts w:cs="Times New Roman"/>
          <w:szCs w:val="24"/>
        </w:rPr>
      </w:pPr>
      <w:r w:rsidRPr="001F1F79">
        <w:rPr>
          <w:rFonts w:cs="Times New Roman"/>
          <w:szCs w:val="24"/>
        </w:rPr>
        <w:t xml:space="preserve">Considerando os percentuais de participação nos resultados das contas contábeis em relação </w:t>
      </w:r>
      <w:proofErr w:type="gramStart"/>
      <w:r w:rsidRPr="001F1F79">
        <w:rPr>
          <w:rFonts w:cs="Times New Roman"/>
          <w:szCs w:val="24"/>
        </w:rPr>
        <w:t>a</w:t>
      </w:r>
      <w:proofErr w:type="gramEnd"/>
      <w:r w:rsidRPr="001F1F79">
        <w:rPr>
          <w:rFonts w:cs="Times New Roman"/>
          <w:szCs w:val="24"/>
        </w:rPr>
        <w:t xml:space="preserve"> receita líquida, apresentados na Tabela 1, é possível perceber com melhor nitidez a expansão dos Custos dos Bens e Serviços Vendidos, citado anteriormente. Isto se deve a desvalorização do Real frente ao Dólar, moeda na qual grande parte dos insumos utilizados no ambiente produtivo da Gerdau é cotada. As despesas e receitas operacionais permaneceram estáveis em relação à receita líquida entre os períodos 2010 e 2013, e sua redução absoluta no período analisado neste artigo deve-se especificamente em relação </w:t>
      </w:r>
      <w:proofErr w:type="gramStart"/>
      <w:r w:rsidRPr="001F1F79">
        <w:rPr>
          <w:rFonts w:cs="Times New Roman"/>
          <w:szCs w:val="24"/>
        </w:rPr>
        <w:t>ao ano base 2009</w:t>
      </w:r>
      <w:proofErr w:type="gramEnd"/>
      <w:r w:rsidRPr="001F1F79">
        <w:rPr>
          <w:rFonts w:cs="Times New Roman"/>
          <w:szCs w:val="24"/>
        </w:rPr>
        <w:t xml:space="preserve">, quando a conta em questão impactou em 13% o faturamento líquido da entidade. </w:t>
      </w:r>
    </w:p>
    <w:p w:rsidR="007000FE" w:rsidRPr="001F1F79" w:rsidRDefault="007000FE" w:rsidP="00402E2F">
      <w:pPr>
        <w:spacing w:after="120"/>
        <w:ind w:firstLine="708"/>
        <w:rPr>
          <w:rFonts w:cs="Times New Roman"/>
          <w:szCs w:val="24"/>
        </w:rPr>
      </w:pPr>
      <w:r w:rsidRPr="001F1F79">
        <w:rPr>
          <w:rFonts w:cs="Times New Roman"/>
          <w:szCs w:val="24"/>
        </w:rPr>
        <w:t xml:space="preserve">Merece destaque a significativa redução da conta consolidadora do Imposto de Renda e Contribuição Social Sobre o Lucro Líquido que, em 2013, apresentou resultado positivo. Este saldo é relativo </w:t>
      </w:r>
      <w:proofErr w:type="gramStart"/>
      <w:r w:rsidRPr="001F1F79">
        <w:rPr>
          <w:rFonts w:cs="Times New Roman"/>
          <w:szCs w:val="24"/>
        </w:rPr>
        <w:t>a</w:t>
      </w:r>
      <w:proofErr w:type="gramEnd"/>
      <w:r w:rsidRPr="001F1F79">
        <w:rPr>
          <w:rFonts w:cs="Times New Roman"/>
          <w:szCs w:val="24"/>
        </w:rPr>
        <w:t xml:space="preserve"> designação pela companhia, da maior parte das dívidas em moeda estrangeira contratadas pelas empresas da Gerdau no Brasil como </w:t>
      </w:r>
      <w:r w:rsidRPr="001F1F79">
        <w:rPr>
          <w:rFonts w:cs="Times New Roman"/>
          <w:i/>
          <w:szCs w:val="24"/>
        </w:rPr>
        <w:t>hedge</w:t>
      </w:r>
      <w:r w:rsidRPr="001F1F79">
        <w:rPr>
          <w:rStyle w:val="Refdenotaderodap"/>
          <w:rFonts w:cs="Times New Roman"/>
          <w:i/>
          <w:szCs w:val="24"/>
        </w:rPr>
        <w:footnoteReference w:id="2"/>
      </w:r>
      <w:r w:rsidRPr="001F1F79">
        <w:rPr>
          <w:rFonts w:cs="Times New Roman"/>
          <w:szCs w:val="24"/>
        </w:rPr>
        <w:t xml:space="preserve"> de parte dos investimentos em empresas controladas no exterior. Com isso, somente o efeito da variação cambial da parte da dívida não atrelada ao </w:t>
      </w:r>
      <w:r w:rsidRPr="001F1F79">
        <w:rPr>
          <w:rFonts w:cs="Times New Roman"/>
          <w:i/>
          <w:szCs w:val="24"/>
        </w:rPr>
        <w:t>hedge</w:t>
      </w:r>
      <w:r w:rsidRPr="001F1F79">
        <w:rPr>
          <w:rFonts w:cs="Times New Roman"/>
          <w:szCs w:val="24"/>
        </w:rPr>
        <w:t xml:space="preserve"> de investimento é reconhecida no resultado financeiro, com neutralização do impacto indicado na conta “IR/CS sobre </w:t>
      </w:r>
      <w:r w:rsidRPr="001F1F79">
        <w:rPr>
          <w:rFonts w:cs="Times New Roman"/>
          <w:i/>
          <w:szCs w:val="24"/>
        </w:rPr>
        <w:t>hedge</w:t>
      </w:r>
      <w:r w:rsidRPr="001F1F79">
        <w:rPr>
          <w:rFonts w:cs="Times New Roman"/>
          <w:szCs w:val="24"/>
        </w:rPr>
        <w:t xml:space="preserve"> de investimento líquido”. Além disso, as controladas brasileiras da Gerdau gozam de incentivos fiscais relacionados ao Programa de Alimentação do Trabalhador, fundos dos direitos das crianças, adolescentes e idosos, programas de inovação tecnológica, entre outros. Este benefício, conforme indicado nas notas explicativas da administração em relação </w:t>
      </w:r>
      <w:proofErr w:type="gramStart"/>
      <w:r w:rsidRPr="001F1F79">
        <w:rPr>
          <w:rFonts w:cs="Times New Roman"/>
          <w:szCs w:val="24"/>
        </w:rPr>
        <w:t>as</w:t>
      </w:r>
      <w:proofErr w:type="gramEnd"/>
      <w:r w:rsidRPr="001F1F79">
        <w:rPr>
          <w:rFonts w:cs="Times New Roman"/>
          <w:szCs w:val="24"/>
        </w:rPr>
        <w:t xml:space="preserve"> demonstrações financeiras, perdurará até 2023. </w:t>
      </w:r>
    </w:p>
    <w:p w:rsidR="007000FE" w:rsidRDefault="007000FE" w:rsidP="001F1F79">
      <w:pPr>
        <w:pStyle w:val="SemEspaamento"/>
        <w:jc w:val="both"/>
        <w:rPr>
          <w:rFonts w:ascii="Times New Roman" w:hAnsi="Times New Roman" w:cs="Times New Roman"/>
          <w:sz w:val="24"/>
          <w:szCs w:val="24"/>
        </w:rPr>
      </w:pPr>
      <w:r w:rsidRPr="001F1F79">
        <w:rPr>
          <w:rFonts w:ascii="Times New Roman" w:hAnsi="Times New Roman" w:cs="Times New Roman"/>
          <w:sz w:val="24"/>
          <w:szCs w:val="24"/>
        </w:rPr>
        <w:lastRenderedPageBreak/>
        <w:t xml:space="preserve">Tabela 1 – Participação das demais contas contábeis das demonstrações de resultados em relação à Receita Líquida 2009 a 2013. </w:t>
      </w:r>
    </w:p>
    <w:tbl>
      <w:tblPr>
        <w:tblW w:w="8575" w:type="dxa"/>
        <w:tblInd w:w="212" w:type="dxa"/>
        <w:tblCellMar>
          <w:left w:w="70" w:type="dxa"/>
          <w:right w:w="70" w:type="dxa"/>
        </w:tblCellMar>
        <w:tblLook w:val="04A0" w:firstRow="1" w:lastRow="0" w:firstColumn="1" w:lastColumn="0" w:noHBand="0" w:noVBand="1"/>
      </w:tblPr>
      <w:tblGrid>
        <w:gridCol w:w="4174"/>
        <w:gridCol w:w="574"/>
        <w:gridCol w:w="669"/>
        <w:gridCol w:w="749"/>
        <w:gridCol w:w="708"/>
        <w:gridCol w:w="709"/>
        <w:gridCol w:w="992"/>
      </w:tblGrid>
      <w:tr w:rsidR="00F3169A" w:rsidRPr="00815A12" w:rsidTr="00F3169A">
        <w:trPr>
          <w:trHeight w:val="251"/>
        </w:trPr>
        <w:tc>
          <w:tcPr>
            <w:tcW w:w="4174" w:type="dxa"/>
            <w:vMerge w:val="restart"/>
            <w:tcBorders>
              <w:top w:val="single" w:sz="8" w:space="0" w:color="366092"/>
              <w:left w:val="nil"/>
              <w:bottom w:val="nil"/>
              <w:right w:val="nil"/>
            </w:tcBorders>
            <w:shd w:val="clear" w:color="auto" w:fill="auto"/>
            <w:noWrap/>
            <w:vAlign w:val="center"/>
            <w:hideMark/>
          </w:tcPr>
          <w:p w:rsidR="00A648BA" w:rsidRPr="00815A12" w:rsidRDefault="00A648BA" w:rsidP="00A648BA">
            <w:pPr>
              <w:spacing w:line="240" w:lineRule="auto"/>
              <w:ind w:firstLine="0"/>
              <w:rPr>
                <w:rFonts w:eastAsia="Times New Roman" w:cs="Times New Roman"/>
                <w:b/>
                <w:bCs/>
                <w:color w:val="000000"/>
                <w:sz w:val="18"/>
                <w:lang w:eastAsia="pt-BR"/>
              </w:rPr>
            </w:pPr>
            <w:r w:rsidRPr="00815A12">
              <w:rPr>
                <w:rFonts w:eastAsia="Times New Roman" w:cs="Times New Roman"/>
                <w:b/>
                <w:bCs/>
                <w:color w:val="000000"/>
                <w:sz w:val="18"/>
                <w:lang w:eastAsia="pt-BR"/>
              </w:rPr>
              <w:t>Conta</w:t>
            </w:r>
          </w:p>
        </w:tc>
        <w:tc>
          <w:tcPr>
            <w:tcW w:w="3409" w:type="dxa"/>
            <w:gridSpan w:val="5"/>
            <w:tcBorders>
              <w:top w:val="single" w:sz="8" w:space="0" w:color="366092"/>
              <w:left w:val="nil"/>
              <w:bottom w:val="nil"/>
              <w:right w:val="nil"/>
            </w:tcBorders>
            <w:shd w:val="clear" w:color="auto" w:fill="auto"/>
            <w:noWrap/>
            <w:vAlign w:val="center"/>
            <w:hideMark/>
          </w:tcPr>
          <w:p w:rsidR="00A648BA" w:rsidRPr="00815A12" w:rsidRDefault="00A648BA" w:rsidP="00F3169A">
            <w:pPr>
              <w:tabs>
                <w:tab w:val="left" w:pos="1355"/>
                <w:tab w:val="left" w:pos="2051"/>
              </w:tabs>
              <w:spacing w:line="240" w:lineRule="auto"/>
              <w:ind w:firstLine="221"/>
              <w:jc w:val="center"/>
              <w:rPr>
                <w:rFonts w:eastAsia="Times New Roman" w:cs="Times New Roman"/>
                <w:b/>
                <w:bCs/>
                <w:color w:val="000000"/>
                <w:sz w:val="18"/>
                <w:lang w:eastAsia="pt-BR"/>
              </w:rPr>
            </w:pPr>
            <w:r w:rsidRPr="00815A12">
              <w:rPr>
                <w:rFonts w:eastAsia="Times New Roman" w:cs="Times New Roman"/>
                <w:b/>
                <w:bCs/>
                <w:color w:val="000000"/>
                <w:sz w:val="18"/>
                <w:lang w:eastAsia="pt-BR"/>
              </w:rPr>
              <w:t>Ano</w:t>
            </w:r>
          </w:p>
        </w:tc>
        <w:tc>
          <w:tcPr>
            <w:tcW w:w="992" w:type="dxa"/>
            <w:tcBorders>
              <w:top w:val="single" w:sz="8" w:space="0" w:color="366092"/>
              <w:left w:val="nil"/>
              <w:right w:val="nil"/>
            </w:tcBorders>
            <w:shd w:val="clear" w:color="auto" w:fill="auto"/>
            <w:noWrap/>
            <w:vAlign w:val="center"/>
            <w:hideMark/>
          </w:tcPr>
          <w:p w:rsidR="00A648BA" w:rsidRPr="00815A12" w:rsidRDefault="00A648BA" w:rsidP="00F3169A">
            <w:pPr>
              <w:spacing w:line="240" w:lineRule="auto"/>
              <w:ind w:left="32" w:hanging="162"/>
              <w:jc w:val="center"/>
              <w:rPr>
                <w:rFonts w:eastAsia="Times New Roman" w:cs="Times New Roman"/>
                <w:b/>
                <w:bCs/>
                <w:color w:val="000000"/>
                <w:sz w:val="18"/>
                <w:lang w:eastAsia="pt-BR"/>
              </w:rPr>
            </w:pPr>
          </w:p>
        </w:tc>
      </w:tr>
      <w:tr w:rsidR="00F3169A" w:rsidRPr="00815A12" w:rsidTr="00F3169A">
        <w:trPr>
          <w:trHeight w:val="251"/>
        </w:trPr>
        <w:tc>
          <w:tcPr>
            <w:tcW w:w="4174" w:type="dxa"/>
            <w:vMerge/>
            <w:tcBorders>
              <w:top w:val="single" w:sz="8" w:space="0" w:color="366092"/>
              <w:left w:val="nil"/>
              <w:bottom w:val="nil"/>
              <w:right w:val="nil"/>
            </w:tcBorders>
            <w:vAlign w:val="center"/>
            <w:hideMark/>
          </w:tcPr>
          <w:p w:rsidR="00A648BA" w:rsidRPr="00815A12" w:rsidRDefault="00A648BA" w:rsidP="00A648BA">
            <w:pPr>
              <w:spacing w:line="240" w:lineRule="auto"/>
              <w:ind w:firstLine="0"/>
              <w:rPr>
                <w:rFonts w:eastAsia="Times New Roman" w:cs="Times New Roman"/>
                <w:b/>
                <w:bCs/>
                <w:color w:val="000000"/>
                <w:sz w:val="18"/>
                <w:lang w:eastAsia="pt-BR"/>
              </w:rPr>
            </w:pPr>
          </w:p>
        </w:tc>
        <w:tc>
          <w:tcPr>
            <w:tcW w:w="574"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right="-172" w:firstLine="0"/>
              <w:jc w:val="center"/>
              <w:rPr>
                <w:rFonts w:eastAsia="Times New Roman" w:cs="Times New Roman"/>
                <w:b/>
                <w:bCs/>
                <w:color w:val="000000"/>
                <w:sz w:val="18"/>
                <w:lang w:eastAsia="pt-BR"/>
              </w:rPr>
            </w:pPr>
            <w:r w:rsidRPr="00815A12">
              <w:rPr>
                <w:rFonts w:eastAsia="Times New Roman" w:cs="Times New Roman"/>
                <w:b/>
                <w:bCs/>
                <w:color w:val="000000"/>
                <w:sz w:val="18"/>
                <w:lang w:eastAsia="pt-BR"/>
              </w:rPr>
              <w:t>2009</w:t>
            </w:r>
          </w:p>
        </w:tc>
        <w:tc>
          <w:tcPr>
            <w:tcW w:w="66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32"/>
              <w:jc w:val="center"/>
              <w:rPr>
                <w:rFonts w:eastAsia="Times New Roman" w:cs="Times New Roman"/>
                <w:b/>
                <w:bCs/>
                <w:color w:val="000000"/>
                <w:sz w:val="18"/>
                <w:lang w:eastAsia="pt-BR"/>
              </w:rPr>
            </w:pPr>
            <w:r w:rsidRPr="00815A12">
              <w:rPr>
                <w:rFonts w:eastAsia="Times New Roman" w:cs="Times New Roman"/>
                <w:b/>
                <w:bCs/>
                <w:color w:val="000000"/>
                <w:sz w:val="18"/>
                <w:lang w:eastAsia="pt-BR"/>
              </w:rPr>
              <w:t>2010</w:t>
            </w:r>
          </w:p>
        </w:tc>
        <w:tc>
          <w:tcPr>
            <w:tcW w:w="74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hanging="30"/>
              <w:jc w:val="center"/>
              <w:rPr>
                <w:rFonts w:eastAsia="Times New Roman" w:cs="Times New Roman"/>
                <w:b/>
                <w:bCs/>
                <w:color w:val="000000"/>
                <w:sz w:val="18"/>
                <w:lang w:eastAsia="pt-BR"/>
              </w:rPr>
            </w:pPr>
            <w:r w:rsidRPr="00815A12">
              <w:rPr>
                <w:rFonts w:eastAsia="Times New Roman" w:cs="Times New Roman"/>
                <w:b/>
                <w:bCs/>
                <w:color w:val="000000"/>
                <w:sz w:val="18"/>
                <w:lang w:eastAsia="pt-BR"/>
              </w:rPr>
              <w:t>2011</w:t>
            </w:r>
          </w:p>
        </w:tc>
        <w:tc>
          <w:tcPr>
            <w:tcW w:w="708"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b/>
                <w:bCs/>
                <w:color w:val="000000"/>
                <w:sz w:val="18"/>
                <w:lang w:eastAsia="pt-BR"/>
              </w:rPr>
            </w:pPr>
            <w:r w:rsidRPr="00815A12">
              <w:rPr>
                <w:rFonts w:eastAsia="Times New Roman" w:cs="Times New Roman"/>
                <w:b/>
                <w:bCs/>
                <w:color w:val="000000"/>
                <w:sz w:val="18"/>
                <w:lang w:eastAsia="pt-BR"/>
              </w:rPr>
              <w:t>2012</w:t>
            </w:r>
          </w:p>
        </w:tc>
        <w:tc>
          <w:tcPr>
            <w:tcW w:w="70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b/>
                <w:bCs/>
                <w:color w:val="000000"/>
                <w:sz w:val="18"/>
                <w:lang w:eastAsia="pt-BR"/>
              </w:rPr>
            </w:pPr>
            <w:r w:rsidRPr="00815A12">
              <w:rPr>
                <w:rFonts w:eastAsia="Times New Roman" w:cs="Times New Roman"/>
                <w:b/>
                <w:bCs/>
                <w:color w:val="000000"/>
                <w:sz w:val="18"/>
                <w:lang w:eastAsia="pt-BR"/>
              </w:rPr>
              <w:t>2013</w:t>
            </w:r>
          </w:p>
        </w:tc>
        <w:tc>
          <w:tcPr>
            <w:tcW w:w="992" w:type="dxa"/>
            <w:tcBorders>
              <w:left w:val="nil"/>
              <w:bottom w:val="nil"/>
              <w:right w:val="nil"/>
            </w:tcBorders>
            <w:vAlign w:val="center"/>
            <w:hideMark/>
          </w:tcPr>
          <w:p w:rsidR="00A648BA" w:rsidRPr="00815A12" w:rsidRDefault="00F3169A" w:rsidP="00A648BA">
            <w:pPr>
              <w:spacing w:line="240" w:lineRule="auto"/>
              <w:ind w:firstLine="0"/>
              <w:rPr>
                <w:rFonts w:eastAsia="Times New Roman" w:cs="Times New Roman"/>
                <w:b/>
                <w:bCs/>
                <w:color w:val="000000"/>
                <w:sz w:val="18"/>
                <w:lang w:eastAsia="pt-BR"/>
              </w:rPr>
            </w:pPr>
            <w:r w:rsidRPr="00815A12">
              <w:rPr>
                <w:rFonts w:eastAsia="Times New Roman" w:cs="Times New Roman"/>
                <w:b/>
                <w:bCs/>
                <w:color w:val="000000"/>
                <w:sz w:val="18"/>
                <w:lang w:eastAsia="pt-BR"/>
              </w:rPr>
              <w:t>CAGR 5Y</w:t>
            </w:r>
          </w:p>
        </w:tc>
      </w:tr>
      <w:tr w:rsidR="00F3169A" w:rsidRPr="00815A12" w:rsidTr="00F3169A">
        <w:trPr>
          <w:trHeight w:val="251"/>
        </w:trPr>
        <w:tc>
          <w:tcPr>
            <w:tcW w:w="4174" w:type="dxa"/>
            <w:tcBorders>
              <w:top w:val="nil"/>
              <w:left w:val="nil"/>
              <w:bottom w:val="nil"/>
              <w:right w:val="nil"/>
            </w:tcBorders>
            <w:shd w:val="clear" w:color="auto" w:fill="auto"/>
            <w:noWrap/>
            <w:vAlign w:val="bottom"/>
            <w:hideMark/>
          </w:tcPr>
          <w:p w:rsidR="00A648BA" w:rsidRPr="00815A12" w:rsidRDefault="00A648BA" w:rsidP="00A648BA">
            <w:pPr>
              <w:spacing w:line="240" w:lineRule="auto"/>
              <w:ind w:firstLine="0"/>
              <w:rPr>
                <w:rFonts w:eastAsia="Times New Roman" w:cs="Times New Roman"/>
                <w:color w:val="000000"/>
                <w:sz w:val="18"/>
                <w:lang w:eastAsia="pt-BR"/>
              </w:rPr>
            </w:pPr>
            <w:r w:rsidRPr="00815A12">
              <w:rPr>
                <w:rFonts w:eastAsia="Times New Roman" w:cs="Times New Roman"/>
                <w:color w:val="000000"/>
                <w:sz w:val="18"/>
                <w:lang w:eastAsia="pt-BR"/>
              </w:rPr>
              <w:t>Receita de Venda de Bens e/ou Serviços</w:t>
            </w:r>
          </w:p>
        </w:tc>
        <w:tc>
          <w:tcPr>
            <w:tcW w:w="574"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right="-172" w:firstLine="0"/>
              <w:jc w:val="center"/>
              <w:rPr>
                <w:rFonts w:eastAsia="Times New Roman" w:cs="Times New Roman"/>
                <w:color w:val="000000"/>
                <w:sz w:val="18"/>
                <w:lang w:eastAsia="pt-BR"/>
              </w:rPr>
            </w:pPr>
            <w:r w:rsidRPr="00815A12">
              <w:rPr>
                <w:rFonts w:eastAsia="Times New Roman" w:cs="Times New Roman"/>
                <w:color w:val="000000"/>
                <w:sz w:val="18"/>
                <w:lang w:eastAsia="pt-BR"/>
              </w:rPr>
              <w:t xml:space="preserve">   26.540 </w:t>
            </w:r>
          </w:p>
        </w:tc>
        <w:tc>
          <w:tcPr>
            <w:tcW w:w="66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32"/>
              <w:jc w:val="center"/>
              <w:rPr>
                <w:rFonts w:eastAsia="Times New Roman" w:cs="Times New Roman"/>
                <w:color w:val="000000"/>
                <w:sz w:val="18"/>
                <w:lang w:eastAsia="pt-BR"/>
              </w:rPr>
            </w:pPr>
            <w:r w:rsidRPr="00815A12">
              <w:rPr>
                <w:rFonts w:eastAsia="Times New Roman" w:cs="Times New Roman"/>
                <w:color w:val="000000"/>
                <w:sz w:val="18"/>
                <w:lang w:eastAsia="pt-BR"/>
              </w:rPr>
              <w:t xml:space="preserve">    31.393 </w:t>
            </w:r>
          </w:p>
        </w:tc>
        <w:tc>
          <w:tcPr>
            <w:tcW w:w="74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hanging="30"/>
              <w:jc w:val="center"/>
              <w:rPr>
                <w:rFonts w:eastAsia="Times New Roman" w:cs="Times New Roman"/>
                <w:color w:val="000000"/>
                <w:sz w:val="18"/>
                <w:lang w:eastAsia="pt-BR"/>
              </w:rPr>
            </w:pPr>
            <w:r w:rsidRPr="00815A12">
              <w:rPr>
                <w:rFonts w:eastAsia="Times New Roman" w:cs="Times New Roman"/>
                <w:color w:val="000000"/>
                <w:sz w:val="18"/>
                <w:lang w:eastAsia="pt-BR"/>
              </w:rPr>
              <w:t xml:space="preserve">    35.407 </w:t>
            </w:r>
          </w:p>
        </w:tc>
        <w:tc>
          <w:tcPr>
            <w:tcW w:w="708"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 xml:space="preserve">    37.982 </w:t>
            </w:r>
          </w:p>
        </w:tc>
        <w:tc>
          <w:tcPr>
            <w:tcW w:w="70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 xml:space="preserve">    39.863 </w:t>
            </w:r>
          </w:p>
        </w:tc>
        <w:tc>
          <w:tcPr>
            <w:tcW w:w="992"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8,5%</w:t>
            </w:r>
          </w:p>
        </w:tc>
      </w:tr>
      <w:tr w:rsidR="00F3169A" w:rsidRPr="00815A12" w:rsidTr="00F3169A">
        <w:trPr>
          <w:trHeight w:val="251"/>
        </w:trPr>
        <w:tc>
          <w:tcPr>
            <w:tcW w:w="4174" w:type="dxa"/>
            <w:tcBorders>
              <w:top w:val="nil"/>
              <w:left w:val="nil"/>
              <w:bottom w:val="nil"/>
              <w:right w:val="nil"/>
            </w:tcBorders>
            <w:shd w:val="clear" w:color="auto" w:fill="auto"/>
            <w:noWrap/>
            <w:vAlign w:val="bottom"/>
            <w:hideMark/>
          </w:tcPr>
          <w:p w:rsidR="00A648BA" w:rsidRPr="00815A12" w:rsidRDefault="00A648BA" w:rsidP="00A648BA">
            <w:pPr>
              <w:spacing w:line="240" w:lineRule="auto"/>
              <w:ind w:firstLine="0"/>
              <w:rPr>
                <w:rFonts w:eastAsia="Times New Roman" w:cs="Times New Roman"/>
                <w:color w:val="003300"/>
                <w:sz w:val="18"/>
                <w:lang w:eastAsia="pt-BR"/>
              </w:rPr>
            </w:pPr>
            <w:r w:rsidRPr="00815A12">
              <w:rPr>
                <w:rFonts w:eastAsia="Times New Roman" w:cs="Times New Roman"/>
                <w:color w:val="003300"/>
                <w:sz w:val="18"/>
                <w:lang w:eastAsia="pt-BR"/>
              </w:rPr>
              <w:t>Custo dos Bens e/ou Serviços Vendidos</w:t>
            </w:r>
          </w:p>
        </w:tc>
        <w:tc>
          <w:tcPr>
            <w:tcW w:w="574"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right="-172" w:firstLine="0"/>
              <w:jc w:val="center"/>
              <w:rPr>
                <w:rFonts w:eastAsia="Times New Roman" w:cs="Times New Roman"/>
                <w:color w:val="000000"/>
                <w:sz w:val="18"/>
                <w:lang w:eastAsia="pt-BR"/>
              </w:rPr>
            </w:pPr>
            <w:r w:rsidRPr="00815A12">
              <w:rPr>
                <w:rFonts w:eastAsia="Times New Roman" w:cs="Times New Roman"/>
                <w:color w:val="000000"/>
                <w:sz w:val="18"/>
                <w:lang w:eastAsia="pt-BR"/>
              </w:rPr>
              <w:t>84%</w:t>
            </w:r>
          </w:p>
        </w:tc>
        <w:tc>
          <w:tcPr>
            <w:tcW w:w="66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32"/>
              <w:jc w:val="center"/>
              <w:rPr>
                <w:rFonts w:eastAsia="Times New Roman" w:cs="Times New Roman"/>
                <w:color w:val="000000"/>
                <w:sz w:val="18"/>
                <w:lang w:eastAsia="pt-BR"/>
              </w:rPr>
            </w:pPr>
            <w:r w:rsidRPr="00815A12">
              <w:rPr>
                <w:rFonts w:eastAsia="Times New Roman" w:cs="Times New Roman"/>
                <w:color w:val="000000"/>
                <w:sz w:val="18"/>
                <w:lang w:eastAsia="pt-BR"/>
              </w:rPr>
              <w:t>82%</w:t>
            </w:r>
          </w:p>
        </w:tc>
        <w:tc>
          <w:tcPr>
            <w:tcW w:w="74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hanging="30"/>
              <w:jc w:val="center"/>
              <w:rPr>
                <w:rFonts w:eastAsia="Times New Roman" w:cs="Times New Roman"/>
                <w:color w:val="000000"/>
                <w:sz w:val="18"/>
                <w:lang w:eastAsia="pt-BR"/>
              </w:rPr>
            </w:pPr>
            <w:r w:rsidRPr="00815A12">
              <w:rPr>
                <w:rFonts w:eastAsia="Times New Roman" w:cs="Times New Roman"/>
                <w:color w:val="000000"/>
                <w:sz w:val="18"/>
                <w:lang w:eastAsia="pt-BR"/>
              </w:rPr>
              <w:t>86%</w:t>
            </w:r>
          </w:p>
        </w:tc>
        <w:tc>
          <w:tcPr>
            <w:tcW w:w="708"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88%</w:t>
            </w:r>
          </w:p>
        </w:tc>
        <w:tc>
          <w:tcPr>
            <w:tcW w:w="70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87%</w:t>
            </w:r>
          </w:p>
        </w:tc>
        <w:tc>
          <w:tcPr>
            <w:tcW w:w="992"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9,3%</w:t>
            </w:r>
          </w:p>
        </w:tc>
      </w:tr>
      <w:tr w:rsidR="00F3169A" w:rsidRPr="00815A12" w:rsidTr="00F3169A">
        <w:trPr>
          <w:trHeight w:val="251"/>
        </w:trPr>
        <w:tc>
          <w:tcPr>
            <w:tcW w:w="4174" w:type="dxa"/>
            <w:tcBorders>
              <w:top w:val="nil"/>
              <w:left w:val="nil"/>
              <w:bottom w:val="nil"/>
              <w:right w:val="nil"/>
            </w:tcBorders>
            <w:shd w:val="clear" w:color="auto" w:fill="auto"/>
            <w:noWrap/>
            <w:vAlign w:val="bottom"/>
            <w:hideMark/>
          </w:tcPr>
          <w:p w:rsidR="00A648BA" w:rsidRPr="00815A12" w:rsidRDefault="00A648BA" w:rsidP="00A648BA">
            <w:pPr>
              <w:spacing w:line="240" w:lineRule="auto"/>
              <w:ind w:firstLine="0"/>
              <w:rPr>
                <w:rFonts w:eastAsia="Times New Roman" w:cs="Times New Roman"/>
                <w:sz w:val="18"/>
                <w:lang w:eastAsia="pt-BR"/>
              </w:rPr>
            </w:pPr>
            <w:r w:rsidRPr="00815A12">
              <w:rPr>
                <w:rFonts w:eastAsia="Times New Roman" w:cs="Times New Roman"/>
                <w:sz w:val="18"/>
                <w:lang w:eastAsia="pt-BR"/>
              </w:rPr>
              <w:t>Resultado Bruto</w:t>
            </w:r>
          </w:p>
        </w:tc>
        <w:tc>
          <w:tcPr>
            <w:tcW w:w="574"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right="-172" w:firstLine="0"/>
              <w:jc w:val="center"/>
              <w:rPr>
                <w:rFonts w:eastAsia="Times New Roman" w:cs="Times New Roman"/>
                <w:color w:val="000000"/>
                <w:sz w:val="18"/>
                <w:lang w:eastAsia="pt-BR"/>
              </w:rPr>
            </w:pPr>
            <w:r w:rsidRPr="00815A12">
              <w:rPr>
                <w:rFonts w:eastAsia="Times New Roman" w:cs="Times New Roman"/>
                <w:color w:val="000000"/>
                <w:sz w:val="18"/>
                <w:lang w:eastAsia="pt-BR"/>
              </w:rPr>
              <w:t>16%</w:t>
            </w:r>
          </w:p>
        </w:tc>
        <w:tc>
          <w:tcPr>
            <w:tcW w:w="66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32"/>
              <w:jc w:val="center"/>
              <w:rPr>
                <w:rFonts w:eastAsia="Times New Roman" w:cs="Times New Roman"/>
                <w:color w:val="000000"/>
                <w:sz w:val="18"/>
                <w:lang w:eastAsia="pt-BR"/>
              </w:rPr>
            </w:pPr>
            <w:r w:rsidRPr="00815A12">
              <w:rPr>
                <w:rFonts w:eastAsia="Times New Roman" w:cs="Times New Roman"/>
                <w:color w:val="000000"/>
                <w:sz w:val="18"/>
                <w:lang w:eastAsia="pt-BR"/>
              </w:rPr>
              <w:t>18%</w:t>
            </w:r>
          </w:p>
        </w:tc>
        <w:tc>
          <w:tcPr>
            <w:tcW w:w="74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hanging="30"/>
              <w:jc w:val="center"/>
              <w:rPr>
                <w:rFonts w:eastAsia="Times New Roman" w:cs="Times New Roman"/>
                <w:color w:val="000000"/>
                <w:sz w:val="18"/>
                <w:lang w:eastAsia="pt-BR"/>
              </w:rPr>
            </w:pPr>
            <w:r w:rsidRPr="00815A12">
              <w:rPr>
                <w:rFonts w:eastAsia="Times New Roman" w:cs="Times New Roman"/>
                <w:color w:val="000000"/>
                <w:sz w:val="18"/>
                <w:lang w:eastAsia="pt-BR"/>
              </w:rPr>
              <w:t>14%</w:t>
            </w:r>
          </w:p>
        </w:tc>
        <w:tc>
          <w:tcPr>
            <w:tcW w:w="708"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12%</w:t>
            </w:r>
          </w:p>
        </w:tc>
        <w:tc>
          <w:tcPr>
            <w:tcW w:w="70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13%</w:t>
            </w:r>
          </w:p>
        </w:tc>
        <w:tc>
          <w:tcPr>
            <w:tcW w:w="992"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3,9%</w:t>
            </w:r>
          </w:p>
        </w:tc>
      </w:tr>
      <w:tr w:rsidR="00F3169A" w:rsidRPr="00815A12" w:rsidTr="00F3169A">
        <w:trPr>
          <w:trHeight w:val="251"/>
        </w:trPr>
        <w:tc>
          <w:tcPr>
            <w:tcW w:w="4174" w:type="dxa"/>
            <w:tcBorders>
              <w:top w:val="nil"/>
              <w:left w:val="nil"/>
              <w:bottom w:val="nil"/>
              <w:right w:val="nil"/>
            </w:tcBorders>
            <w:shd w:val="clear" w:color="auto" w:fill="auto"/>
            <w:noWrap/>
            <w:vAlign w:val="bottom"/>
            <w:hideMark/>
          </w:tcPr>
          <w:p w:rsidR="00A648BA" w:rsidRPr="00815A12" w:rsidRDefault="00A648BA" w:rsidP="00A648BA">
            <w:pPr>
              <w:spacing w:line="240" w:lineRule="auto"/>
              <w:ind w:firstLine="0"/>
              <w:rPr>
                <w:rFonts w:eastAsia="Times New Roman" w:cs="Times New Roman"/>
                <w:sz w:val="18"/>
                <w:lang w:eastAsia="pt-BR"/>
              </w:rPr>
            </w:pPr>
            <w:r w:rsidRPr="00815A12">
              <w:rPr>
                <w:rFonts w:eastAsia="Times New Roman" w:cs="Times New Roman"/>
                <w:sz w:val="18"/>
                <w:lang w:eastAsia="pt-BR"/>
              </w:rPr>
              <w:t>Despesas/Receitas Operacionais</w:t>
            </w:r>
          </w:p>
        </w:tc>
        <w:tc>
          <w:tcPr>
            <w:tcW w:w="574"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right="-172" w:firstLine="0"/>
              <w:jc w:val="center"/>
              <w:rPr>
                <w:rFonts w:eastAsia="Times New Roman" w:cs="Times New Roman"/>
                <w:color w:val="000000"/>
                <w:sz w:val="18"/>
                <w:lang w:eastAsia="pt-BR"/>
              </w:rPr>
            </w:pPr>
            <w:r w:rsidRPr="00815A12">
              <w:rPr>
                <w:rFonts w:eastAsia="Times New Roman" w:cs="Times New Roman"/>
                <w:color w:val="000000"/>
                <w:sz w:val="18"/>
                <w:lang w:eastAsia="pt-BR"/>
              </w:rPr>
              <w:t>13%</w:t>
            </w:r>
          </w:p>
        </w:tc>
        <w:tc>
          <w:tcPr>
            <w:tcW w:w="66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32"/>
              <w:jc w:val="center"/>
              <w:rPr>
                <w:rFonts w:eastAsia="Times New Roman" w:cs="Times New Roman"/>
                <w:color w:val="000000"/>
                <w:sz w:val="18"/>
                <w:lang w:eastAsia="pt-BR"/>
              </w:rPr>
            </w:pPr>
            <w:r w:rsidRPr="00815A12">
              <w:rPr>
                <w:rFonts w:eastAsia="Times New Roman" w:cs="Times New Roman"/>
                <w:color w:val="000000"/>
                <w:sz w:val="18"/>
                <w:lang w:eastAsia="pt-BR"/>
              </w:rPr>
              <w:t>6%</w:t>
            </w:r>
          </w:p>
        </w:tc>
        <w:tc>
          <w:tcPr>
            <w:tcW w:w="74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hanging="30"/>
              <w:jc w:val="center"/>
              <w:rPr>
                <w:rFonts w:eastAsia="Times New Roman" w:cs="Times New Roman"/>
                <w:color w:val="000000"/>
                <w:sz w:val="18"/>
                <w:lang w:eastAsia="pt-BR"/>
              </w:rPr>
            </w:pPr>
            <w:r w:rsidRPr="00815A12">
              <w:rPr>
                <w:rFonts w:eastAsia="Times New Roman" w:cs="Times New Roman"/>
                <w:color w:val="000000"/>
                <w:sz w:val="18"/>
                <w:lang w:eastAsia="pt-BR"/>
              </w:rPr>
              <w:t>6%</w:t>
            </w:r>
          </w:p>
        </w:tc>
        <w:tc>
          <w:tcPr>
            <w:tcW w:w="708"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6%</w:t>
            </w:r>
          </w:p>
        </w:tc>
        <w:tc>
          <w:tcPr>
            <w:tcW w:w="70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6%</w:t>
            </w:r>
          </w:p>
        </w:tc>
        <w:tc>
          <w:tcPr>
            <w:tcW w:w="992"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-6,8%</w:t>
            </w:r>
          </w:p>
        </w:tc>
      </w:tr>
      <w:tr w:rsidR="00F3169A" w:rsidRPr="00815A12" w:rsidTr="00F3169A">
        <w:trPr>
          <w:trHeight w:val="251"/>
        </w:trPr>
        <w:tc>
          <w:tcPr>
            <w:tcW w:w="4174" w:type="dxa"/>
            <w:tcBorders>
              <w:top w:val="nil"/>
              <w:left w:val="nil"/>
              <w:bottom w:val="nil"/>
              <w:right w:val="nil"/>
            </w:tcBorders>
            <w:shd w:val="clear" w:color="auto" w:fill="auto"/>
            <w:noWrap/>
            <w:vAlign w:val="bottom"/>
            <w:hideMark/>
          </w:tcPr>
          <w:p w:rsidR="00A648BA" w:rsidRPr="00815A12" w:rsidRDefault="00A648BA" w:rsidP="00A648BA">
            <w:pPr>
              <w:spacing w:line="240" w:lineRule="auto"/>
              <w:ind w:firstLine="0"/>
              <w:rPr>
                <w:rFonts w:eastAsia="Times New Roman" w:cs="Times New Roman"/>
                <w:sz w:val="18"/>
                <w:lang w:eastAsia="pt-BR"/>
              </w:rPr>
            </w:pPr>
            <w:r w:rsidRPr="00815A12">
              <w:rPr>
                <w:rFonts w:eastAsia="Times New Roman" w:cs="Times New Roman"/>
                <w:sz w:val="18"/>
                <w:lang w:eastAsia="pt-BR"/>
              </w:rPr>
              <w:t xml:space="preserve">Resultado </w:t>
            </w:r>
            <w:r>
              <w:rPr>
                <w:rFonts w:eastAsia="Times New Roman" w:cs="Times New Roman"/>
                <w:sz w:val="18"/>
                <w:lang w:eastAsia="pt-BR"/>
              </w:rPr>
              <w:t>Operacional</w:t>
            </w:r>
          </w:p>
        </w:tc>
        <w:tc>
          <w:tcPr>
            <w:tcW w:w="574"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right="-172" w:firstLine="0"/>
              <w:jc w:val="center"/>
              <w:rPr>
                <w:rFonts w:eastAsia="Times New Roman" w:cs="Times New Roman"/>
                <w:color w:val="000000"/>
                <w:sz w:val="18"/>
                <w:lang w:eastAsia="pt-BR"/>
              </w:rPr>
            </w:pPr>
            <w:r w:rsidRPr="00815A12">
              <w:rPr>
                <w:rFonts w:eastAsia="Times New Roman" w:cs="Times New Roman"/>
                <w:color w:val="000000"/>
                <w:sz w:val="18"/>
                <w:lang w:eastAsia="pt-BR"/>
              </w:rPr>
              <w:t>3%</w:t>
            </w:r>
          </w:p>
        </w:tc>
        <w:tc>
          <w:tcPr>
            <w:tcW w:w="66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32"/>
              <w:jc w:val="center"/>
              <w:rPr>
                <w:rFonts w:eastAsia="Times New Roman" w:cs="Times New Roman"/>
                <w:color w:val="000000"/>
                <w:sz w:val="18"/>
                <w:lang w:eastAsia="pt-BR"/>
              </w:rPr>
            </w:pPr>
            <w:r w:rsidRPr="00815A12">
              <w:rPr>
                <w:rFonts w:eastAsia="Times New Roman" w:cs="Times New Roman"/>
                <w:color w:val="000000"/>
                <w:sz w:val="18"/>
                <w:lang w:eastAsia="pt-BR"/>
              </w:rPr>
              <w:t>12%</w:t>
            </w:r>
          </w:p>
        </w:tc>
        <w:tc>
          <w:tcPr>
            <w:tcW w:w="74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hanging="30"/>
              <w:jc w:val="center"/>
              <w:rPr>
                <w:rFonts w:eastAsia="Times New Roman" w:cs="Times New Roman"/>
                <w:color w:val="000000"/>
                <w:sz w:val="18"/>
                <w:lang w:eastAsia="pt-BR"/>
              </w:rPr>
            </w:pPr>
            <w:r w:rsidRPr="00815A12">
              <w:rPr>
                <w:rFonts w:eastAsia="Times New Roman" w:cs="Times New Roman"/>
                <w:color w:val="000000"/>
                <w:sz w:val="18"/>
                <w:lang w:eastAsia="pt-BR"/>
              </w:rPr>
              <w:t>8%</w:t>
            </w:r>
          </w:p>
        </w:tc>
        <w:tc>
          <w:tcPr>
            <w:tcW w:w="708"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6%</w:t>
            </w:r>
          </w:p>
        </w:tc>
        <w:tc>
          <w:tcPr>
            <w:tcW w:w="70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7%</w:t>
            </w:r>
          </w:p>
        </w:tc>
        <w:tc>
          <w:tcPr>
            <w:tcW w:w="992"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26,6%</w:t>
            </w:r>
          </w:p>
        </w:tc>
      </w:tr>
      <w:tr w:rsidR="00F3169A" w:rsidRPr="00815A12" w:rsidTr="00F3169A">
        <w:trPr>
          <w:trHeight w:val="251"/>
        </w:trPr>
        <w:tc>
          <w:tcPr>
            <w:tcW w:w="4174" w:type="dxa"/>
            <w:tcBorders>
              <w:top w:val="nil"/>
              <w:left w:val="nil"/>
              <w:bottom w:val="nil"/>
              <w:right w:val="nil"/>
            </w:tcBorders>
            <w:shd w:val="clear" w:color="auto" w:fill="auto"/>
            <w:noWrap/>
            <w:vAlign w:val="bottom"/>
            <w:hideMark/>
          </w:tcPr>
          <w:p w:rsidR="00A648BA" w:rsidRPr="00815A12" w:rsidRDefault="00A648BA" w:rsidP="00A648BA">
            <w:pPr>
              <w:spacing w:line="240" w:lineRule="auto"/>
              <w:ind w:firstLine="0"/>
              <w:rPr>
                <w:rFonts w:eastAsia="Times New Roman" w:cs="Times New Roman"/>
                <w:sz w:val="18"/>
                <w:lang w:eastAsia="pt-BR"/>
              </w:rPr>
            </w:pPr>
            <w:r w:rsidRPr="00815A12">
              <w:rPr>
                <w:rFonts w:eastAsia="Times New Roman" w:cs="Times New Roman"/>
                <w:sz w:val="18"/>
                <w:lang w:eastAsia="pt-BR"/>
              </w:rPr>
              <w:t>Resultado Financeiro</w:t>
            </w:r>
          </w:p>
        </w:tc>
        <w:tc>
          <w:tcPr>
            <w:tcW w:w="574"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right="-172" w:firstLine="0"/>
              <w:jc w:val="center"/>
              <w:rPr>
                <w:rFonts w:eastAsia="Times New Roman" w:cs="Times New Roman"/>
                <w:color w:val="000000"/>
                <w:sz w:val="18"/>
                <w:lang w:eastAsia="pt-BR"/>
              </w:rPr>
            </w:pPr>
            <w:r w:rsidRPr="00815A12">
              <w:rPr>
                <w:rFonts w:eastAsia="Times New Roman" w:cs="Times New Roman"/>
                <w:color w:val="000000"/>
                <w:sz w:val="18"/>
                <w:lang w:eastAsia="pt-BR"/>
              </w:rPr>
              <w:t>-1%</w:t>
            </w:r>
          </w:p>
        </w:tc>
        <w:tc>
          <w:tcPr>
            <w:tcW w:w="66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32"/>
              <w:jc w:val="center"/>
              <w:rPr>
                <w:rFonts w:eastAsia="Times New Roman" w:cs="Times New Roman"/>
                <w:color w:val="000000"/>
                <w:sz w:val="18"/>
                <w:lang w:eastAsia="pt-BR"/>
              </w:rPr>
            </w:pPr>
            <w:r w:rsidRPr="00815A12">
              <w:rPr>
                <w:rFonts w:eastAsia="Times New Roman" w:cs="Times New Roman"/>
                <w:color w:val="000000"/>
                <w:sz w:val="18"/>
                <w:lang w:eastAsia="pt-BR"/>
              </w:rPr>
              <w:t>2%</w:t>
            </w:r>
          </w:p>
        </w:tc>
        <w:tc>
          <w:tcPr>
            <w:tcW w:w="74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hanging="30"/>
              <w:jc w:val="center"/>
              <w:rPr>
                <w:rFonts w:eastAsia="Times New Roman" w:cs="Times New Roman"/>
                <w:color w:val="000000"/>
                <w:sz w:val="18"/>
                <w:lang w:eastAsia="pt-BR"/>
              </w:rPr>
            </w:pPr>
            <w:r w:rsidRPr="00815A12">
              <w:rPr>
                <w:rFonts w:eastAsia="Times New Roman" w:cs="Times New Roman"/>
                <w:color w:val="000000"/>
                <w:sz w:val="18"/>
                <w:lang w:eastAsia="pt-BR"/>
              </w:rPr>
              <w:t>1%</w:t>
            </w:r>
          </w:p>
        </w:tc>
        <w:tc>
          <w:tcPr>
            <w:tcW w:w="708"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2%</w:t>
            </w:r>
          </w:p>
        </w:tc>
        <w:tc>
          <w:tcPr>
            <w:tcW w:w="70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3%</w:t>
            </w:r>
          </w:p>
        </w:tc>
        <w:tc>
          <w:tcPr>
            <w:tcW w:w="992"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13,7%</w:t>
            </w:r>
          </w:p>
        </w:tc>
      </w:tr>
      <w:tr w:rsidR="00F3169A" w:rsidRPr="00815A12" w:rsidTr="00F3169A">
        <w:trPr>
          <w:trHeight w:val="251"/>
        </w:trPr>
        <w:tc>
          <w:tcPr>
            <w:tcW w:w="4174" w:type="dxa"/>
            <w:tcBorders>
              <w:top w:val="nil"/>
              <w:left w:val="nil"/>
              <w:bottom w:val="nil"/>
              <w:right w:val="nil"/>
            </w:tcBorders>
            <w:shd w:val="clear" w:color="auto" w:fill="auto"/>
            <w:noWrap/>
            <w:vAlign w:val="bottom"/>
            <w:hideMark/>
          </w:tcPr>
          <w:p w:rsidR="00A648BA" w:rsidRPr="00815A12" w:rsidRDefault="00A648BA" w:rsidP="00A648BA">
            <w:pPr>
              <w:spacing w:line="240" w:lineRule="auto"/>
              <w:ind w:firstLine="0"/>
              <w:rPr>
                <w:rFonts w:eastAsia="Times New Roman" w:cs="Times New Roman"/>
                <w:sz w:val="18"/>
                <w:lang w:eastAsia="pt-BR"/>
              </w:rPr>
            </w:pPr>
            <w:r w:rsidRPr="00815A12">
              <w:rPr>
                <w:rFonts w:eastAsia="Times New Roman" w:cs="Times New Roman"/>
                <w:sz w:val="18"/>
                <w:lang w:eastAsia="pt-BR"/>
              </w:rPr>
              <w:t>Resultado Antes dos Tributos sobre o Lucro</w:t>
            </w:r>
          </w:p>
        </w:tc>
        <w:tc>
          <w:tcPr>
            <w:tcW w:w="574"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right="-172" w:firstLine="0"/>
              <w:jc w:val="center"/>
              <w:rPr>
                <w:rFonts w:eastAsia="Times New Roman" w:cs="Times New Roman"/>
                <w:color w:val="000000"/>
                <w:sz w:val="18"/>
                <w:lang w:eastAsia="pt-BR"/>
              </w:rPr>
            </w:pPr>
            <w:r w:rsidRPr="00815A12">
              <w:rPr>
                <w:rFonts w:eastAsia="Times New Roman" w:cs="Times New Roman"/>
                <w:color w:val="000000"/>
                <w:sz w:val="18"/>
                <w:lang w:eastAsia="pt-BR"/>
              </w:rPr>
              <w:t>4%</w:t>
            </w:r>
          </w:p>
        </w:tc>
        <w:tc>
          <w:tcPr>
            <w:tcW w:w="66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32"/>
              <w:jc w:val="center"/>
              <w:rPr>
                <w:rFonts w:eastAsia="Times New Roman" w:cs="Times New Roman"/>
                <w:color w:val="000000"/>
                <w:sz w:val="18"/>
                <w:lang w:eastAsia="pt-BR"/>
              </w:rPr>
            </w:pPr>
            <w:r w:rsidRPr="00815A12">
              <w:rPr>
                <w:rFonts w:eastAsia="Times New Roman" w:cs="Times New Roman"/>
                <w:color w:val="000000"/>
                <w:sz w:val="18"/>
                <w:lang w:eastAsia="pt-BR"/>
              </w:rPr>
              <w:t>9%</w:t>
            </w:r>
          </w:p>
        </w:tc>
        <w:tc>
          <w:tcPr>
            <w:tcW w:w="74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hanging="30"/>
              <w:jc w:val="center"/>
              <w:rPr>
                <w:rFonts w:eastAsia="Times New Roman" w:cs="Times New Roman"/>
                <w:color w:val="000000"/>
                <w:sz w:val="18"/>
                <w:lang w:eastAsia="pt-BR"/>
              </w:rPr>
            </w:pPr>
            <w:r w:rsidRPr="00815A12">
              <w:rPr>
                <w:rFonts w:eastAsia="Times New Roman" w:cs="Times New Roman"/>
                <w:color w:val="000000"/>
                <w:sz w:val="18"/>
                <w:lang w:eastAsia="pt-BR"/>
              </w:rPr>
              <w:t>7%</w:t>
            </w:r>
          </w:p>
        </w:tc>
        <w:tc>
          <w:tcPr>
            <w:tcW w:w="708"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4%</w:t>
            </w:r>
          </w:p>
        </w:tc>
        <w:tc>
          <w:tcPr>
            <w:tcW w:w="70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4%</w:t>
            </w:r>
          </w:p>
        </w:tc>
        <w:tc>
          <w:tcPr>
            <w:tcW w:w="992"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7,1%</w:t>
            </w:r>
          </w:p>
        </w:tc>
      </w:tr>
      <w:tr w:rsidR="00F3169A" w:rsidRPr="00815A12" w:rsidTr="00F3169A">
        <w:trPr>
          <w:trHeight w:val="251"/>
        </w:trPr>
        <w:tc>
          <w:tcPr>
            <w:tcW w:w="4174" w:type="dxa"/>
            <w:tcBorders>
              <w:top w:val="nil"/>
              <w:left w:val="nil"/>
              <w:bottom w:val="nil"/>
              <w:right w:val="nil"/>
            </w:tcBorders>
            <w:shd w:val="clear" w:color="auto" w:fill="auto"/>
            <w:noWrap/>
            <w:vAlign w:val="bottom"/>
            <w:hideMark/>
          </w:tcPr>
          <w:p w:rsidR="00A648BA" w:rsidRPr="00815A12" w:rsidRDefault="00A648BA" w:rsidP="00A648BA">
            <w:pPr>
              <w:spacing w:line="240" w:lineRule="auto"/>
              <w:ind w:firstLine="0"/>
              <w:rPr>
                <w:rFonts w:eastAsia="Times New Roman" w:cs="Times New Roman"/>
                <w:sz w:val="18"/>
                <w:lang w:eastAsia="pt-BR"/>
              </w:rPr>
            </w:pPr>
            <w:r w:rsidRPr="00815A12">
              <w:rPr>
                <w:rFonts w:eastAsia="Times New Roman" w:cs="Times New Roman"/>
                <w:sz w:val="18"/>
                <w:lang w:eastAsia="pt-BR"/>
              </w:rPr>
              <w:t>Imposto de Renda e Contribuição Social sobre o Lucro</w:t>
            </w:r>
          </w:p>
        </w:tc>
        <w:tc>
          <w:tcPr>
            <w:tcW w:w="574"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right="-172" w:firstLine="0"/>
              <w:jc w:val="center"/>
              <w:rPr>
                <w:rFonts w:eastAsia="Times New Roman" w:cs="Times New Roman"/>
                <w:color w:val="000000"/>
                <w:sz w:val="18"/>
                <w:lang w:eastAsia="pt-BR"/>
              </w:rPr>
            </w:pPr>
            <w:r w:rsidRPr="00815A12">
              <w:rPr>
                <w:rFonts w:eastAsia="Times New Roman" w:cs="Times New Roman"/>
                <w:color w:val="000000"/>
                <w:sz w:val="18"/>
                <w:lang w:eastAsia="pt-BR"/>
              </w:rPr>
              <w:t>0%</w:t>
            </w:r>
          </w:p>
        </w:tc>
        <w:tc>
          <w:tcPr>
            <w:tcW w:w="66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32"/>
              <w:jc w:val="center"/>
              <w:rPr>
                <w:rFonts w:eastAsia="Times New Roman" w:cs="Times New Roman"/>
                <w:color w:val="000000"/>
                <w:sz w:val="18"/>
                <w:lang w:eastAsia="pt-BR"/>
              </w:rPr>
            </w:pPr>
            <w:r w:rsidRPr="00815A12">
              <w:rPr>
                <w:rFonts w:eastAsia="Times New Roman" w:cs="Times New Roman"/>
                <w:color w:val="000000"/>
                <w:sz w:val="18"/>
                <w:lang w:eastAsia="pt-BR"/>
              </w:rPr>
              <w:t>2%</w:t>
            </w:r>
          </w:p>
        </w:tc>
        <w:tc>
          <w:tcPr>
            <w:tcW w:w="74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hanging="30"/>
              <w:jc w:val="center"/>
              <w:rPr>
                <w:rFonts w:eastAsia="Times New Roman" w:cs="Times New Roman"/>
                <w:color w:val="000000"/>
                <w:sz w:val="18"/>
                <w:lang w:eastAsia="pt-BR"/>
              </w:rPr>
            </w:pPr>
            <w:r w:rsidRPr="00815A12">
              <w:rPr>
                <w:rFonts w:eastAsia="Times New Roman" w:cs="Times New Roman"/>
                <w:color w:val="000000"/>
                <w:sz w:val="18"/>
                <w:lang w:eastAsia="pt-BR"/>
              </w:rPr>
              <w:t>1%</w:t>
            </w:r>
          </w:p>
        </w:tc>
        <w:tc>
          <w:tcPr>
            <w:tcW w:w="708"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0%</w:t>
            </w:r>
          </w:p>
        </w:tc>
        <w:tc>
          <w:tcPr>
            <w:tcW w:w="709" w:type="dxa"/>
            <w:tcBorders>
              <w:top w:val="nil"/>
              <w:left w:val="nil"/>
              <w:bottom w:val="nil"/>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-1%</w:t>
            </w:r>
          </w:p>
        </w:tc>
        <w:tc>
          <w:tcPr>
            <w:tcW w:w="992" w:type="dxa"/>
            <w:tcBorders>
              <w:top w:val="nil"/>
              <w:left w:val="nil"/>
              <w:bottom w:val="nil"/>
              <w:right w:val="nil"/>
            </w:tcBorders>
            <w:shd w:val="clear" w:color="auto" w:fill="auto"/>
            <w:noWrap/>
            <w:vAlign w:val="center"/>
            <w:hideMark/>
          </w:tcPr>
          <w:p w:rsidR="00A648BA" w:rsidRPr="00815A12" w:rsidRDefault="00A648BA" w:rsidP="00F3169A">
            <w:pPr>
              <w:tabs>
                <w:tab w:val="left" w:pos="1136"/>
              </w:tabs>
              <w:spacing w:line="240" w:lineRule="auto"/>
              <w:ind w:right="-226" w:hanging="138"/>
              <w:jc w:val="center"/>
              <w:rPr>
                <w:rFonts w:eastAsia="Times New Roman" w:cs="Times New Roman"/>
                <w:color w:val="000000"/>
                <w:sz w:val="18"/>
                <w:lang w:eastAsia="pt-BR"/>
              </w:rPr>
            </w:pPr>
            <w:r w:rsidRPr="00815A12">
              <w:rPr>
                <w:rFonts w:eastAsia="Times New Roman" w:cs="Times New Roman"/>
                <w:color w:val="000000"/>
                <w:sz w:val="18"/>
                <w:lang w:eastAsia="pt-BR"/>
              </w:rPr>
              <w:t>-255,0%</w:t>
            </w:r>
          </w:p>
        </w:tc>
      </w:tr>
      <w:tr w:rsidR="00F3169A" w:rsidRPr="00815A12" w:rsidTr="00F3169A">
        <w:trPr>
          <w:trHeight w:val="251"/>
        </w:trPr>
        <w:tc>
          <w:tcPr>
            <w:tcW w:w="4174" w:type="dxa"/>
            <w:tcBorders>
              <w:top w:val="nil"/>
              <w:left w:val="nil"/>
              <w:bottom w:val="single" w:sz="8" w:space="0" w:color="366092"/>
              <w:right w:val="nil"/>
            </w:tcBorders>
            <w:shd w:val="clear" w:color="auto" w:fill="auto"/>
            <w:noWrap/>
            <w:vAlign w:val="bottom"/>
            <w:hideMark/>
          </w:tcPr>
          <w:p w:rsidR="00A648BA" w:rsidRPr="00815A12" w:rsidRDefault="00A648BA" w:rsidP="00A648BA">
            <w:pPr>
              <w:spacing w:line="240" w:lineRule="auto"/>
              <w:ind w:firstLine="0"/>
              <w:rPr>
                <w:rFonts w:eastAsia="Times New Roman" w:cs="Times New Roman"/>
                <w:sz w:val="18"/>
                <w:lang w:eastAsia="pt-BR"/>
              </w:rPr>
            </w:pPr>
            <w:r w:rsidRPr="00815A12">
              <w:rPr>
                <w:rFonts w:eastAsia="Times New Roman" w:cs="Times New Roman"/>
                <w:sz w:val="18"/>
                <w:lang w:eastAsia="pt-BR"/>
              </w:rPr>
              <w:t>Resultado Líquido das Operações Continuadas</w:t>
            </w:r>
          </w:p>
        </w:tc>
        <w:tc>
          <w:tcPr>
            <w:tcW w:w="574" w:type="dxa"/>
            <w:tcBorders>
              <w:top w:val="nil"/>
              <w:left w:val="nil"/>
              <w:bottom w:val="single" w:sz="8" w:space="0" w:color="366092"/>
              <w:right w:val="nil"/>
            </w:tcBorders>
            <w:shd w:val="clear" w:color="auto" w:fill="auto"/>
            <w:noWrap/>
            <w:vAlign w:val="center"/>
            <w:hideMark/>
          </w:tcPr>
          <w:p w:rsidR="00A648BA" w:rsidRPr="00815A12" w:rsidRDefault="00A648BA" w:rsidP="00A648BA">
            <w:pPr>
              <w:spacing w:line="240" w:lineRule="auto"/>
              <w:ind w:right="-172" w:firstLine="0"/>
              <w:jc w:val="center"/>
              <w:rPr>
                <w:rFonts w:eastAsia="Times New Roman" w:cs="Times New Roman"/>
                <w:color w:val="000000"/>
                <w:sz w:val="18"/>
                <w:lang w:eastAsia="pt-BR"/>
              </w:rPr>
            </w:pPr>
            <w:r w:rsidRPr="00815A12">
              <w:rPr>
                <w:rFonts w:eastAsia="Times New Roman" w:cs="Times New Roman"/>
                <w:color w:val="000000"/>
                <w:sz w:val="18"/>
                <w:lang w:eastAsia="pt-BR"/>
              </w:rPr>
              <w:t>4%</w:t>
            </w:r>
          </w:p>
        </w:tc>
        <w:tc>
          <w:tcPr>
            <w:tcW w:w="669" w:type="dxa"/>
            <w:tcBorders>
              <w:top w:val="nil"/>
              <w:left w:val="nil"/>
              <w:bottom w:val="single" w:sz="8" w:space="0" w:color="366092"/>
              <w:right w:val="nil"/>
            </w:tcBorders>
            <w:shd w:val="clear" w:color="auto" w:fill="auto"/>
            <w:noWrap/>
            <w:vAlign w:val="center"/>
            <w:hideMark/>
          </w:tcPr>
          <w:p w:rsidR="00A648BA" w:rsidRPr="00815A12" w:rsidRDefault="00A648BA" w:rsidP="00A648BA">
            <w:pPr>
              <w:spacing w:line="240" w:lineRule="auto"/>
              <w:ind w:firstLine="32"/>
              <w:jc w:val="center"/>
              <w:rPr>
                <w:rFonts w:eastAsia="Times New Roman" w:cs="Times New Roman"/>
                <w:color w:val="000000"/>
                <w:sz w:val="18"/>
                <w:lang w:eastAsia="pt-BR"/>
              </w:rPr>
            </w:pPr>
            <w:r w:rsidRPr="00815A12">
              <w:rPr>
                <w:rFonts w:eastAsia="Times New Roman" w:cs="Times New Roman"/>
                <w:color w:val="000000"/>
                <w:sz w:val="18"/>
                <w:lang w:eastAsia="pt-BR"/>
              </w:rPr>
              <w:t>8%</w:t>
            </w:r>
          </w:p>
        </w:tc>
        <w:tc>
          <w:tcPr>
            <w:tcW w:w="749" w:type="dxa"/>
            <w:tcBorders>
              <w:top w:val="nil"/>
              <w:left w:val="nil"/>
              <w:bottom w:val="single" w:sz="8" w:space="0" w:color="366092"/>
              <w:right w:val="nil"/>
            </w:tcBorders>
            <w:shd w:val="clear" w:color="auto" w:fill="auto"/>
            <w:noWrap/>
            <w:vAlign w:val="center"/>
            <w:hideMark/>
          </w:tcPr>
          <w:p w:rsidR="00A648BA" w:rsidRPr="00815A12" w:rsidRDefault="00A648BA" w:rsidP="00A648BA">
            <w:pPr>
              <w:spacing w:line="240" w:lineRule="auto"/>
              <w:ind w:hanging="30"/>
              <w:jc w:val="center"/>
              <w:rPr>
                <w:rFonts w:eastAsia="Times New Roman" w:cs="Times New Roman"/>
                <w:color w:val="000000"/>
                <w:sz w:val="18"/>
                <w:lang w:eastAsia="pt-BR"/>
              </w:rPr>
            </w:pPr>
            <w:r w:rsidRPr="00815A12">
              <w:rPr>
                <w:rFonts w:eastAsia="Times New Roman" w:cs="Times New Roman"/>
                <w:color w:val="000000"/>
                <w:sz w:val="18"/>
                <w:lang w:eastAsia="pt-BR"/>
              </w:rPr>
              <w:t>6%</w:t>
            </w:r>
          </w:p>
        </w:tc>
        <w:tc>
          <w:tcPr>
            <w:tcW w:w="708" w:type="dxa"/>
            <w:tcBorders>
              <w:top w:val="nil"/>
              <w:left w:val="nil"/>
              <w:bottom w:val="single" w:sz="8" w:space="0" w:color="366092"/>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4%</w:t>
            </w:r>
          </w:p>
        </w:tc>
        <w:tc>
          <w:tcPr>
            <w:tcW w:w="709" w:type="dxa"/>
            <w:tcBorders>
              <w:top w:val="nil"/>
              <w:left w:val="nil"/>
              <w:bottom w:val="single" w:sz="8" w:space="0" w:color="366092"/>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4%</w:t>
            </w:r>
          </w:p>
        </w:tc>
        <w:tc>
          <w:tcPr>
            <w:tcW w:w="992" w:type="dxa"/>
            <w:tcBorders>
              <w:top w:val="nil"/>
              <w:left w:val="nil"/>
              <w:bottom w:val="single" w:sz="8" w:space="0" w:color="366092"/>
              <w:right w:val="nil"/>
            </w:tcBorders>
            <w:shd w:val="clear" w:color="auto" w:fill="auto"/>
            <w:noWrap/>
            <w:vAlign w:val="center"/>
            <w:hideMark/>
          </w:tcPr>
          <w:p w:rsidR="00A648BA" w:rsidRPr="00815A12" w:rsidRDefault="00A648BA" w:rsidP="00A648BA">
            <w:pPr>
              <w:spacing w:line="240" w:lineRule="auto"/>
              <w:ind w:firstLine="0"/>
              <w:jc w:val="center"/>
              <w:rPr>
                <w:rFonts w:eastAsia="Times New Roman" w:cs="Times New Roman"/>
                <w:color w:val="000000"/>
                <w:sz w:val="18"/>
                <w:lang w:eastAsia="pt-BR"/>
              </w:rPr>
            </w:pPr>
            <w:r w:rsidRPr="00815A12">
              <w:rPr>
                <w:rFonts w:eastAsia="Times New Roman" w:cs="Times New Roman"/>
                <w:color w:val="000000"/>
                <w:sz w:val="18"/>
                <w:lang w:eastAsia="pt-BR"/>
              </w:rPr>
              <w:t>11,0%</w:t>
            </w:r>
          </w:p>
        </w:tc>
      </w:tr>
    </w:tbl>
    <w:p w:rsidR="00B7345F" w:rsidRDefault="007000FE" w:rsidP="0002058A">
      <w:pPr>
        <w:pStyle w:val="SemEspaamento"/>
        <w:jc w:val="center"/>
        <w:rPr>
          <w:rFonts w:ascii="Arial" w:hAnsi="Arial" w:cs="Arial"/>
          <w:szCs w:val="24"/>
        </w:rPr>
      </w:pPr>
      <w:r w:rsidRPr="00F3169A">
        <w:rPr>
          <w:rFonts w:ascii="Times New Roman" w:hAnsi="Times New Roman" w:cs="Times New Roman"/>
          <w:sz w:val="24"/>
          <w:szCs w:val="24"/>
        </w:rPr>
        <w:t xml:space="preserve">Fonte: demonstrações financeiras históricas Gerdau 2009 a 2013 disponíveis em </w:t>
      </w:r>
      <w:hyperlink r:id="rId11" w:history="1">
        <w:r w:rsidRPr="00F3169A">
          <w:rPr>
            <w:rStyle w:val="Hyperlink"/>
            <w:rFonts w:ascii="Times New Roman" w:hAnsi="Times New Roman" w:cs="Times New Roman"/>
            <w:sz w:val="24"/>
            <w:szCs w:val="24"/>
          </w:rPr>
          <w:t>http://gerdau.infoinvest.com.br/</w:t>
        </w:r>
      </w:hyperlink>
      <w:r w:rsidRPr="00F3169A">
        <w:rPr>
          <w:rFonts w:ascii="Times New Roman" w:hAnsi="Times New Roman" w:cs="Times New Roman"/>
          <w:sz w:val="24"/>
          <w:szCs w:val="24"/>
        </w:rPr>
        <w:t>. Acesso em 29/03/2014.</w:t>
      </w:r>
    </w:p>
    <w:p w:rsidR="007000FE" w:rsidRPr="002B30C6" w:rsidRDefault="00C54FAC" w:rsidP="00C54FAC">
      <w:pPr>
        <w:pStyle w:val="Ttulo3"/>
        <w:numPr>
          <w:ilvl w:val="0"/>
          <w:numId w:val="0"/>
        </w:numPr>
        <w:ind w:left="720" w:hanging="720"/>
      </w:pPr>
      <w:r>
        <w:t>7.</w:t>
      </w:r>
      <w:r w:rsidR="00B7345F">
        <w:t>1</w:t>
      </w:r>
      <w:r>
        <w:t>.1</w:t>
      </w:r>
      <w:r w:rsidR="00B7345F">
        <w:tab/>
      </w:r>
      <w:r w:rsidR="007000FE" w:rsidRPr="002B30C6">
        <w:t>Indicadores de Liquidez e Prazos Médios</w:t>
      </w:r>
    </w:p>
    <w:p w:rsidR="007000FE" w:rsidRPr="00C54FAC" w:rsidRDefault="007000FE" w:rsidP="00402E2F">
      <w:pPr>
        <w:spacing w:after="120"/>
        <w:ind w:firstLine="708"/>
        <w:rPr>
          <w:rFonts w:cs="Times New Roman"/>
          <w:szCs w:val="24"/>
        </w:rPr>
      </w:pPr>
      <w:r w:rsidRPr="00C54FAC">
        <w:rPr>
          <w:rFonts w:cs="Times New Roman"/>
          <w:szCs w:val="24"/>
        </w:rPr>
        <w:t xml:space="preserve">O Índice de Liquidez Geral da Gerdau, no período entre 2009 e 2013, reflete </w:t>
      </w:r>
      <w:proofErr w:type="gramStart"/>
      <w:r w:rsidRPr="00C54FAC">
        <w:rPr>
          <w:rFonts w:cs="Times New Roman"/>
          <w:szCs w:val="24"/>
        </w:rPr>
        <w:t>a</w:t>
      </w:r>
      <w:proofErr w:type="gramEnd"/>
      <w:r w:rsidRPr="00C54FAC">
        <w:rPr>
          <w:rFonts w:cs="Times New Roman"/>
          <w:szCs w:val="24"/>
        </w:rPr>
        <w:t xml:space="preserve"> </w:t>
      </w:r>
      <w:proofErr w:type="gramStart"/>
      <w:r w:rsidRPr="00C54FAC">
        <w:rPr>
          <w:rFonts w:cs="Times New Roman"/>
          <w:szCs w:val="24"/>
        </w:rPr>
        <w:t>significativa</w:t>
      </w:r>
      <w:proofErr w:type="gramEnd"/>
      <w:r w:rsidRPr="00C54FAC">
        <w:rPr>
          <w:rFonts w:cs="Times New Roman"/>
          <w:szCs w:val="24"/>
        </w:rPr>
        <w:t xml:space="preserve"> expansão dos ativos da companhia, pois embora tenha apresentado uma leve redução em 2010, nos anos posteriores apresenta um resultado bastante positivo, especialmente quando comparado ao Prazo Médio de Estocagem e ao</w:t>
      </w:r>
      <w:r w:rsidRPr="002B30C6">
        <w:rPr>
          <w:rFonts w:ascii="Arial" w:hAnsi="Arial" w:cs="Arial"/>
          <w:szCs w:val="24"/>
        </w:rPr>
        <w:t xml:space="preserve"> Prazo Médio de </w:t>
      </w:r>
      <w:r w:rsidRPr="00C54FAC">
        <w:rPr>
          <w:rFonts w:cs="Times New Roman"/>
          <w:szCs w:val="24"/>
        </w:rPr>
        <w:t xml:space="preserve">Pagamento de Compras. O Índice de Liquidez Geral médio no intervalo analisado é de 2,08, conquanto os prazos médios de estocagem e pagamento de compras são de 94 e 32 dias respectivamente, evidenciando que embora o giro de estoque da companhia denote um processo produtivo longo e o prazo médio para pagamento de compras seja inferior ao prazo médio para recebimento de vendas, este último com média de 36 dias, os ativos da Gerdau são suficientemente fortes para corresponder às suas dívidas. O indicador de liquidez geral também indica a correta execução da estratégia mencionada no “Relatório da Administração 2013” (p. 03), em relação à </w:t>
      </w:r>
      <w:proofErr w:type="gramStart"/>
      <w:r w:rsidRPr="00C54FAC">
        <w:rPr>
          <w:rFonts w:cs="Times New Roman"/>
          <w:szCs w:val="24"/>
        </w:rPr>
        <w:t>otimização</w:t>
      </w:r>
      <w:proofErr w:type="gramEnd"/>
      <w:r w:rsidRPr="00C54FAC">
        <w:rPr>
          <w:rFonts w:cs="Times New Roman"/>
          <w:szCs w:val="24"/>
        </w:rPr>
        <w:t xml:space="preserve"> do capital de giro, no tocante a redução dos estoques. O volume de produção de aço bruto foi reduzido em 3,3% no período entre 2013 e 2012, enquanto os estoques apresentaram queda de 5,8% no mesmo intervalo. O gráfico </w:t>
      </w:r>
      <w:proofErr w:type="gramStart"/>
      <w:r w:rsidRPr="00C54FAC">
        <w:rPr>
          <w:rFonts w:cs="Times New Roman"/>
          <w:szCs w:val="24"/>
        </w:rPr>
        <w:t>2</w:t>
      </w:r>
      <w:proofErr w:type="gramEnd"/>
      <w:r w:rsidRPr="00C54FAC">
        <w:rPr>
          <w:rFonts w:cs="Times New Roman"/>
          <w:szCs w:val="24"/>
        </w:rPr>
        <w:t xml:space="preserve"> demonstra a evolução destes indicadores correlacionados.</w:t>
      </w:r>
    </w:p>
    <w:p w:rsidR="007000FE" w:rsidRPr="002B30C6" w:rsidRDefault="007000FE" w:rsidP="00C54FAC">
      <w:pPr>
        <w:pStyle w:val="SemEspaamento"/>
        <w:jc w:val="both"/>
        <w:rPr>
          <w:rFonts w:ascii="Arial" w:hAnsi="Arial" w:cs="Arial"/>
          <w:sz w:val="24"/>
          <w:szCs w:val="24"/>
        </w:rPr>
      </w:pPr>
      <w:r w:rsidRPr="002B30C6">
        <w:rPr>
          <w:rFonts w:ascii="Arial" w:hAnsi="Arial" w:cs="Arial"/>
          <w:noProof/>
          <w:sz w:val="24"/>
          <w:szCs w:val="24"/>
          <w:lang w:eastAsia="pt-BR"/>
        </w:rPr>
        <w:lastRenderedPageBreak/>
        <w:drawing>
          <wp:inline distT="0" distB="0" distL="0" distR="0" wp14:anchorId="0B5EF6BD" wp14:editId="552C6A0E">
            <wp:extent cx="5581650" cy="2723515"/>
            <wp:effectExtent l="19050" t="19050" r="19050" b="196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1831" cy="2743121"/>
                    </a:xfrm>
                    <a:prstGeom prst="rect">
                      <a:avLst/>
                    </a:prstGeom>
                    <a:noFill/>
                    <a:ln w="19050">
                      <a:solidFill>
                        <a:schemeClr val="tx1"/>
                      </a:solidFill>
                    </a:ln>
                  </pic:spPr>
                </pic:pic>
              </a:graphicData>
            </a:graphic>
          </wp:inline>
        </w:drawing>
      </w:r>
    </w:p>
    <w:p w:rsidR="007000FE" w:rsidRPr="00C54FAC" w:rsidRDefault="007000FE" w:rsidP="00C54FAC">
      <w:pPr>
        <w:pStyle w:val="SemEspaamento"/>
        <w:jc w:val="center"/>
        <w:rPr>
          <w:rFonts w:ascii="Times New Roman" w:hAnsi="Times New Roman" w:cs="Times New Roman"/>
          <w:sz w:val="20"/>
          <w:szCs w:val="20"/>
        </w:rPr>
      </w:pPr>
      <w:r w:rsidRPr="00C54FAC">
        <w:rPr>
          <w:rFonts w:ascii="Times New Roman" w:hAnsi="Times New Roman" w:cs="Times New Roman"/>
          <w:sz w:val="20"/>
          <w:szCs w:val="20"/>
        </w:rPr>
        <w:t>Fonte:</w:t>
      </w:r>
      <w:r w:rsidRPr="002B30C6">
        <w:rPr>
          <w:rFonts w:ascii="Arial" w:hAnsi="Arial" w:cs="Arial"/>
          <w:sz w:val="24"/>
          <w:szCs w:val="24"/>
        </w:rPr>
        <w:t xml:space="preserve"> </w:t>
      </w:r>
      <w:r w:rsidR="00C54FAC">
        <w:rPr>
          <w:rFonts w:ascii="Times New Roman" w:hAnsi="Times New Roman" w:cs="Times New Roman"/>
          <w:sz w:val="20"/>
          <w:szCs w:val="20"/>
        </w:rPr>
        <w:t>E</w:t>
      </w:r>
      <w:r w:rsidRPr="00C54FAC">
        <w:rPr>
          <w:rFonts w:ascii="Times New Roman" w:hAnsi="Times New Roman" w:cs="Times New Roman"/>
          <w:sz w:val="20"/>
          <w:szCs w:val="20"/>
        </w:rPr>
        <w:t>laboração própria dos autores com dados de base do Relatório Anual Completo (edições 2009 a2013). Site Gerdau – Relações com Investidores, 29/03/2014. Disponível em http://ri.gerdau.com/.</w:t>
      </w:r>
    </w:p>
    <w:p w:rsidR="007000FE" w:rsidRPr="00C54FAC" w:rsidRDefault="007000FE" w:rsidP="00402E2F">
      <w:pPr>
        <w:pStyle w:val="SemEspaamento"/>
        <w:spacing w:line="360" w:lineRule="auto"/>
        <w:ind w:firstLine="708"/>
        <w:jc w:val="both"/>
        <w:rPr>
          <w:rFonts w:ascii="Times New Roman" w:hAnsi="Times New Roman" w:cs="Times New Roman"/>
          <w:sz w:val="20"/>
          <w:szCs w:val="20"/>
        </w:rPr>
      </w:pPr>
      <w:r w:rsidRPr="00C54FAC">
        <w:rPr>
          <w:rFonts w:ascii="Times New Roman" w:hAnsi="Times New Roman" w:cs="Times New Roman"/>
          <w:sz w:val="20"/>
          <w:szCs w:val="20"/>
        </w:rPr>
        <w:t xml:space="preserve"> </w:t>
      </w:r>
    </w:p>
    <w:p w:rsidR="007000FE" w:rsidRPr="00C54FAC" w:rsidRDefault="007000FE" w:rsidP="00F3169A">
      <w:pPr>
        <w:spacing w:after="120"/>
        <w:ind w:firstLine="708"/>
        <w:rPr>
          <w:rFonts w:cs="Times New Roman"/>
          <w:szCs w:val="24"/>
        </w:rPr>
      </w:pPr>
      <w:r w:rsidRPr="00C54FAC">
        <w:rPr>
          <w:rFonts w:cs="Times New Roman"/>
          <w:szCs w:val="24"/>
        </w:rPr>
        <w:t xml:space="preserve">O Índice de Liquidez Seca apresenta média de 1,32 no período analisado e, embora tenha se deteriorado entre 2009 e 2013 (com redução de 0,41), seu resultado corrobora a face positiva do indicador de liquidez geral. </w:t>
      </w:r>
    </w:p>
    <w:p w:rsidR="007000FE" w:rsidRPr="00C54FAC" w:rsidRDefault="007000FE" w:rsidP="00F3169A">
      <w:pPr>
        <w:spacing w:after="120"/>
        <w:ind w:firstLine="708"/>
        <w:rPr>
          <w:rFonts w:cs="Times New Roman"/>
          <w:szCs w:val="24"/>
        </w:rPr>
      </w:pPr>
      <w:r w:rsidRPr="00C54FAC">
        <w:rPr>
          <w:rFonts w:cs="Times New Roman"/>
          <w:szCs w:val="24"/>
        </w:rPr>
        <w:t xml:space="preserve">Entretanto, o Índice de Liquidez Imediata indica a necessidade de cobertura via capital de giro bancário do passivo de curto prazo da Gerdau. A média deste indicador no período entre 2009 e 2013 é de 0,60, com maior registro no ano de 2009 (0,99). Em relação à estratégia mencionada anteriormente, é possível evidenciá-la através deste indicador, se analisado o período entre 2012 e 2013, quando o índice evoluiu de 0,32 para 0,58. </w:t>
      </w:r>
    </w:p>
    <w:p w:rsidR="007000FE" w:rsidRPr="00C54FAC" w:rsidRDefault="007000FE" w:rsidP="00F3169A">
      <w:pPr>
        <w:spacing w:after="120"/>
        <w:ind w:firstLine="708"/>
        <w:rPr>
          <w:rFonts w:cs="Times New Roman"/>
          <w:szCs w:val="24"/>
        </w:rPr>
      </w:pPr>
      <w:r w:rsidRPr="00C54FAC">
        <w:rPr>
          <w:rFonts w:cs="Times New Roman"/>
          <w:szCs w:val="24"/>
        </w:rPr>
        <w:t xml:space="preserve">O ciclo financeiro da companhia também está em linha com a estratégia de otimização do capital de giro, com tendência de redução nos próximos anos, conforme demonstra o gráfico </w:t>
      </w:r>
      <w:proofErr w:type="gramStart"/>
      <w:r w:rsidRPr="00C54FAC">
        <w:rPr>
          <w:rFonts w:cs="Times New Roman"/>
          <w:szCs w:val="24"/>
        </w:rPr>
        <w:t>3</w:t>
      </w:r>
      <w:proofErr w:type="gramEnd"/>
      <w:r w:rsidRPr="00C54FAC">
        <w:rPr>
          <w:rFonts w:cs="Times New Roman"/>
          <w:szCs w:val="24"/>
        </w:rPr>
        <w:t>.</w:t>
      </w:r>
    </w:p>
    <w:p w:rsidR="007000FE" w:rsidRPr="002B30C6" w:rsidRDefault="007000FE" w:rsidP="00C54FAC">
      <w:pPr>
        <w:pStyle w:val="SemEspaamento"/>
        <w:jc w:val="both"/>
        <w:rPr>
          <w:rFonts w:ascii="Arial" w:hAnsi="Arial" w:cs="Arial"/>
          <w:sz w:val="24"/>
          <w:szCs w:val="24"/>
        </w:rPr>
      </w:pPr>
      <w:r w:rsidRPr="002B30C6">
        <w:rPr>
          <w:rFonts w:ascii="Arial" w:hAnsi="Arial" w:cs="Arial"/>
          <w:noProof/>
          <w:sz w:val="24"/>
          <w:szCs w:val="24"/>
          <w:lang w:eastAsia="pt-BR"/>
        </w:rPr>
        <w:drawing>
          <wp:inline distT="0" distB="0" distL="0" distR="0" wp14:anchorId="23ED7A2C" wp14:editId="6874B0B7">
            <wp:extent cx="5562600" cy="2430780"/>
            <wp:effectExtent l="19050" t="19050" r="19050" b="2667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2430780"/>
                    </a:xfrm>
                    <a:prstGeom prst="rect">
                      <a:avLst/>
                    </a:prstGeom>
                    <a:noFill/>
                    <a:ln w="12700">
                      <a:solidFill>
                        <a:schemeClr val="tx1"/>
                      </a:solidFill>
                    </a:ln>
                  </pic:spPr>
                </pic:pic>
              </a:graphicData>
            </a:graphic>
          </wp:inline>
        </w:drawing>
      </w:r>
    </w:p>
    <w:p w:rsidR="007000FE" w:rsidRPr="00C54FAC" w:rsidRDefault="007000FE" w:rsidP="00C54FAC">
      <w:pPr>
        <w:pStyle w:val="SemEspaamento"/>
        <w:jc w:val="center"/>
        <w:rPr>
          <w:rFonts w:ascii="Times New Roman" w:hAnsi="Times New Roman" w:cs="Times New Roman"/>
          <w:sz w:val="20"/>
          <w:szCs w:val="20"/>
        </w:rPr>
      </w:pPr>
      <w:r w:rsidRPr="00C54FAC">
        <w:rPr>
          <w:rFonts w:ascii="Times New Roman" w:hAnsi="Times New Roman" w:cs="Times New Roman"/>
          <w:sz w:val="20"/>
          <w:szCs w:val="20"/>
        </w:rPr>
        <w:lastRenderedPageBreak/>
        <w:t>Fonte: elaboração própria dos autores com dados de base do Relatório Anual Completo (edições 2009 a 2013).</w:t>
      </w:r>
    </w:p>
    <w:p w:rsidR="007000FE" w:rsidRPr="00C54FAC" w:rsidRDefault="007000FE" w:rsidP="00C54FAC">
      <w:pPr>
        <w:pStyle w:val="SemEspaamento"/>
        <w:jc w:val="center"/>
        <w:rPr>
          <w:rFonts w:ascii="Times New Roman" w:hAnsi="Times New Roman" w:cs="Times New Roman"/>
          <w:sz w:val="24"/>
          <w:szCs w:val="24"/>
        </w:rPr>
      </w:pPr>
      <w:r w:rsidRPr="00C54FAC">
        <w:rPr>
          <w:rFonts w:ascii="Times New Roman" w:hAnsi="Times New Roman" w:cs="Times New Roman"/>
          <w:sz w:val="20"/>
          <w:szCs w:val="20"/>
        </w:rPr>
        <w:t>Site Gerdau – Relações</w:t>
      </w:r>
      <w:r w:rsidRPr="00C54FAC">
        <w:rPr>
          <w:rFonts w:ascii="Times New Roman" w:hAnsi="Times New Roman" w:cs="Times New Roman"/>
          <w:sz w:val="24"/>
          <w:szCs w:val="24"/>
        </w:rPr>
        <w:t xml:space="preserve"> com Investidores, 29/03/2014. Disponível em </w:t>
      </w:r>
      <w:hyperlink r:id="rId14" w:history="1">
        <w:r w:rsidRPr="00C54FAC">
          <w:rPr>
            <w:rStyle w:val="Hyperlink"/>
            <w:rFonts w:ascii="Times New Roman" w:hAnsi="Times New Roman" w:cs="Times New Roman"/>
            <w:sz w:val="24"/>
            <w:szCs w:val="24"/>
          </w:rPr>
          <w:t>http://ri.gerdau.com/</w:t>
        </w:r>
      </w:hyperlink>
      <w:r w:rsidRPr="00C54FAC">
        <w:rPr>
          <w:rFonts w:ascii="Times New Roman" w:hAnsi="Times New Roman" w:cs="Times New Roman"/>
          <w:sz w:val="24"/>
          <w:szCs w:val="24"/>
        </w:rPr>
        <w:t>.</w:t>
      </w:r>
    </w:p>
    <w:p w:rsidR="007000FE" w:rsidRPr="002B30C6" w:rsidRDefault="00C54FAC" w:rsidP="00C54FAC">
      <w:pPr>
        <w:pStyle w:val="Ttulo3"/>
        <w:numPr>
          <w:ilvl w:val="0"/>
          <w:numId w:val="0"/>
        </w:numPr>
        <w:ind w:left="720" w:hanging="720"/>
      </w:pPr>
      <w:r>
        <w:t>7.1</w:t>
      </w:r>
      <w:r w:rsidR="00B7345F">
        <w:t>.2</w:t>
      </w:r>
      <w:r w:rsidR="00B7345F">
        <w:tab/>
      </w:r>
      <w:r w:rsidR="007000FE" w:rsidRPr="002B30C6">
        <w:t>Indicadores de Endividamento</w:t>
      </w:r>
    </w:p>
    <w:p w:rsidR="007000FE" w:rsidRPr="00C54FAC" w:rsidRDefault="007000FE" w:rsidP="00402E2F">
      <w:pPr>
        <w:spacing w:after="120"/>
        <w:rPr>
          <w:rFonts w:cs="Times New Roman"/>
          <w:szCs w:val="24"/>
        </w:rPr>
      </w:pPr>
      <w:r w:rsidRPr="00C54FAC">
        <w:rPr>
          <w:rFonts w:cs="Times New Roman"/>
          <w:szCs w:val="24"/>
        </w:rPr>
        <w:t>O Índice de Participação de Terceiros Sobre os Recursos Totais consolidou no período entre 2009 e 2013 uma média de 65,9%, com ponto mais baixo em 2013, apontando 64,5%. Este indicador reflete o aumento da participação de capitais próprios no financiamento operacional da companhia, com impacto positivo na distribuição de dividendos aos acionistas</w:t>
      </w:r>
      <w:r w:rsidRPr="00C54FAC">
        <w:rPr>
          <w:rStyle w:val="Refdenotaderodap"/>
          <w:rFonts w:cs="Times New Roman"/>
          <w:szCs w:val="24"/>
        </w:rPr>
        <w:footnoteReference w:id="3"/>
      </w:r>
      <w:r w:rsidRPr="00C54FAC">
        <w:rPr>
          <w:rFonts w:cs="Times New Roman"/>
          <w:szCs w:val="24"/>
        </w:rPr>
        <w:t xml:space="preserve">. A expansão deste indicador tem relação direta com o aumento da participação do Patrimônio Líquido sobre o Passivo Total da companhia, que evoluiu de 49% em 2009 para 55% ao final de 2013, reflexo direto dos resultados da conta de Reservas de Lucros, com aumento de participação relativa ao Passivo Total de 13% para 18% no mesmo período. </w:t>
      </w:r>
    </w:p>
    <w:p w:rsidR="007000FE" w:rsidRPr="00C54FAC" w:rsidRDefault="007000FE" w:rsidP="00402E2F">
      <w:pPr>
        <w:spacing w:after="120"/>
        <w:rPr>
          <w:rFonts w:cs="Times New Roman"/>
          <w:szCs w:val="24"/>
        </w:rPr>
      </w:pPr>
      <w:r w:rsidRPr="00C54FAC">
        <w:rPr>
          <w:rFonts w:cs="Times New Roman"/>
          <w:szCs w:val="24"/>
        </w:rPr>
        <w:t xml:space="preserve">O Índice de Participação de Terceiros Sobre o Patrimônio Líquido completa o apontamento do índice anteriormente mencionado, registrando uma redução de 0,21 entre 2009 e 2013. Em cinco anos, a média deste índice é de 1,94, com tendência de redução para os próximos anos, sendo que em 2013 apresentou seu menor resultado, registrando 1,82. </w:t>
      </w:r>
    </w:p>
    <w:p w:rsidR="007000FE" w:rsidRPr="00C54FAC" w:rsidRDefault="007000FE" w:rsidP="00402E2F">
      <w:pPr>
        <w:spacing w:after="120"/>
        <w:rPr>
          <w:rFonts w:cs="Times New Roman"/>
          <w:szCs w:val="24"/>
        </w:rPr>
      </w:pPr>
      <w:r w:rsidRPr="00C54FAC">
        <w:rPr>
          <w:rFonts w:cs="Times New Roman"/>
          <w:szCs w:val="24"/>
        </w:rPr>
        <w:t xml:space="preserve">Mesmo registrando um leve aumento de </w:t>
      </w:r>
      <w:proofErr w:type="gramStart"/>
      <w:r w:rsidRPr="00C54FAC">
        <w:rPr>
          <w:rFonts w:cs="Times New Roman"/>
          <w:szCs w:val="24"/>
        </w:rPr>
        <w:t>1,6 ponto</w:t>
      </w:r>
      <w:proofErr w:type="gramEnd"/>
      <w:r w:rsidRPr="00C54FAC">
        <w:rPr>
          <w:rFonts w:cs="Times New Roman"/>
          <w:szCs w:val="24"/>
        </w:rPr>
        <w:t xml:space="preserve"> percentual entre 2009 e 2013, o Índice de Participação das Dívidas de Curto Prazo da Gerdau permanece refletindo o perfil de endividamento esperado das empresas do ramo metalúrgico, caracterizado pela predominância das dívidas de longo prazo. A média do indicador encerrou 2013 em 12,6%, influenciada pelo suave aumento de 1,8% registrado na conta de “Fornecedores”, quando relativizada ao total do Passivo. </w:t>
      </w:r>
      <w:proofErr w:type="gramStart"/>
      <w:r w:rsidRPr="00C54FAC">
        <w:rPr>
          <w:rFonts w:cs="Times New Roman"/>
          <w:szCs w:val="24"/>
        </w:rPr>
        <w:t>Um outro</w:t>
      </w:r>
      <w:proofErr w:type="gramEnd"/>
      <w:r w:rsidRPr="00C54FAC">
        <w:rPr>
          <w:rFonts w:cs="Times New Roman"/>
          <w:szCs w:val="24"/>
        </w:rPr>
        <w:t xml:space="preserve"> aspecto positivo da composição de endividamento da Gerdau advém da análise do passivo oneroso. Enquanto sua participação ante ao passivo total é, no curto prazo, de apenas 3%, no longo prazo este índice representa 26% do total do passivo, o que indica um reduzido impacto de despesas financeiras sobre o endividamento da companhia. O gráfico </w:t>
      </w:r>
      <w:proofErr w:type="gramStart"/>
      <w:r w:rsidRPr="00C54FAC">
        <w:rPr>
          <w:rFonts w:cs="Times New Roman"/>
          <w:szCs w:val="24"/>
        </w:rPr>
        <w:t>4</w:t>
      </w:r>
      <w:proofErr w:type="gramEnd"/>
      <w:r w:rsidRPr="00C54FAC">
        <w:rPr>
          <w:rFonts w:cs="Times New Roman"/>
          <w:szCs w:val="24"/>
        </w:rPr>
        <w:t xml:space="preserve"> demonstra a evolução dos indicadores de endividamento em comparação ao Passivo Total da companhia.</w:t>
      </w:r>
    </w:p>
    <w:p w:rsidR="007000FE" w:rsidRPr="002B30C6" w:rsidRDefault="007000FE" w:rsidP="00C54FAC">
      <w:pPr>
        <w:pStyle w:val="SemEspaamento"/>
        <w:jc w:val="both"/>
        <w:rPr>
          <w:rFonts w:ascii="Arial" w:hAnsi="Arial" w:cs="Arial"/>
          <w:sz w:val="24"/>
          <w:szCs w:val="24"/>
        </w:rPr>
      </w:pPr>
      <w:r w:rsidRPr="002B30C6">
        <w:rPr>
          <w:rFonts w:ascii="Arial" w:hAnsi="Arial" w:cs="Arial"/>
          <w:noProof/>
          <w:sz w:val="24"/>
          <w:szCs w:val="24"/>
          <w:lang w:eastAsia="pt-BR"/>
        </w:rPr>
        <w:lastRenderedPageBreak/>
        <w:drawing>
          <wp:inline distT="0" distB="0" distL="0" distR="0" wp14:anchorId="5FAC484D" wp14:editId="6F5E9A6C">
            <wp:extent cx="5617496" cy="2600325"/>
            <wp:effectExtent l="19050" t="19050" r="2159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6607" cy="2604543"/>
                    </a:xfrm>
                    <a:prstGeom prst="rect">
                      <a:avLst/>
                    </a:prstGeom>
                    <a:noFill/>
                    <a:ln w="12700">
                      <a:solidFill>
                        <a:schemeClr val="tx1"/>
                      </a:solidFill>
                    </a:ln>
                  </pic:spPr>
                </pic:pic>
              </a:graphicData>
            </a:graphic>
          </wp:inline>
        </w:drawing>
      </w:r>
    </w:p>
    <w:p w:rsidR="007000FE" w:rsidRPr="00C54FAC" w:rsidRDefault="007000FE" w:rsidP="00C54FAC">
      <w:pPr>
        <w:pStyle w:val="SemEspaamento"/>
        <w:ind w:left="284" w:hanging="284"/>
        <w:jc w:val="center"/>
        <w:rPr>
          <w:rFonts w:ascii="Times New Roman" w:hAnsi="Times New Roman" w:cs="Times New Roman"/>
          <w:sz w:val="20"/>
          <w:szCs w:val="20"/>
        </w:rPr>
      </w:pPr>
      <w:r w:rsidRPr="00C54FAC">
        <w:rPr>
          <w:rFonts w:ascii="Times New Roman" w:hAnsi="Times New Roman" w:cs="Times New Roman"/>
          <w:sz w:val="20"/>
          <w:szCs w:val="20"/>
        </w:rPr>
        <w:t>Fonte: elaboração própria dos autores com dados de base do Relatório Anual Completo (edições 2009 a 2013).</w:t>
      </w:r>
    </w:p>
    <w:p w:rsidR="007000FE" w:rsidRPr="00C54FAC" w:rsidRDefault="007000FE" w:rsidP="00C54FAC">
      <w:pPr>
        <w:pStyle w:val="SemEspaamento"/>
        <w:ind w:left="284" w:hanging="284"/>
        <w:jc w:val="center"/>
        <w:rPr>
          <w:rFonts w:ascii="Times New Roman" w:hAnsi="Times New Roman" w:cs="Times New Roman"/>
          <w:sz w:val="24"/>
          <w:szCs w:val="24"/>
        </w:rPr>
      </w:pPr>
      <w:r w:rsidRPr="00C54FAC">
        <w:rPr>
          <w:rFonts w:ascii="Times New Roman" w:hAnsi="Times New Roman" w:cs="Times New Roman"/>
          <w:sz w:val="20"/>
          <w:szCs w:val="20"/>
        </w:rPr>
        <w:t xml:space="preserve">Site Gerdau – Relações com Investidores, 29/03/2014. Disponível em </w:t>
      </w:r>
      <w:hyperlink r:id="rId16" w:history="1">
        <w:r w:rsidRPr="00C54FAC">
          <w:rPr>
            <w:rStyle w:val="Hyperlink"/>
            <w:rFonts w:ascii="Times New Roman" w:hAnsi="Times New Roman" w:cs="Times New Roman"/>
            <w:sz w:val="20"/>
            <w:szCs w:val="20"/>
          </w:rPr>
          <w:t>http://ri.gerdau.com/</w:t>
        </w:r>
      </w:hyperlink>
      <w:r w:rsidRPr="00C54FAC">
        <w:rPr>
          <w:rFonts w:ascii="Times New Roman" w:hAnsi="Times New Roman" w:cs="Times New Roman"/>
          <w:sz w:val="20"/>
          <w:szCs w:val="20"/>
        </w:rPr>
        <w:t>.</w:t>
      </w:r>
    </w:p>
    <w:p w:rsidR="007000FE" w:rsidRPr="002B30C6" w:rsidRDefault="007000FE" w:rsidP="00402E2F">
      <w:pPr>
        <w:pStyle w:val="SemEspaamento"/>
        <w:spacing w:line="360" w:lineRule="auto"/>
        <w:jc w:val="both"/>
        <w:rPr>
          <w:rFonts w:ascii="Arial" w:hAnsi="Arial" w:cs="Arial"/>
          <w:sz w:val="24"/>
          <w:szCs w:val="24"/>
        </w:rPr>
      </w:pPr>
    </w:p>
    <w:p w:rsidR="007000FE" w:rsidRPr="00C54FAC" w:rsidRDefault="007000FE" w:rsidP="00402E2F">
      <w:pPr>
        <w:spacing w:after="120"/>
        <w:rPr>
          <w:rFonts w:cs="Times New Roman"/>
          <w:szCs w:val="24"/>
        </w:rPr>
      </w:pPr>
      <w:r w:rsidRPr="00C54FAC">
        <w:rPr>
          <w:rFonts w:cs="Times New Roman"/>
          <w:szCs w:val="24"/>
        </w:rPr>
        <w:t xml:space="preserve">Outro indicador relevante desta análise se refere ao Grau de Imobilização do Patrimônio Líquido, que tem por finalidade demonstrar a aplicação do Patrimônio Líquido em Ativo Permanente. Este índice apresenta média de 71,4% no período analisado neste artigo. Embora reflita a estrutura de capital esperada das indústrias do ramo da metalurgia, onde os investimentos em maquinário são de alta necessidade, houve uma significativa redução do indicador entre </w:t>
      </w:r>
      <w:proofErr w:type="gramStart"/>
      <w:r w:rsidRPr="00C54FAC">
        <w:rPr>
          <w:rFonts w:cs="Times New Roman"/>
          <w:szCs w:val="24"/>
        </w:rPr>
        <w:t>2009 e 2013 (9,1%), o</w:t>
      </w:r>
      <w:proofErr w:type="gramEnd"/>
      <w:r w:rsidRPr="00C54FAC">
        <w:rPr>
          <w:rFonts w:cs="Times New Roman"/>
          <w:szCs w:val="24"/>
        </w:rPr>
        <w:t xml:space="preserve"> que denota um possível ganho de eficiência operacional do processo produtivo da Gerdau, com impacto positivo também sobre o volume de vendas no mercado interno da companhia. </w:t>
      </w:r>
    </w:p>
    <w:p w:rsidR="007000FE" w:rsidRPr="002B30C6" w:rsidRDefault="00C54FAC" w:rsidP="00C54FAC">
      <w:pPr>
        <w:pStyle w:val="Ttulo3"/>
        <w:numPr>
          <w:ilvl w:val="0"/>
          <w:numId w:val="0"/>
        </w:numPr>
        <w:ind w:left="720" w:hanging="720"/>
      </w:pPr>
      <w:r>
        <w:t>7.1</w:t>
      </w:r>
      <w:r w:rsidR="00B7345F">
        <w:t>.3</w:t>
      </w:r>
      <w:r w:rsidR="00B7345F">
        <w:tab/>
      </w:r>
      <w:r w:rsidR="007000FE" w:rsidRPr="002B30C6">
        <w:t>Dos Indicadores de Resultados</w:t>
      </w:r>
    </w:p>
    <w:p w:rsidR="007000FE" w:rsidRPr="00C54FAC" w:rsidRDefault="007000FE" w:rsidP="00402E2F">
      <w:pPr>
        <w:spacing w:after="120"/>
        <w:rPr>
          <w:rFonts w:cs="Times New Roman"/>
          <w:szCs w:val="24"/>
        </w:rPr>
      </w:pPr>
      <w:r w:rsidRPr="00C54FAC">
        <w:rPr>
          <w:rFonts w:cs="Times New Roman"/>
          <w:szCs w:val="24"/>
        </w:rPr>
        <w:t xml:space="preserve">O EBITDA consolidado da Gerdau em 2013 apresentou seu segundo melhor resultado na série histórica compreendida pelo período 2009 a 2013, encerrando </w:t>
      </w:r>
      <w:proofErr w:type="gramStart"/>
      <w:r w:rsidRPr="00C54FAC">
        <w:rPr>
          <w:rFonts w:cs="Times New Roman"/>
          <w:szCs w:val="24"/>
        </w:rPr>
        <w:t>o</w:t>
      </w:r>
      <w:proofErr w:type="gramEnd"/>
      <w:r w:rsidRPr="00C54FAC">
        <w:rPr>
          <w:rFonts w:cs="Times New Roman"/>
          <w:szCs w:val="24"/>
        </w:rPr>
        <w:t xml:space="preserve"> </w:t>
      </w:r>
      <w:proofErr w:type="gramStart"/>
      <w:r w:rsidRPr="00C54FAC">
        <w:rPr>
          <w:rFonts w:cs="Times New Roman"/>
          <w:szCs w:val="24"/>
        </w:rPr>
        <w:t>ano</w:t>
      </w:r>
      <w:proofErr w:type="gramEnd"/>
      <w:r w:rsidRPr="00C54FAC">
        <w:rPr>
          <w:rFonts w:cs="Times New Roman"/>
          <w:szCs w:val="24"/>
        </w:rPr>
        <w:t xml:space="preserve"> fiscal em R$4,8 bilhões, desempenho superado apenas em 2010, quando registrou R$5,2 bilhões. A margem EBITDA em relação </w:t>
      </w:r>
      <w:proofErr w:type="gramStart"/>
      <w:r w:rsidRPr="00C54FAC">
        <w:rPr>
          <w:rFonts w:cs="Times New Roman"/>
          <w:szCs w:val="24"/>
        </w:rPr>
        <w:t>a</w:t>
      </w:r>
      <w:proofErr w:type="gramEnd"/>
      <w:r w:rsidRPr="00C54FAC">
        <w:rPr>
          <w:rFonts w:cs="Times New Roman"/>
          <w:szCs w:val="24"/>
        </w:rPr>
        <w:t xml:space="preserve"> receita líquida de 2013 foi de aproximadamente 12%, ou seja, abaixo da média do período estudado (cerca de 13%). Ainda assim, a Gerdau apresentou crescimento médio no período (CAGR) de 4,6%. </w:t>
      </w:r>
    </w:p>
    <w:p w:rsidR="007000FE" w:rsidRPr="00C54FAC" w:rsidRDefault="007000FE" w:rsidP="00402E2F">
      <w:pPr>
        <w:spacing w:after="120"/>
        <w:rPr>
          <w:rFonts w:cs="Times New Roman"/>
          <w:szCs w:val="24"/>
        </w:rPr>
      </w:pPr>
      <w:r w:rsidRPr="00C54FAC">
        <w:rPr>
          <w:rFonts w:cs="Times New Roman"/>
          <w:szCs w:val="24"/>
        </w:rPr>
        <w:t xml:space="preserve">Embora o faturamento líquido da empresa tenha apresentado um excelente crescimento a preços correntes entre 2009 e 2013, cerca de 50%, o indicador de Retorno Sobre o Ativo apresentou um ritmo de crescimento mais lento, de aproximadamente 29%, ainda assim refletindo ganho de eficiência no emprego dos ativos da companhia. O resultado médio deste indicador é de 3,9%, no período. </w:t>
      </w:r>
    </w:p>
    <w:p w:rsidR="007000FE" w:rsidRPr="00C54FAC" w:rsidRDefault="007000FE" w:rsidP="00402E2F">
      <w:pPr>
        <w:spacing w:after="120"/>
        <w:rPr>
          <w:rFonts w:cs="Times New Roman"/>
          <w:szCs w:val="24"/>
        </w:rPr>
      </w:pPr>
      <w:r w:rsidRPr="00C54FAC">
        <w:rPr>
          <w:rFonts w:cs="Times New Roman"/>
          <w:szCs w:val="24"/>
        </w:rPr>
        <w:lastRenderedPageBreak/>
        <w:t xml:space="preserve">O Retorno Sobre o Patrimônio Líquido, no entanto, demonstrou redução no desempenho da companhia ao longo dos últimos quatro anos, com queda de 54%, e média de 7,6% entre 2010 e 2013. Entretanto, este resultado tem sido influenciado pela adoção da estratégia de aumento do Patrimônio Líquido da empresa, de modo que os resultados deste planejamento devem ser observados nos próximos anos. </w:t>
      </w:r>
    </w:p>
    <w:p w:rsidR="007000FE" w:rsidRPr="00C54FAC" w:rsidRDefault="007000FE" w:rsidP="00402E2F">
      <w:pPr>
        <w:spacing w:after="120"/>
        <w:rPr>
          <w:rFonts w:cs="Times New Roman"/>
          <w:szCs w:val="24"/>
        </w:rPr>
      </w:pPr>
      <w:r w:rsidRPr="00C54FAC">
        <w:rPr>
          <w:rFonts w:cs="Times New Roman"/>
          <w:szCs w:val="24"/>
        </w:rPr>
        <w:t xml:space="preserve">O lucro líquido da companhia apresenta um CAGR de 11% no intervalo entre 2009 e 2013, com margem líquida média de 5,1%. Esta taxa de crescimento médio denota a evidente influência dos incentivos fiscais percebidos pela Gerdau mencionados anteriormente, pois embora os custos de bens e serviços produzidos tenham apresentado crescimento a uma taxa superior quando esta é comparada a mesma taxa do faturamento líquido, (com resultados de 9,3% e 8,5% respectivamente), o resultado da conta de tributos do Demonstrativo de Resultados de Exercício 2013, apresenta saldo positivo com participação inferior </w:t>
      </w:r>
      <w:proofErr w:type="gramStart"/>
      <w:r w:rsidRPr="00C54FAC">
        <w:rPr>
          <w:rFonts w:cs="Times New Roman"/>
          <w:szCs w:val="24"/>
        </w:rPr>
        <w:t>a</w:t>
      </w:r>
      <w:proofErr w:type="gramEnd"/>
      <w:r w:rsidRPr="00C54FAC">
        <w:rPr>
          <w:rFonts w:cs="Times New Roman"/>
          <w:szCs w:val="24"/>
        </w:rPr>
        <w:t xml:space="preserve"> zero em relação à receita líquida. </w:t>
      </w:r>
    </w:p>
    <w:p w:rsidR="002B30C6" w:rsidRDefault="0082611C" w:rsidP="0002058A">
      <w:pPr>
        <w:pStyle w:val="Ttulo1"/>
      </w:pPr>
      <w:r>
        <w:t>CONSIDERAÇÕES FINAIS</w:t>
      </w:r>
    </w:p>
    <w:p w:rsidR="0082611C" w:rsidRPr="00C54FAC" w:rsidRDefault="00B7345F" w:rsidP="0002058A">
      <w:pPr>
        <w:rPr>
          <w:b/>
          <w:caps/>
        </w:rPr>
      </w:pPr>
      <w:r w:rsidRPr="00C54FAC">
        <w:t>A partir da a</w:t>
      </w:r>
      <w:r w:rsidR="0082611C" w:rsidRPr="00C54FAC">
        <w:t>plica</w:t>
      </w:r>
      <w:r w:rsidRPr="00C54FAC">
        <w:t>ção das ferramentas da análise fundamentalista e alguns de seus importantes indicadores</w:t>
      </w:r>
      <w:r w:rsidR="0082611C" w:rsidRPr="00C54FAC">
        <w:t>, comprovamos a importância de evidenciar</w:t>
      </w:r>
      <w:r w:rsidRPr="00C54FAC">
        <w:t xml:space="preserve"> parte da situação econômico-financeira da empresa, com a finalidade de expor alguns aspectos relevantes que precisam ser avaliados durante a tomada de decisão dos investidores, no tocante a aplicação de seus recursos visando ganhos futuros</w:t>
      </w:r>
      <w:r w:rsidR="0082611C" w:rsidRPr="00C54FAC">
        <w:t>.</w:t>
      </w:r>
    </w:p>
    <w:p w:rsidR="002B30C6" w:rsidRPr="00C54FAC" w:rsidRDefault="00B7345F" w:rsidP="0002058A">
      <w:pPr>
        <w:rPr>
          <w:rFonts w:cs="Times New Roman"/>
          <w:szCs w:val="24"/>
        </w:rPr>
      </w:pPr>
      <w:r w:rsidRPr="00C54FAC">
        <w:rPr>
          <w:rFonts w:cs="Times New Roman"/>
          <w:szCs w:val="24"/>
        </w:rPr>
        <w:t xml:space="preserve">A análise dos demonstrativos do período entre 2009 e 2013 demonstrou o compromisso da Gerdau em cumprir o plano estratégico </w:t>
      </w:r>
      <w:r w:rsidR="000C7A70" w:rsidRPr="00C54FAC">
        <w:rPr>
          <w:rFonts w:cs="Times New Roman"/>
          <w:szCs w:val="24"/>
        </w:rPr>
        <w:t xml:space="preserve">de </w:t>
      </w:r>
      <w:proofErr w:type="gramStart"/>
      <w:r w:rsidR="000C7A70" w:rsidRPr="00C54FAC">
        <w:rPr>
          <w:rFonts w:cs="Times New Roman"/>
          <w:szCs w:val="24"/>
        </w:rPr>
        <w:t>médio e longo prazos</w:t>
      </w:r>
      <w:proofErr w:type="gramEnd"/>
      <w:r w:rsidR="000C7A70" w:rsidRPr="00C54FAC">
        <w:rPr>
          <w:rFonts w:cs="Times New Roman"/>
          <w:szCs w:val="24"/>
        </w:rPr>
        <w:t xml:space="preserve">, </w:t>
      </w:r>
      <w:r w:rsidR="008306F1" w:rsidRPr="00C54FAC">
        <w:rPr>
          <w:rFonts w:cs="Times New Roman"/>
          <w:szCs w:val="24"/>
        </w:rPr>
        <w:t xml:space="preserve">detalhado em seus relatórios à administração, avalizando a esperada credibilidade da gestão executiva, mesmo frente às dificuldades macroeconômicas atuais, tais como o baixo crescimento de alguns de seus potenciais consumidores nos mercados norte-americano e europeu, e a incógnita relativa ao rumo das políticas monetária e fiscal nacionais. </w:t>
      </w:r>
    </w:p>
    <w:p w:rsidR="00745A88" w:rsidRDefault="008306F1" w:rsidP="00774EBD">
      <w:pPr>
        <w:rPr>
          <w:rFonts w:cs="Times New Roman"/>
          <w:szCs w:val="24"/>
        </w:rPr>
      </w:pPr>
      <w:r w:rsidRPr="00C54FAC">
        <w:rPr>
          <w:rFonts w:cs="Times New Roman"/>
          <w:szCs w:val="24"/>
        </w:rPr>
        <w:t>Os indicadores revelaram que as operações da empresa permaneceram rentáveis ao longo do período</w:t>
      </w:r>
      <w:r w:rsidR="000C7A70" w:rsidRPr="00C54FAC">
        <w:rPr>
          <w:rFonts w:cs="Times New Roman"/>
          <w:szCs w:val="24"/>
        </w:rPr>
        <w:t>.</w:t>
      </w:r>
      <w:r w:rsidRPr="00C54FAC">
        <w:rPr>
          <w:rFonts w:cs="Times New Roman"/>
          <w:szCs w:val="24"/>
        </w:rPr>
        <w:t xml:space="preserve"> </w:t>
      </w:r>
      <w:r w:rsidR="000C7A70" w:rsidRPr="00C54FAC">
        <w:rPr>
          <w:rFonts w:cs="Times New Roman"/>
          <w:szCs w:val="24"/>
        </w:rPr>
        <w:t xml:space="preserve">O modelo de endividamento adotado está em linha com o esperado para seu ramo de atuação e sua necessidade de capital de giro </w:t>
      </w:r>
      <w:r w:rsidR="004D4480" w:rsidRPr="00C54FAC">
        <w:rPr>
          <w:rFonts w:cs="Times New Roman"/>
          <w:szCs w:val="24"/>
        </w:rPr>
        <w:t xml:space="preserve">oriundo de terceiros </w:t>
      </w:r>
      <w:r w:rsidR="000C7A70" w:rsidRPr="00C54FAC">
        <w:rPr>
          <w:rFonts w:cs="Times New Roman"/>
          <w:szCs w:val="24"/>
        </w:rPr>
        <w:t>tende a ser reduzida no futuro, conforme indicado pela redução d</w:t>
      </w:r>
      <w:r w:rsidR="005E6735" w:rsidRPr="00C54FAC">
        <w:rPr>
          <w:rFonts w:cs="Times New Roman"/>
          <w:szCs w:val="24"/>
        </w:rPr>
        <w:t>e</w:t>
      </w:r>
      <w:r w:rsidR="000C7A70" w:rsidRPr="00C54FAC">
        <w:rPr>
          <w:rFonts w:cs="Times New Roman"/>
          <w:szCs w:val="24"/>
        </w:rPr>
        <w:t xml:space="preserve"> </w:t>
      </w:r>
      <w:r w:rsidR="005E6735" w:rsidRPr="00C54FAC">
        <w:rPr>
          <w:rFonts w:cs="Times New Roman"/>
          <w:szCs w:val="24"/>
        </w:rPr>
        <w:t xml:space="preserve">seu </w:t>
      </w:r>
      <w:r w:rsidR="000C7A70" w:rsidRPr="00C54FAC">
        <w:rPr>
          <w:rFonts w:cs="Times New Roman"/>
          <w:szCs w:val="24"/>
        </w:rPr>
        <w:t>ciclo financeiro. Tais evidências são também corroboradas pelo</w:t>
      </w:r>
      <w:r w:rsidRPr="00C54FAC">
        <w:rPr>
          <w:rFonts w:cs="Times New Roman"/>
          <w:szCs w:val="24"/>
        </w:rPr>
        <w:t xml:space="preserve"> crescimento da distribuição de dividendos</w:t>
      </w:r>
      <w:r w:rsidR="000C7A70" w:rsidRPr="00C54FAC">
        <w:rPr>
          <w:rFonts w:cs="Times New Roman"/>
          <w:szCs w:val="24"/>
        </w:rPr>
        <w:t xml:space="preserve"> que, em conjunto com os demais aspectos </w:t>
      </w:r>
      <w:r w:rsidR="00D33D40" w:rsidRPr="00C54FAC">
        <w:rPr>
          <w:rFonts w:cs="Times New Roman"/>
          <w:szCs w:val="24"/>
        </w:rPr>
        <w:t>apresentados</w:t>
      </w:r>
      <w:r w:rsidR="000C7A70" w:rsidRPr="00C54FAC">
        <w:rPr>
          <w:rFonts w:cs="Times New Roman"/>
          <w:szCs w:val="24"/>
        </w:rPr>
        <w:t xml:space="preserve">, gera </w:t>
      </w:r>
      <w:r w:rsidRPr="00C54FAC">
        <w:rPr>
          <w:rFonts w:cs="Times New Roman"/>
          <w:szCs w:val="24"/>
        </w:rPr>
        <w:t>boas perspectivas para o futuro, configurando por fim a Gerdau como uma atraente opção para a composiç</w:t>
      </w:r>
      <w:r w:rsidR="000374F7" w:rsidRPr="00C54FAC">
        <w:rPr>
          <w:rFonts w:cs="Times New Roman"/>
          <w:szCs w:val="24"/>
        </w:rPr>
        <w:t>ão das mais diversas carteiras de investimentos.</w:t>
      </w:r>
      <w:proofErr w:type="gramStart"/>
      <w:r w:rsidR="00745A88">
        <w:rPr>
          <w:rFonts w:cs="Times New Roman"/>
          <w:szCs w:val="24"/>
        </w:rPr>
        <w:br w:type="page"/>
      </w:r>
      <w:proofErr w:type="gramEnd"/>
    </w:p>
    <w:p w:rsidR="00745A88" w:rsidRPr="00745A88" w:rsidRDefault="00745A88" w:rsidP="00DF4A3B">
      <w:pPr>
        <w:ind w:firstLine="0"/>
        <w:jc w:val="center"/>
        <w:rPr>
          <w:rFonts w:cs="Times New Roman"/>
          <w:b/>
          <w:szCs w:val="24"/>
        </w:rPr>
      </w:pPr>
      <w:r w:rsidRPr="00745A88">
        <w:rPr>
          <w:rFonts w:cs="Times New Roman"/>
          <w:b/>
          <w:szCs w:val="24"/>
        </w:rPr>
        <w:lastRenderedPageBreak/>
        <w:t>REFERÊNCIAS</w:t>
      </w:r>
    </w:p>
    <w:p w:rsidR="00745A88" w:rsidRDefault="00745A88" w:rsidP="00745A88">
      <w:pPr>
        <w:jc w:val="center"/>
        <w:rPr>
          <w:rFonts w:cs="Times New Roman"/>
          <w:szCs w:val="24"/>
        </w:rPr>
      </w:pPr>
    </w:p>
    <w:p w:rsidR="00DF4A3B" w:rsidRDefault="00DF4A3B" w:rsidP="00DF4A3B">
      <w:pPr>
        <w:pStyle w:val="yiv4380919734msonormal"/>
        <w:shd w:val="clear" w:color="auto" w:fill="FFFFFF"/>
        <w:spacing w:before="0" w:beforeAutospacing="0" w:after="0" w:afterAutospacing="0"/>
      </w:pPr>
      <w:r w:rsidRPr="00DF4A3B">
        <w:t xml:space="preserve">BORNIA, </w:t>
      </w:r>
      <w:proofErr w:type="spellStart"/>
      <w:r w:rsidRPr="00DF4A3B">
        <w:t>Antonio</w:t>
      </w:r>
      <w:proofErr w:type="spellEnd"/>
      <w:r w:rsidRPr="00DF4A3B">
        <w:t xml:space="preserve"> Cezar. </w:t>
      </w:r>
      <w:r w:rsidRPr="00DF4A3B">
        <w:rPr>
          <w:b/>
        </w:rPr>
        <w:t>Análise Gerencial de Custos/Aplicação em Empresas Modernas</w:t>
      </w:r>
      <w:r w:rsidRPr="00CC169F">
        <w:t>.</w:t>
      </w:r>
      <w:r w:rsidRPr="00DF4A3B">
        <w:rPr>
          <w:b/>
        </w:rPr>
        <w:t xml:space="preserve"> </w:t>
      </w:r>
      <w:proofErr w:type="gramStart"/>
      <w:r w:rsidRPr="00DF4A3B">
        <w:t>1</w:t>
      </w:r>
      <w:proofErr w:type="gramEnd"/>
      <w:r w:rsidRPr="00DF4A3B">
        <w:t xml:space="preserve"> ed. CIDADE: </w:t>
      </w:r>
      <w:proofErr w:type="spellStart"/>
      <w:r w:rsidRPr="00DF4A3B">
        <w:t>Bookman</w:t>
      </w:r>
      <w:proofErr w:type="spellEnd"/>
      <w:r w:rsidRPr="00DF4A3B">
        <w:t>, 2002.</w:t>
      </w:r>
    </w:p>
    <w:p w:rsidR="00DF4A3B" w:rsidRPr="00DF4A3B" w:rsidRDefault="00DF4A3B" w:rsidP="00DF4A3B">
      <w:pPr>
        <w:pStyle w:val="yiv4380919734msonormal"/>
        <w:shd w:val="clear" w:color="auto" w:fill="FFFFFF"/>
        <w:spacing w:before="0" w:beforeAutospacing="0" w:after="0" w:afterAutospacing="0"/>
      </w:pPr>
    </w:p>
    <w:p w:rsidR="00DF4A3B" w:rsidRDefault="00DF4A3B" w:rsidP="00DF4A3B">
      <w:pPr>
        <w:pStyle w:val="yiv4380919734msonormal"/>
        <w:shd w:val="clear" w:color="auto" w:fill="FFFFFF"/>
        <w:spacing w:before="0" w:beforeAutospacing="0" w:after="0" w:afterAutospacing="0"/>
      </w:pPr>
      <w:r w:rsidRPr="00DF4A3B">
        <w:t xml:space="preserve">CERTO, Samuel C. </w:t>
      </w:r>
      <w:r w:rsidRPr="00DF4A3B">
        <w:rPr>
          <w:b/>
        </w:rPr>
        <w:t>Administração Estratégica</w:t>
      </w:r>
      <w:r w:rsidRPr="00CC169F">
        <w:t xml:space="preserve">. </w:t>
      </w:r>
      <w:proofErr w:type="gramStart"/>
      <w:r w:rsidRPr="00DF4A3B">
        <w:t>3</w:t>
      </w:r>
      <w:proofErr w:type="gramEnd"/>
      <w:r w:rsidRPr="00DF4A3B">
        <w:t xml:space="preserve"> ed. CIDADE: Pearson, 2010.</w:t>
      </w:r>
    </w:p>
    <w:p w:rsidR="00DF4A3B" w:rsidRDefault="00DF4A3B" w:rsidP="00DF4A3B">
      <w:pPr>
        <w:pStyle w:val="yiv4380919734msonormal"/>
        <w:shd w:val="clear" w:color="auto" w:fill="FFFFFF"/>
        <w:spacing w:before="0" w:beforeAutospacing="0" w:after="0" w:afterAutospacing="0"/>
      </w:pPr>
    </w:p>
    <w:p w:rsidR="0052123E" w:rsidRDefault="0052123E" w:rsidP="00DF4A3B">
      <w:pPr>
        <w:pStyle w:val="yiv4380919734msonormal"/>
        <w:shd w:val="clear" w:color="auto" w:fill="FFFFFF"/>
        <w:spacing w:before="0" w:beforeAutospacing="0" w:after="0" w:afterAutospacing="0"/>
        <w:rPr>
          <w:lang w:val="en-US"/>
        </w:rPr>
      </w:pPr>
      <w:r w:rsidRPr="0052123E">
        <w:rPr>
          <w:lang w:val="en-US"/>
        </w:rPr>
        <w:t xml:space="preserve">DAMODARAN, </w:t>
      </w:r>
      <w:proofErr w:type="spellStart"/>
      <w:r w:rsidRPr="0052123E">
        <w:rPr>
          <w:lang w:val="en-US"/>
        </w:rPr>
        <w:t>Aswath</w:t>
      </w:r>
      <w:proofErr w:type="spellEnd"/>
      <w:r w:rsidRPr="0052123E">
        <w:rPr>
          <w:lang w:val="en-US"/>
        </w:rPr>
        <w:t xml:space="preserve">. </w:t>
      </w:r>
      <w:r w:rsidRPr="0052123E">
        <w:rPr>
          <w:b/>
          <w:lang w:val="en-US"/>
        </w:rPr>
        <w:t>Investment Valuation: Tools and Techniques for Determining the Value of Any Asset</w:t>
      </w:r>
      <w:r w:rsidRPr="00CC169F">
        <w:rPr>
          <w:lang w:val="en-US"/>
        </w:rPr>
        <w:t>.</w:t>
      </w:r>
      <w:r w:rsidRPr="0052123E">
        <w:rPr>
          <w:b/>
          <w:lang w:val="en-US"/>
        </w:rPr>
        <w:t xml:space="preserve"> </w:t>
      </w:r>
      <w:r>
        <w:rPr>
          <w:lang w:val="en-US"/>
        </w:rPr>
        <w:t>2 ed. New York: John Wiley &amp; Sons, 202.</w:t>
      </w:r>
    </w:p>
    <w:p w:rsidR="00CC169F" w:rsidRDefault="00CC169F" w:rsidP="00DF4A3B">
      <w:pPr>
        <w:pStyle w:val="yiv4380919734msonormal"/>
        <w:shd w:val="clear" w:color="auto" w:fill="FFFFFF"/>
        <w:spacing w:before="0" w:beforeAutospacing="0" w:after="0" w:afterAutospacing="0"/>
        <w:rPr>
          <w:lang w:val="en-US"/>
        </w:rPr>
      </w:pPr>
    </w:p>
    <w:p w:rsidR="00CC169F" w:rsidRPr="0025050C" w:rsidRDefault="00CC169F" w:rsidP="00DF4A3B">
      <w:pPr>
        <w:pStyle w:val="yiv4380919734msonormal"/>
        <w:shd w:val="clear" w:color="auto" w:fill="FFFFFF"/>
        <w:spacing w:before="0" w:beforeAutospacing="0" w:after="0" w:afterAutospacing="0"/>
      </w:pPr>
      <w:r w:rsidRPr="0025050C">
        <w:t>DEMONSTRATIVOS Contábeis: Gerdau</w:t>
      </w:r>
      <w:r w:rsidR="0025050C" w:rsidRPr="0025050C">
        <w:t xml:space="preserve"> S.A.</w:t>
      </w:r>
      <w:r w:rsidR="0025050C">
        <w:t xml:space="preserve"> Disponível em: </w:t>
      </w:r>
      <w:hyperlink r:id="rId17" w:history="1">
        <w:r w:rsidR="0025050C" w:rsidRPr="002664A1">
          <w:rPr>
            <w:rStyle w:val="Hyperlink"/>
          </w:rPr>
          <w:t>http://gerdau.infoinvest.com.br/ptb/s-2-ptb-2013.html</w:t>
        </w:r>
      </w:hyperlink>
      <w:r w:rsidR="0025050C">
        <w:t>. Acesso em 29 mar. 2014.</w:t>
      </w:r>
    </w:p>
    <w:p w:rsidR="0052123E" w:rsidRPr="0025050C" w:rsidRDefault="0052123E" w:rsidP="00DF4A3B">
      <w:pPr>
        <w:pStyle w:val="yiv4380919734msonormal"/>
        <w:shd w:val="clear" w:color="auto" w:fill="FFFFFF"/>
        <w:spacing w:before="0" w:beforeAutospacing="0" w:after="0" w:afterAutospacing="0"/>
      </w:pPr>
    </w:p>
    <w:p w:rsidR="00DF4A3B" w:rsidRDefault="00DF4A3B" w:rsidP="00DF4A3B">
      <w:pPr>
        <w:widowControl/>
        <w:shd w:val="clear" w:color="auto" w:fill="FFFFFF"/>
        <w:spacing w:line="240" w:lineRule="auto"/>
        <w:ind w:firstLine="0"/>
        <w:jc w:val="left"/>
        <w:rPr>
          <w:rFonts w:eastAsia="Times New Roman" w:cs="Times New Roman"/>
          <w:color w:val="000000"/>
          <w:szCs w:val="24"/>
          <w:lang w:eastAsia="pt-BR"/>
        </w:rPr>
      </w:pPr>
      <w:r w:rsidRPr="00745A88">
        <w:rPr>
          <w:rFonts w:eastAsia="Times New Roman" w:cs="Times New Roman"/>
          <w:color w:val="000000"/>
          <w:szCs w:val="24"/>
          <w:lang w:val="en-US" w:eastAsia="pt-BR"/>
        </w:rPr>
        <w:t xml:space="preserve">FRANCO, </w:t>
      </w:r>
      <w:proofErr w:type="spellStart"/>
      <w:r w:rsidRPr="00745A88">
        <w:rPr>
          <w:rFonts w:eastAsia="Times New Roman" w:cs="Times New Roman"/>
          <w:color w:val="000000"/>
          <w:szCs w:val="24"/>
          <w:lang w:val="en-US" w:eastAsia="pt-BR"/>
        </w:rPr>
        <w:t>Hilário</w:t>
      </w:r>
      <w:proofErr w:type="spellEnd"/>
      <w:r w:rsidRPr="00745A88">
        <w:rPr>
          <w:rFonts w:eastAsia="Times New Roman" w:cs="Times New Roman"/>
          <w:color w:val="000000"/>
          <w:szCs w:val="24"/>
          <w:lang w:val="en-US" w:eastAsia="pt-BR"/>
        </w:rPr>
        <w:t xml:space="preserve">. </w:t>
      </w:r>
      <w:proofErr w:type="spellStart"/>
      <w:proofErr w:type="gramStart"/>
      <w:r w:rsidRPr="00745A88">
        <w:rPr>
          <w:rFonts w:eastAsia="Times New Roman" w:cs="Times New Roman"/>
          <w:b/>
          <w:bCs/>
          <w:color w:val="000000"/>
          <w:szCs w:val="24"/>
          <w:lang w:val="en-US" w:eastAsia="pt-BR"/>
        </w:rPr>
        <w:t>Estrutura</w:t>
      </w:r>
      <w:proofErr w:type="spellEnd"/>
      <w:r w:rsidRPr="00745A88">
        <w:rPr>
          <w:rFonts w:eastAsia="Times New Roman" w:cs="Times New Roman"/>
          <w:b/>
          <w:bCs/>
          <w:color w:val="000000"/>
          <w:szCs w:val="24"/>
          <w:lang w:val="en-US" w:eastAsia="pt-BR"/>
        </w:rPr>
        <w:t xml:space="preserve">, </w:t>
      </w:r>
      <w:proofErr w:type="spellStart"/>
      <w:r w:rsidRPr="00745A88">
        <w:rPr>
          <w:rFonts w:eastAsia="Times New Roman" w:cs="Times New Roman"/>
          <w:b/>
          <w:bCs/>
          <w:color w:val="000000"/>
          <w:szCs w:val="24"/>
          <w:lang w:val="en-US" w:eastAsia="pt-BR"/>
        </w:rPr>
        <w:t>análise</w:t>
      </w:r>
      <w:proofErr w:type="spellEnd"/>
      <w:r w:rsidRPr="00745A88">
        <w:rPr>
          <w:rFonts w:eastAsia="Times New Roman" w:cs="Times New Roman"/>
          <w:b/>
          <w:bCs/>
          <w:color w:val="000000"/>
          <w:szCs w:val="24"/>
          <w:lang w:val="en-US" w:eastAsia="pt-BR"/>
        </w:rPr>
        <w:t xml:space="preserve"> e </w:t>
      </w:r>
      <w:proofErr w:type="spellStart"/>
      <w:r w:rsidRPr="00745A88">
        <w:rPr>
          <w:rFonts w:eastAsia="Times New Roman" w:cs="Times New Roman"/>
          <w:b/>
          <w:bCs/>
          <w:color w:val="000000"/>
          <w:szCs w:val="24"/>
          <w:lang w:val="en-US" w:eastAsia="pt-BR"/>
        </w:rPr>
        <w:t>interpretação</w:t>
      </w:r>
      <w:proofErr w:type="spellEnd"/>
      <w:r w:rsidRPr="00745A88">
        <w:rPr>
          <w:rFonts w:eastAsia="Times New Roman" w:cs="Times New Roman"/>
          <w:b/>
          <w:bCs/>
          <w:color w:val="000000"/>
          <w:szCs w:val="24"/>
          <w:lang w:val="en-US" w:eastAsia="pt-BR"/>
        </w:rPr>
        <w:t xml:space="preserve"> de </w:t>
      </w:r>
      <w:proofErr w:type="spellStart"/>
      <w:r w:rsidRPr="00745A88">
        <w:rPr>
          <w:rFonts w:eastAsia="Times New Roman" w:cs="Times New Roman"/>
          <w:b/>
          <w:bCs/>
          <w:color w:val="000000"/>
          <w:szCs w:val="24"/>
          <w:lang w:val="en-US" w:eastAsia="pt-BR"/>
        </w:rPr>
        <w:t>balanços</w:t>
      </w:r>
      <w:proofErr w:type="spellEnd"/>
      <w:r w:rsidRPr="00745A88">
        <w:rPr>
          <w:rFonts w:eastAsia="Times New Roman" w:cs="Times New Roman"/>
          <w:bCs/>
          <w:color w:val="000000"/>
          <w:szCs w:val="24"/>
          <w:lang w:val="en-US" w:eastAsia="pt-BR"/>
        </w:rPr>
        <w:t>.</w:t>
      </w:r>
      <w:proofErr w:type="gramEnd"/>
      <w:r w:rsidRPr="00745A88">
        <w:rPr>
          <w:rFonts w:eastAsia="Times New Roman" w:cs="Times New Roman"/>
          <w:b/>
          <w:bCs/>
          <w:color w:val="000000"/>
          <w:szCs w:val="24"/>
          <w:lang w:val="en-US" w:eastAsia="pt-BR"/>
        </w:rPr>
        <w:t xml:space="preserve"> </w:t>
      </w:r>
      <w:r w:rsidRPr="00745A88">
        <w:rPr>
          <w:rFonts w:eastAsia="Times New Roman" w:cs="Times New Roman"/>
          <w:color w:val="000000"/>
          <w:szCs w:val="24"/>
          <w:lang w:eastAsia="pt-BR"/>
        </w:rPr>
        <w:t xml:space="preserve">15. </w:t>
      </w:r>
      <w:proofErr w:type="gramStart"/>
      <w:r w:rsidRPr="00745A88">
        <w:rPr>
          <w:rFonts w:eastAsia="Times New Roman" w:cs="Times New Roman"/>
          <w:color w:val="000000"/>
          <w:szCs w:val="24"/>
          <w:lang w:eastAsia="pt-BR"/>
        </w:rPr>
        <w:t>ed.</w:t>
      </w:r>
      <w:proofErr w:type="gramEnd"/>
      <w:r w:rsidRPr="00745A88">
        <w:rPr>
          <w:rFonts w:eastAsia="Times New Roman" w:cs="Times New Roman"/>
          <w:color w:val="000000"/>
          <w:szCs w:val="24"/>
          <w:lang w:eastAsia="pt-BR"/>
        </w:rPr>
        <w:t xml:space="preserve"> São Paulo: Atlas, 1992.</w:t>
      </w:r>
    </w:p>
    <w:p w:rsidR="00DF4A3B" w:rsidRDefault="00DF4A3B" w:rsidP="00DF4A3B">
      <w:pPr>
        <w:widowControl/>
        <w:shd w:val="clear" w:color="auto" w:fill="FFFFFF"/>
        <w:spacing w:line="240" w:lineRule="auto"/>
        <w:ind w:firstLine="0"/>
        <w:jc w:val="left"/>
        <w:rPr>
          <w:rFonts w:eastAsia="Times New Roman" w:cs="Times New Roman"/>
          <w:color w:val="000000"/>
          <w:szCs w:val="24"/>
          <w:lang w:eastAsia="pt-BR"/>
        </w:rPr>
      </w:pPr>
    </w:p>
    <w:p w:rsidR="00DF4A3B" w:rsidRDefault="00DF4A3B" w:rsidP="00DF4A3B">
      <w:pPr>
        <w:widowControl/>
        <w:shd w:val="clear" w:color="auto" w:fill="FFFFFF"/>
        <w:spacing w:line="240" w:lineRule="auto"/>
        <w:ind w:firstLine="0"/>
        <w:jc w:val="left"/>
        <w:rPr>
          <w:rFonts w:eastAsia="Times New Roman" w:cs="Times New Roman"/>
          <w:color w:val="000000"/>
          <w:szCs w:val="24"/>
          <w:lang w:val="en-US" w:eastAsia="pt-BR"/>
        </w:rPr>
      </w:pPr>
      <w:r w:rsidRPr="00745A88">
        <w:rPr>
          <w:rFonts w:eastAsia="Times New Roman" w:cs="Times New Roman"/>
          <w:color w:val="000000"/>
          <w:szCs w:val="24"/>
          <w:lang w:eastAsia="pt-BR"/>
        </w:rPr>
        <w:t xml:space="preserve">GITMAN, L. </w:t>
      </w:r>
      <w:r w:rsidRPr="00745A88">
        <w:rPr>
          <w:rFonts w:eastAsia="Times New Roman" w:cs="Times New Roman"/>
          <w:b/>
          <w:bCs/>
          <w:color w:val="000000"/>
          <w:szCs w:val="24"/>
          <w:lang w:eastAsia="pt-BR"/>
        </w:rPr>
        <w:t>Princípios de administração financeira</w:t>
      </w:r>
      <w:r w:rsidRPr="00745A88">
        <w:rPr>
          <w:rFonts w:eastAsia="Times New Roman" w:cs="Times New Roman"/>
          <w:color w:val="000000"/>
          <w:szCs w:val="24"/>
          <w:lang w:eastAsia="pt-BR"/>
        </w:rPr>
        <w:t xml:space="preserve">. </w:t>
      </w:r>
      <w:r w:rsidRPr="00745A88">
        <w:rPr>
          <w:rFonts w:eastAsia="Times New Roman" w:cs="Times New Roman"/>
          <w:color w:val="000000"/>
          <w:szCs w:val="24"/>
          <w:lang w:val="en-US" w:eastAsia="pt-BR"/>
        </w:rPr>
        <w:t>12. ed. São Paulo: Pearson Prentice Hall, 2010.</w:t>
      </w:r>
    </w:p>
    <w:p w:rsidR="00DF4A3B" w:rsidRDefault="00DF4A3B" w:rsidP="00DF4A3B">
      <w:pPr>
        <w:widowControl/>
        <w:shd w:val="clear" w:color="auto" w:fill="FFFFFF"/>
        <w:spacing w:line="240" w:lineRule="auto"/>
        <w:ind w:firstLine="0"/>
        <w:jc w:val="left"/>
        <w:rPr>
          <w:rFonts w:eastAsia="Times New Roman" w:cs="Times New Roman"/>
          <w:color w:val="000000"/>
          <w:szCs w:val="24"/>
          <w:lang w:val="en-US" w:eastAsia="pt-BR"/>
        </w:rPr>
      </w:pPr>
    </w:p>
    <w:p w:rsidR="00CC169F" w:rsidRPr="00CC169F" w:rsidRDefault="00CC169F" w:rsidP="00DF4A3B">
      <w:pPr>
        <w:widowControl/>
        <w:shd w:val="clear" w:color="auto" w:fill="FFFFFF"/>
        <w:spacing w:line="240" w:lineRule="auto"/>
        <w:ind w:firstLine="0"/>
        <w:jc w:val="left"/>
        <w:rPr>
          <w:rFonts w:eastAsia="Times New Roman" w:cs="Times New Roman"/>
          <w:color w:val="000000"/>
          <w:szCs w:val="24"/>
          <w:lang w:eastAsia="pt-BR"/>
        </w:rPr>
      </w:pPr>
      <w:r w:rsidRPr="00CC169F">
        <w:rPr>
          <w:rFonts w:eastAsia="Times New Roman" w:cs="Times New Roman"/>
          <w:color w:val="000000"/>
          <w:szCs w:val="24"/>
          <w:lang w:eastAsia="pt-BR"/>
        </w:rPr>
        <w:t xml:space="preserve">IUDÍCIBUS, Sérgio de. </w:t>
      </w:r>
      <w:r w:rsidRPr="00CC169F">
        <w:rPr>
          <w:rFonts w:eastAsia="Times New Roman" w:cs="Times New Roman"/>
          <w:b/>
          <w:color w:val="000000"/>
          <w:szCs w:val="24"/>
          <w:lang w:eastAsia="pt-BR"/>
        </w:rPr>
        <w:t>Análise de balanços</w:t>
      </w:r>
      <w:r w:rsidRPr="00CC169F">
        <w:rPr>
          <w:rFonts w:eastAsia="Times New Roman" w:cs="Times New Roman"/>
          <w:color w:val="000000"/>
          <w:szCs w:val="24"/>
          <w:lang w:eastAsia="pt-BR"/>
        </w:rPr>
        <w:t xml:space="preserve">. </w:t>
      </w:r>
      <w:r>
        <w:rPr>
          <w:rFonts w:eastAsia="Times New Roman" w:cs="Times New Roman"/>
          <w:color w:val="000000"/>
          <w:szCs w:val="24"/>
          <w:lang w:eastAsia="pt-BR"/>
        </w:rPr>
        <w:t>10 ed. São Paulo: Atlas, 2010.</w:t>
      </w:r>
    </w:p>
    <w:p w:rsidR="00CC169F" w:rsidRPr="00CC169F" w:rsidRDefault="00CC169F" w:rsidP="00DF4A3B">
      <w:pPr>
        <w:widowControl/>
        <w:shd w:val="clear" w:color="auto" w:fill="FFFFFF"/>
        <w:spacing w:line="240" w:lineRule="auto"/>
        <w:ind w:firstLine="0"/>
        <w:jc w:val="left"/>
        <w:rPr>
          <w:rFonts w:eastAsia="Times New Roman" w:cs="Times New Roman"/>
          <w:color w:val="000000"/>
          <w:szCs w:val="24"/>
          <w:lang w:eastAsia="pt-BR"/>
        </w:rPr>
      </w:pPr>
    </w:p>
    <w:p w:rsidR="00CC169F" w:rsidRPr="00CC169F" w:rsidRDefault="00CC169F" w:rsidP="00DF4A3B">
      <w:pPr>
        <w:widowControl/>
        <w:shd w:val="clear" w:color="auto" w:fill="FFFFFF"/>
        <w:spacing w:line="240" w:lineRule="auto"/>
        <w:ind w:firstLine="0"/>
        <w:jc w:val="left"/>
        <w:rPr>
          <w:rFonts w:eastAsia="Times New Roman" w:cs="Times New Roman"/>
          <w:color w:val="000000"/>
          <w:szCs w:val="24"/>
          <w:lang w:eastAsia="pt-BR"/>
        </w:rPr>
      </w:pPr>
      <w:r w:rsidRPr="00CC169F">
        <w:rPr>
          <w:rFonts w:eastAsia="Times New Roman" w:cs="Times New Roman"/>
          <w:color w:val="000000"/>
          <w:szCs w:val="24"/>
          <w:lang w:eastAsia="pt-BR"/>
        </w:rPr>
        <w:t xml:space="preserve">MARION, José Carlos. </w:t>
      </w:r>
      <w:r w:rsidRPr="00CC169F">
        <w:rPr>
          <w:rFonts w:eastAsia="Times New Roman" w:cs="Times New Roman"/>
          <w:b/>
          <w:color w:val="000000"/>
          <w:szCs w:val="24"/>
          <w:lang w:eastAsia="pt-BR"/>
        </w:rPr>
        <w:t>An</w:t>
      </w:r>
      <w:r>
        <w:rPr>
          <w:rFonts w:eastAsia="Times New Roman" w:cs="Times New Roman"/>
          <w:b/>
          <w:color w:val="000000"/>
          <w:szCs w:val="24"/>
          <w:lang w:eastAsia="pt-BR"/>
        </w:rPr>
        <w:t>álise das demonstrações contábeis: contabilidade empresarial</w:t>
      </w:r>
      <w:r w:rsidRPr="00CC169F">
        <w:rPr>
          <w:rFonts w:eastAsia="Times New Roman" w:cs="Times New Roman"/>
          <w:color w:val="000000"/>
          <w:szCs w:val="24"/>
          <w:lang w:eastAsia="pt-BR"/>
        </w:rPr>
        <w:t xml:space="preserve">. </w:t>
      </w:r>
      <w:proofErr w:type="gramStart"/>
      <w:r>
        <w:rPr>
          <w:rFonts w:eastAsia="Times New Roman" w:cs="Times New Roman"/>
          <w:color w:val="000000"/>
          <w:szCs w:val="24"/>
          <w:lang w:eastAsia="pt-BR"/>
        </w:rPr>
        <w:t>5</w:t>
      </w:r>
      <w:proofErr w:type="gramEnd"/>
      <w:r>
        <w:rPr>
          <w:rFonts w:eastAsia="Times New Roman" w:cs="Times New Roman"/>
          <w:color w:val="000000"/>
          <w:szCs w:val="24"/>
          <w:lang w:eastAsia="pt-BR"/>
        </w:rPr>
        <w:t xml:space="preserve"> ed. São Paulo: Atlas, 2010.</w:t>
      </w:r>
    </w:p>
    <w:p w:rsidR="00CC169F" w:rsidRPr="00CC169F" w:rsidRDefault="00CC169F" w:rsidP="00DF4A3B">
      <w:pPr>
        <w:widowControl/>
        <w:shd w:val="clear" w:color="auto" w:fill="FFFFFF"/>
        <w:spacing w:line="240" w:lineRule="auto"/>
        <w:ind w:firstLine="0"/>
        <w:jc w:val="left"/>
        <w:rPr>
          <w:rFonts w:eastAsia="Times New Roman" w:cs="Times New Roman"/>
          <w:color w:val="000000"/>
          <w:szCs w:val="24"/>
          <w:lang w:eastAsia="pt-BR"/>
        </w:rPr>
      </w:pPr>
    </w:p>
    <w:p w:rsidR="00745A88" w:rsidRDefault="00745A88" w:rsidP="00DF4A3B">
      <w:pPr>
        <w:widowControl/>
        <w:shd w:val="clear" w:color="auto" w:fill="FFFFFF"/>
        <w:spacing w:line="240" w:lineRule="auto"/>
        <w:ind w:firstLine="0"/>
        <w:jc w:val="left"/>
        <w:rPr>
          <w:rFonts w:eastAsia="Times New Roman" w:cs="Times New Roman"/>
          <w:color w:val="000000"/>
          <w:szCs w:val="24"/>
          <w:lang w:eastAsia="pt-BR"/>
        </w:rPr>
      </w:pPr>
      <w:r w:rsidRPr="00745A88">
        <w:rPr>
          <w:rFonts w:eastAsia="Times New Roman" w:cs="Times New Roman"/>
          <w:color w:val="000000"/>
          <w:szCs w:val="24"/>
          <w:lang w:eastAsia="pt-BR"/>
        </w:rPr>
        <w:t>NETO,</w:t>
      </w:r>
      <w:r w:rsidRPr="00745A88">
        <w:rPr>
          <w:rFonts w:eastAsia="Times New Roman" w:cs="Times New Roman"/>
          <w:color w:val="000000"/>
          <w:sz w:val="28"/>
          <w:szCs w:val="28"/>
          <w:lang w:eastAsia="pt-BR"/>
        </w:rPr>
        <w:t xml:space="preserve"> </w:t>
      </w:r>
      <w:r w:rsidRPr="00745A88">
        <w:rPr>
          <w:rFonts w:eastAsia="Times New Roman" w:cs="Times New Roman"/>
          <w:color w:val="000000"/>
          <w:szCs w:val="24"/>
          <w:lang w:eastAsia="pt-BR"/>
        </w:rPr>
        <w:t xml:space="preserve">Alexandre Assaf. </w:t>
      </w:r>
      <w:r w:rsidRPr="00745A88">
        <w:rPr>
          <w:rFonts w:eastAsia="Times New Roman" w:cs="Times New Roman"/>
          <w:b/>
          <w:bCs/>
          <w:color w:val="000000"/>
          <w:szCs w:val="24"/>
          <w:lang w:eastAsia="pt-BR"/>
        </w:rPr>
        <w:t>Estrutura e análise de balanços</w:t>
      </w:r>
      <w:r w:rsidRPr="00745A88">
        <w:rPr>
          <w:rFonts w:eastAsia="Times New Roman" w:cs="Times New Roman"/>
          <w:bCs/>
          <w:color w:val="000000"/>
          <w:szCs w:val="24"/>
          <w:lang w:eastAsia="pt-BR"/>
        </w:rPr>
        <w:t>.</w:t>
      </w:r>
      <w:r w:rsidRPr="00745A88">
        <w:rPr>
          <w:rFonts w:eastAsia="Times New Roman" w:cs="Times New Roman"/>
          <w:b/>
          <w:bCs/>
          <w:color w:val="000000"/>
          <w:szCs w:val="24"/>
          <w:lang w:eastAsia="pt-BR"/>
        </w:rPr>
        <w:t xml:space="preserve"> </w:t>
      </w:r>
      <w:proofErr w:type="gramStart"/>
      <w:r w:rsidRPr="00745A88">
        <w:rPr>
          <w:rFonts w:eastAsia="Times New Roman" w:cs="Times New Roman"/>
          <w:color w:val="000000"/>
          <w:szCs w:val="24"/>
          <w:lang w:eastAsia="pt-BR"/>
        </w:rPr>
        <w:t>3.</w:t>
      </w:r>
      <w:proofErr w:type="gramEnd"/>
      <w:r w:rsidRPr="00745A88">
        <w:rPr>
          <w:rFonts w:eastAsia="Times New Roman" w:cs="Times New Roman"/>
          <w:color w:val="000000"/>
          <w:szCs w:val="24"/>
          <w:lang w:eastAsia="pt-BR"/>
        </w:rPr>
        <w:t>ed. São Paulo: Atlas, 1989.</w:t>
      </w:r>
    </w:p>
    <w:p w:rsidR="00CC169F" w:rsidRDefault="00CC169F" w:rsidP="00DF4A3B">
      <w:pPr>
        <w:widowControl/>
        <w:shd w:val="clear" w:color="auto" w:fill="FFFFFF"/>
        <w:spacing w:line="240" w:lineRule="auto"/>
        <w:ind w:firstLine="0"/>
        <w:jc w:val="left"/>
        <w:rPr>
          <w:rFonts w:eastAsia="Times New Roman" w:cs="Times New Roman"/>
          <w:color w:val="000000"/>
          <w:szCs w:val="24"/>
          <w:lang w:eastAsia="pt-BR"/>
        </w:rPr>
      </w:pPr>
    </w:p>
    <w:p w:rsidR="00CC169F" w:rsidRPr="00CC169F" w:rsidRDefault="00CC169F" w:rsidP="00DF4A3B">
      <w:pPr>
        <w:widowControl/>
        <w:shd w:val="clear" w:color="auto" w:fill="FFFFFF"/>
        <w:spacing w:line="240" w:lineRule="auto"/>
        <w:ind w:firstLine="0"/>
        <w:jc w:val="left"/>
        <w:rPr>
          <w:rFonts w:eastAsia="Times New Roman" w:cs="Times New Roman"/>
          <w:color w:val="000000"/>
          <w:szCs w:val="24"/>
          <w:lang w:eastAsia="pt-BR"/>
        </w:rPr>
      </w:pPr>
      <w:r>
        <w:rPr>
          <w:rFonts w:eastAsia="Times New Roman" w:cs="Times New Roman"/>
          <w:color w:val="000000"/>
          <w:szCs w:val="24"/>
          <w:lang w:eastAsia="pt-BR"/>
        </w:rPr>
        <w:t xml:space="preserve">NETO, Alexandre Assaf. </w:t>
      </w:r>
      <w:r>
        <w:rPr>
          <w:rFonts w:eastAsia="Times New Roman" w:cs="Times New Roman"/>
          <w:b/>
          <w:color w:val="000000"/>
          <w:szCs w:val="24"/>
          <w:lang w:eastAsia="pt-BR"/>
        </w:rPr>
        <w:t>Estrutura e análise de balanços: um enfoque econômico-financeiro</w:t>
      </w:r>
      <w:r w:rsidRPr="00CC169F">
        <w:rPr>
          <w:rFonts w:eastAsia="Times New Roman" w:cs="Times New Roman"/>
          <w:color w:val="000000"/>
          <w:szCs w:val="24"/>
          <w:lang w:eastAsia="pt-BR"/>
        </w:rPr>
        <w:t xml:space="preserve">. </w:t>
      </w:r>
      <w:proofErr w:type="gramStart"/>
      <w:r>
        <w:rPr>
          <w:rFonts w:eastAsia="Times New Roman" w:cs="Times New Roman"/>
          <w:color w:val="000000"/>
          <w:szCs w:val="24"/>
          <w:lang w:eastAsia="pt-BR"/>
        </w:rPr>
        <w:t>9</w:t>
      </w:r>
      <w:proofErr w:type="gramEnd"/>
      <w:r>
        <w:rPr>
          <w:rFonts w:eastAsia="Times New Roman" w:cs="Times New Roman"/>
          <w:color w:val="000000"/>
          <w:szCs w:val="24"/>
          <w:lang w:eastAsia="pt-BR"/>
        </w:rPr>
        <w:t xml:space="preserve"> ed. São Paulo: Atlas, 2010.</w:t>
      </w:r>
    </w:p>
    <w:p w:rsidR="00745A88" w:rsidRPr="00745A88" w:rsidRDefault="00745A88" w:rsidP="00DF4A3B">
      <w:pPr>
        <w:widowControl/>
        <w:shd w:val="clear" w:color="auto" w:fill="FFFFFF"/>
        <w:spacing w:line="240" w:lineRule="auto"/>
        <w:ind w:firstLine="0"/>
        <w:jc w:val="left"/>
        <w:rPr>
          <w:rFonts w:eastAsia="Times New Roman" w:cs="Times New Roman"/>
          <w:color w:val="000000"/>
          <w:szCs w:val="24"/>
          <w:lang w:eastAsia="pt-BR"/>
        </w:rPr>
      </w:pPr>
    </w:p>
    <w:p w:rsidR="00745A88" w:rsidRDefault="00745A88" w:rsidP="00DF4A3B">
      <w:pPr>
        <w:spacing w:line="240" w:lineRule="auto"/>
        <w:ind w:firstLine="0"/>
        <w:jc w:val="left"/>
        <w:rPr>
          <w:rFonts w:eastAsia="Times New Roman" w:cs="Times New Roman"/>
          <w:color w:val="000000"/>
          <w:szCs w:val="24"/>
          <w:lang w:eastAsia="pt-BR"/>
        </w:rPr>
      </w:pPr>
      <w:r w:rsidRPr="00745A88">
        <w:rPr>
          <w:rFonts w:eastAsia="Times New Roman" w:cs="Times New Roman"/>
          <w:color w:val="000000"/>
          <w:szCs w:val="24"/>
          <w:lang w:eastAsia="pt-BR"/>
        </w:rPr>
        <w:t xml:space="preserve">RIBEIRO, Osni Moura, </w:t>
      </w:r>
      <w:r w:rsidRPr="00745A88">
        <w:rPr>
          <w:rFonts w:eastAsia="Times New Roman" w:cs="Times New Roman"/>
          <w:b/>
          <w:bCs/>
          <w:color w:val="000000"/>
          <w:szCs w:val="24"/>
          <w:lang w:eastAsia="pt-BR"/>
        </w:rPr>
        <w:t>Estrutura e análise de balanços fácil</w:t>
      </w:r>
      <w:r w:rsidRPr="00CC169F">
        <w:rPr>
          <w:rFonts w:eastAsia="Times New Roman" w:cs="Times New Roman"/>
          <w:bCs/>
          <w:color w:val="000000"/>
          <w:szCs w:val="24"/>
          <w:lang w:eastAsia="pt-BR"/>
        </w:rPr>
        <w:t>.</w:t>
      </w:r>
      <w:r w:rsidRPr="00745A88">
        <w:rPr>
          <w:rFonts w:eastAsia="Times New Roman" w:cs="Times New Roman"/>
          <w:b/>
          <w:bCs/>
          <w:color w:val="000000"/>
          <w:szCs w:val="24"/>
          <w:lang w:eastAsia="pt-BR"/>
        </w:rPr>
        <w:t xml:space="preserve"> </w:t>
      </w:r>
      <w:r w:rsidRPr="00745A88">
        <w:rPr>
          <w:rFonts w:eastAsia="Times New Roman" w:cs="Times New Roman"/>
          <w:color w:val="000000"/>
          <w:szCs w:val="24"/>
          <w:lang w:eastAsia="pt-BR"/>
        </w:rPr>
        <w:t xml:space="preserve">5. </w:t>
      </w:r>
      <w:proofErr w:type="gramStart"/>
      <w:r w:rsidRPr="00745A88">
        <w:rPr>
          <w:rFonts w:eastAsia="Times New Roman" w:cs="Times New Roman"/>
          <w:color w:val="000000"/>
          <w:szCs w:val="24"/>
          <w:lang w:eastAsia="pt-BR"/>
        </w:rPr>
        <w:t>ed.</w:t>
      </w:r>
      <w:proofErr w:type="gramEnd"/>
      <w:r w:rsidRPr="00745A88">
        <w:rPr>
          <w:rFonts w:eastAsia="Times New Roman" w:cs="Times New Roman"/>
          <w:color w:val="000000"/>
          <w:szCs w:val="24"/>
          <w:lang w:eastAsia="pt-BR"/>
        </w:rPr>
        <w:t xml:space="preserve"> São Paulo: Saraiva, 1997.</w:t>
      </w:r>
    </w:p>
    <w:p w:rsidR="00DF4A3B" w:rsidRDefault="00DF4A3B" w:rsidP="00DF4A3B">
      <w:pPr>
        <w:spacing w:line="240" w:lineRule="auto"/>
        <w:ind w:firstLine="0"/>
        <w:jc w:val="left"/>
        <w:rPr>
          <w:rFonts w:eastAsia="Times New Roman" w:cs="Times New Roman"/>
          <w:color w:val="000000"/>
          <w:szCs w:val="24"/>
          <w:lang w:eastAsia="pt-BR"/>
        </w:rPr>
      </w:pPr>
    </w:p>
    <w:p w:rsidR="00DF4A3B" w:rsidRDefault="00DF4A3B" w:rsidP="00DF4A3B">
      <w:pPr>
        <w:pStyle w:val="yiv4380919734msonormal"/>
        <w:shd w:val="clear" w:color="auto" w:fill="FFFFFF"/>
        <w:spacing w:before="0" w:beforeAutospacing="0" w:after="0" w:afterAutospacing="0"/>
      </w:pPr>
      <w:r w:rsidRPr="00DF4A3B">
        <w:t>SANTOS, José Luiz</w:t>
      </w:r>
      <w:r w:rsidRPr="00DF4A3B">
        <w:t xml:space="preserve">. </w:t>
      </w:r>
      <w:r w:rsidRPr="00DF4A3B">
        <w:rPr>
          <w:b/>
        </w:rPr>
        <w:t>Fundamentos de Contabilidade de Custos</w:t>
      </w:r>
      <w:r w:rsidRPr="00DF4A3B">
        <w:t>. Coleção Resumos de Contabilidade. Volume 22. Editora Atlas (2006)</w:t>
      </w:r>
      <w:r w:rsidR="00CC169F">
        <w:t>.</w:t>
      </w:r>
    </w:p>
    <w:p w:rsidR="00CC169F" w:rsidRDefault="00CC169F" w:rsidP="00DF4A3B">
      <w:pPr>
        <w:pStyle w:val="yiv4380919734msonormal"/>
        <w:shd w:val="clear" w:color="auto" w:fill="FFFFFF"/>
        <w:spacing w:before="0" w:beforeAutospacing="0" w:after="0" w:afterAutospacing="0"/>
      </w:pPr>
    </w:p>
    <w:p w:rsidR="00CC169F" w:rsidRPr="00CC169F" w:rsidRDefault="00CC169F" w:rsidP="00DF4A3B">
      <w:pPr>
        <w:pStyle w:val="yiv4380919734msonormal"/>
        <w:shd w:val="clear" w:color="auto" w:fill="FFFFFF"/>
        <w:spacing w:before="0" w:beforeAutospacing="0" w:after="0" w:afterAutospacing="0"/>
      </w:pPr>
      <w:r>
        <w:t xml:space="preserve">SILVA, Alexandre </w:t>
      </w:r>
      <w:proofErr w:type="spellStart"/>
      <w:r>
        <w:t>Alcantara</w:t>
      </w:r>
      <w:proofErr w:type="spellEnd"/>
      <w:r>
        <w:t xml:space="preserve"> </w:t>
      </w:r>
      <w:proofErr w:type="gramStart"/>
      <w:r>
        <w:t>da.</w:t>
      </w:r>
      <w:proofErr w:type="gramEnd"/>
      <w:r>
        <w:t xml:space="preserve"> </w:t>
      </w:r>
      <w:r>
        <w:rPr>
          <w:b/>
        </w:rPr>
        <w:t>Estrutura, análise e interpretação das demonstrações contábeis</w:t>
      </w:r>
      <w:r w:rsidRPr="00CC169F">
        <w:t>.</w:t>
      </w:r>
      <w:r>
        <w:rPr>
          <w:b/>
        </w:rPr>
        <w:t xml:space="preserve"> </w:t>
      </w:r>
      <w:proofErr w:type="gramStart"/>
      <w:r>
        <w:t>2</w:t>
      </w:r>
      <w:proofErr w:type="gramEnd"/>
      <w:r>
        <w:t xml:space="preserve"> ed. São Paulo: Atlas, 2010.</w:t>
      </w:r>
    </w:p>
    <w:p w:rsidR="0052123E" w:rsidRPr="0025050C" w:rsidRDefault="0052123E" w:rsidP="00BD6AB3">
      <w:pPr>
        <w:tabs>
          <w:tab w:val="left" w:pos="7770"/>
        </w:tabs>
        <w:ind w:firstLine="0"/>
        <w:rPr>
          <w:rFonts w:cs="Times New Roman"/>
          <w:szCs w:val="24"/>
        </w:rPr>
      </w:pPr>
    </w:p>
    <w:sectPr w:rsidR="0052123E" w:rsidRPr="0025050C" w:rsidSect="00FD2CF3">
      <w:headerReference w:type="default" r:id="rId18"/>
      <w:pgSz w:w="11906" w:h="16838"/>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B7" w:rsidRDefault="002D5AB7" w:rsidP="00BB12D5">
      <w:pPr>
        <w:spacing w:line="240" w:lineRule="auto"/>
      </w:pPr>
      <w:r>
        <w:separator/>
      </w:r>
    </w:p>
  </w:endnote>
  <w:endnote w:type="continuationSeparator" w:id="0">
    <w:p w:rsidR="002D5AB7" w:rsidRDefault="002D5AB7" w:rsidP="00BB1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B7" w:rsidRDefault="002D5AB7" w:rsidP="00BB12D5">
      <w:pPr>
        <w:spacing w:line="240" w:lineRule="auto"/>
      </w:pPr>
      <w:r>
        <w:separator/>
      </w:r>
    </w:p>
  </w:footnote>
  <w:footnote w:type="continuationSeparator" w:id="0">
    <w:p w:rsidR="002D5AB7" w:rsidRDefault="002D5AB7" w:rsidP="00BB12D5">
      <w:pPr>
        <w:spacing w:line="240" w:lineRule="auto"/>
      </w:pPr>
      <w:r>
        <w:continuationSeparator/>
      </w:r>
    </w:p>
  </w:footnote>
  <w:footnote w:id="1">
    <w:p w:rsidR="007000FE" w:rsidRPr="00A93DD4" w:rsidRDefault="007000FE" w:rsidP="007000FE">
      <w:pPr>
        <w:pStyle w:val="Textodenotaderodap"/>
        <w:rPr>
          <w:rFonts w:ascii="Times New Roman" w:hAnsi="Times New Roman" w:cs="Times New Roman"/>
        </w:rPr>
      </w:pPr>
      <w:r w:rsidRPr="00CD070D">
        <w:rPr>
          <w:rStyle w:val="Refdenotaderodap"/>
          <w:rFonts w:ascii="Times New Roman" w:hAnsi="Times New Roman"/>
          <w:sz w:val="18"/>
        </w:rPr>
        <w:footnoteRef/>
      </w:r>
      <w:r w:rsidRPr="00CD070D">
        <w:rPr>
          <w:rFonts w:ascii="Times New Roman" w:hAnsi="Times New Roman" w:cs="Times New Roman"/>
          <w:sz w:val="18"/>
        </w:rPr>
        <w:t xml:space="preserve"> CAGR significa </w:t>
      </w:r>
      <w:proofErr w:type="spellStart"/>
      <w:r w:rsidRPr="00CD070D">
        <w:rPr>
          <w:rFonts w:ascii="Times New Roman" w:hAnsi="Times New Roman" w:cs="Times New Roman"/>
          <w:i/>
          <w:sz w:val="18"/>
        </w:rPr>
        <w:t>compound</w:t>
      </w:r>
      <w:proofErr w:type="spellEnd"/>
      <w:r w:rsidRPr="00CD070D">
        <w:rPr>
          <w:rFonts w:ascii="Times New Roman" w:hAnsi="Times New Roman" w:cs="Times New Roman"/>
          <w:i/>
          <w:sz w:val="18"/>
        </w:rPr>
        <w:t xml:space="preserve"> </w:t>
      </w:r>
      <w:proofErr w:type="spellStart"/>
      <w:r w:rsidRPr="00CD070D">
        <w:rPr>
          <w:rFonts w:ascii="Times New Roman" w:hAnsi="Times New Roman" w:cs="Times New Roman"/>
          <w:i/>
          <w:sz w:val="18"/>
        </w:rPr>
        <w:t>annual</w:t>
      </w:r>
      <w:proofErr w:type="spellEnd"/>
      <w:r w:rsidRPr="00CD070D">
        <w:rPr>
          <w:rFonts w:ascii="Times New Roman" w:hAnsi="Times New Roman" w:cs="Times New Roman"/>
          <w:i/>
          <w:sz w:val="18"/>
        </w:rPr>
        <w:t xml:space="preserve"> </w:t>
      </w:r>
      <w:proofErr w:type="spellStart"/>
      <w:r w:rsidRPr="00CD070D">
        <w:rPr>
          <w:rFonts w:ascii="Times New Roman" w:hAnsi="Times New Roman" w:cs="Times New Roman"/>
          <w:i/>
          <w:sz w:val="18"/>
        </w:rPr>
        <w:t>growth</w:t>
      </w:r>
      <w:proofErr w:type="spellEnd"/>
      <w:r w:rsidRPr="00CD070D">
        <w:rPr>
          <w:rFonts w:ascii="Times New Roman" w:hAnsi="Times New Roman" w:cs="Times New Roman"/>
          <w:i/>
          <w:sz w:val="18"/>
        </w:rPr>
        <w:t xml:space="preserve"> rate</w:t>
      </w:r>
      <w:r w:rsidRPr="00CD070D">
        <w:rPr>
          <w:rFonts w:ascii="Times New Roman" w:hAnsi="Times New Roman" w:cs="Times New Roman"/>
          <w:sz w:val="18"/>
        </w:rPr>
        <w:t xml:space="preserve">, </w:t>
      </w:r>
      <w:proofErr w:type="gramStart"/>
      <w:r w:rsidRPr="00CD070D">
        <w:rPr>
          <w:rFonts w:ascii="Times New Roman" w:hAnsi="Times New Roman" w:cs="Times New Roman"/>
          <w:sz w:val="18"/>
        </w:rPr>
        <w:t>ou seja</w:t>
      </w:r>
      <w:proofErr w:type="gramEnd"/>
      <w:r w:rsidRPr="00CD070D">
        <w:rPr>
          <w:rFonts w:ascii="Times New Roman" w:hAnsi="Times New Roman" w:cs="Times New Roman"/>
          <w:sz w:val="18"/>
        </w:rPr>
        <w:t xml:space="preserve"> taxa composta anual de crescimento. Seu dado identifica a taxa anual de crescimento de uma determinada variável (investimento, lucro líquido, etc.). Pode ser utilizado como taxa de crescimento médio, uma vez que não demonstra o crescimento real, mas sim a evolução a uma taxa constante estimada.</w:t>
      </w:r>
    </w:p>
  </w:footnote>
  <w:footnote w:id="2">
    <w:p w:rsidR="007000FE" w:rsidRPr="002C0DCD" w:rsidRDefault="007000FE" w:rsidP="007000FE">
      <w:pPr>
        <w:pStyle w:val="Textodenotaderodap"/>
        <w:rPr>
          <w:rFonts w:ascii="Times New Roman" w:hAnsi="Times New Roman" w:cs="Times New Roman"/>
          <w:sz w:val="18"/>
        </w:rPr>
      </w:pPr>
      <w:r>
        <w:rPr>
          <w:rStyle w:val="Refdenotaderodap"/>
        </w:rPr>
        <w:footnoteRef/>
      </w:r>
      <w:r>
        <w:t xml:space="preserve"> </w:t>
      </w:r>
      <w:r w:rsidRPr="00CD070D">
        <w:rPr>
          <w:rFonts w:ascii="Times New Roman" w:hAnsi="Times New Roman" w:cs="Times New Roman"/>
          <w:sz w:val="18"/>
        </w:rPr>
        <w:t xml:space="preserve">Em livre tradução, o termo </w:t>
      </w:r>
      <w:r w:rsidRPr="00CD070D">
        <w:rPr>
          <w:rFonts w:ascii="Times New Roman" w:hAnsi="Times New Roman" w:cs="Times New Roman"/>
          <w:i/>
          <w:sz w:val="18"/>
        </w:rPr>
        <w:t>hedge</w:t>
      </w:r>
      <w:r w:rsidRPr="00CD070D">
        <w:rPr>
          <w:rFonts w:ascii="Times New Roman" w:hAnsi="Times New Roman" w:cs="Times New Roman"/>
          <w:sz w:val="18"/>
        </w:rPr>
        <w:t xml:space="preserve"> pode ser entendido como uma proteção, ou operação de proteção, que visa garantir um determinado valor futuro de um ativo ou dívida, contra uma desvalorização de moeda ou outro problema decorrente de operações nos mercados financeiro ou cambial.</w:t>
      </w:r>
    </w:p>
  </w:footnote>
  <w:footnote w:id="3">
    <w:p w:rsidR="007000FE" w:rsidRPr="00D152D1" w:rsidRDefault="007000FE" w:rsidP="007000FE">
      <w:pPr>
        <w:pStyle w:val="Textodenotaderodap"/>
        <w:rPr>
          <w:rFonts w:ascii="Times New Roman" w:hAnsi="Times New Roman" w:cs="Times New Roman"/>
          <w:sz w:val="18"/>
        </w:rPr>
      </w:pPr>
      <w:r>
        <w:rPr>
          <w:rStyle w:val="Refdenotaderodap"/>
        </w:rPr>
        <w:footnoteRef/>
      </w:r>
      <w:r>
        <w:t xml:space="preserve"> </w:t>
      </w:r>
      <w:r>
        <w:rPr>
          <w:rFonts w:ascii="Times New Roman" w:hAnsi="Times New Roman" w:cs="Times New Roman"/>
          <w:sz w:val="18"/>
        </w:rPr>
        <w:t xml:space="preserve">Em 2013, as empresas Gerdau S.A. e Metalúrgica Gerdau S.A., deliberaram dividendos e/ou juros sobre capital próprio superiores em relação a 2012, com aumentos de 17% e 15%, respectivamente.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801099"/>
      <w:docPartObj>
        <w:docPartGallery w:val="Page Numbers (Top of Page)"/>
        <w:docPartUnique/>
      </w:docPartObj>
    </w:sdtPr>
    <w:sdtEndPr/>
    <w:sdtContent>
      <w:p w:rsidR="007000FE" w:rsidRDefault="007000FE">
        <w:pPr>
          <w:pStyle w:val="Cabealho"/>
          <w:jc w:val="right"/>
        </w:pPr>
        <w:r w:rsidRPr="00FD2CF3">
          <w:rPr>
            <w:rFonts w:ascii="Arial" w:hAnsi="Arial"/>
          </w:rPr>
          <w:fldChar w:fldCharType="begin"/>
        </w:r>
        <w:r w:rsidRPr="00FD2CF3">
          <w:rPr>
            <w:rFonts w:ascii="Arial" w:hAnsi="Arial"/>
          </w:rPr>
          <w:instrText>PAGE   \* MERGEFORMAT</w:instrText>
        </w:r>
        <w:r w:rsidRPr="00FD2CF3">
          <w:rPr>
            <w:rFonts w:ascii="Arial" w:hAnsi="Arial"/>
          </w:rPr>
          <w:fldChar w:fldCharType="separate"/>
        </w:r>
        <w:r w:rsidR="009A628C" w:rsidRPr="009A628C">
          <w:rPr>
            <w:noProof/>
          </w:rPr>
          <w:t>19</w:t>
        </w:r>
        <w:r w:rsidRPr="00FD2CF3">
          <w:rPr>
            <w:rFonts w:ascii="Arial" w:hAnsi="Arial"/>
          </w:rPr>
          <w:fldChar w:fldCharType="end"/>
        </w:r>
      </w:p>
    </w:sdtContent>
  </w:sdt>
  <w:p w:rsidR="007000FE" w:rsidRDefault="007000F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353"/>
    <w:multiLevelType w:val="multilevel"/>
    <w:tmpl w:val="7B5E36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C9323D"/>
    <w:multiLevelType w:val="hybridMultilevel"/>
    <w:tmpl w:val="7B5CFE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CE3F2E"/>
    <w:multiLevelType w:val="multilevel"/>
    <w:tmpl w:val="29C23C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240AE4"/>
    <w:multiLevelType w:val="hybridMultilevel"/>
    <w:tmpl w:val="BFB4DFD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0DBE7082"/>
    <w:multiLevelType w:val="hybridMultilevel"/>
    <w:tmpl w:val="5CC69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2A79BD"/>
    <w:multiLevelType w:val="multilevel"/>
    <w:tmpl w:val="A73C29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85465A"/>
    <w:multiLevelType w:val="multilevel"/>
    <w:tmpl w:val="FFB0C6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4B186A"/>
    <w:multiLevelType w:val="hybridMultilevel"/>
    <w:tmpl w:val="25E886AE"/>
    <w:lvl w:ilvl="0" w:tplc="F7CA9A9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309D2AC3"/>
    <w:multiLevelType w:val="multilevel"/>
    <w:tmpl w:val="4B625CC8"/>
    <w:lvl w:ilvl="0">
      <w:start w:val="1"/>
      <w:numFmt w:val="decimal"/>
      <w:pStyle w:val="Ttulo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F445F0"/>
    <w:multiLevelType w:val="hybridMultilevel"/>
    <w:tmpl w:val="A93839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nsid w:val="3A3C47D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B86123"/>
    <w:multiLevelType w:val="multilevel"/>
    <w:tmpl w:val="BD2CC0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176EF0"/>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B33345"/>
    <w:multiLevelType w:val="multilevel"/>
    <w:tmpl w:val="F080DFC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CA0B3A"/>
    <w:multiLevelType w:val="hybridMultilevel"/>
    <w:tmpl w:val="8B2C9A9C"/>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CB033D"/>
    <w:multiLevelType w:val="hybridMultilevel"/>
    <w:tmpl w:val="6D06DFE0"/>
    <w:lvl w:ilvl="0" w:tplc="351A9A9A">
      <w:start w:val="2"/>
      <w:numFmt w:val="lowerLetter"/>
      <w:lvlText w:val="%1)"/>
      <w:lvlJc w:val="left"/>
      <w:pPr>
        <w:ind w:left="36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3621A1C"/>
    <w:multiLevelType w:val="hybridMultilevel"/>
    <w:tmpl w:val="B3A2E65C"/>
    <w:lvl w:ilvl="0" w:tplc="6ABE5238">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6B92F08"/>
    <w:multiLevelType w:val="hybridMultilevel"/>
    <w:tmpl w:val="9710E2D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7A63EE2"/>
    <w:multiLevelType w:val="multilevel"/>
    <w:tmpl w:val="07B886E0"/>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BCD1893"/>
    <w:multiLevelType w:val="multilevel"/>
    <w:tmpl w:val="F1A27E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0D340E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812A78"/>
    <w:multiLevelType w:val="multilevel"/>
    <w:tmpl w:val="2692382C"/>
    <w:lvl w:ilvl="0">
      <w:start w:val="5"/>
      <w:numFmt w:val="decimal"/>
      <w:lvlText w:val="%1"/>
      <w:lvlJc w:val="left"/>
      <w:pPr>
        <w:ind w:left="360" w:hanging="360"/>
      </w:pPr>
      <w:rPr>
        <w:rFonts w:hint="default"/>
      </w:rPr>
    </w:lvl>
    <w:lvl w:ilvl="1">
      <w:start w:val="1"/>
      <w:numFmt w:val="decimal"/>
      <w:pStyle w:val="Ttu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305F02"/>
    <w:multiLevelType w:val="multilevel"/>
    <w:tmpl w:val="9F2A74F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BCB0FB4"/>
    <w:multiLevelType w:val="multilevel"/>
    <w:tmpl w:val="B4B4F440"/>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CF00FB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F21EC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16E4FA5"/>
    <w:multiLevelType w:val="multilevel"/>
    <w:tmpl w:val="4156DD7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751201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64147E"/>
    <w:multiLevelType w:val="hybridMultilevel"/>
    <w:tmpl w:val="C7D4C70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8"/>
  </w:num>
  <w:num w:numId="2">
    <w:abstractNumId w:val="9"/>
  </w:num>
  <w:num w:numId="3">
    <w:abstractNumId w:val="10"/>
  </w:num>
  <w:num w:numId="4">
    <w:abstractNumId w:val="27"/>
  </w:num>
  <w:num w:numId="5">
    <w:abstractNumId w:val="24"/>
  </w:num>
  <w:num w:numId="6">
    <w:abstractNumId w:val="25"/>
  </w:num>
  <w:num w:numId="7">
    <w:abstractNumId w:val="12"/>
  </w:num>
  <w:num w:numId="8">
    <w:abstractNumId w:val="12"/>
    <w:lvlOverride w:ilvl="0">
      <w:startOverride w:val="5"/>
    </w:lvlOverride>
  </w:num>
  <w:num w:numId="9">
    <w:abstractNumId w:val="13"/>
  </w:num>
  <w:num w:numId="10">
    <w:abstractNumId w:val="13"/>
    <w:lvlOverride w:ilvl="0">
      <w:startOverride w:val="5"/>
    </w:lvlOverride>
  </w:num>
  <w:num w:numId="11">
    <w:abstractNumId w:val="20"/>
  </w:num>
  <w:num w:numId="12">
    <w:abstractNumId w:val="13"/>
    <w:lvlOverride w:ilvl="0">
      <w:startOverride w:val="5"/>
    </w:lvlOverride>
  </w:num>
  <w:num w:numId="13">
    <w:abstractNumId w:val="13"/>
    <w:lvlOverride w:ilvl="0">
      <w:startOverride w:val="5"/>
    </w:lvlOverride>
  </w:num>
  <w:num w:numId="14">
    <w:abstractNumId w:val="13"/>
    <w:lvlOverride w:ilvl="0">
      <w:startOverride w:val="5"/>
    </w:lvlOverride>
  </w:num>
  <w:num w:numId="15">
    <w:abstractNumId w:val="4"/>
  </w:num>
  <w:num w:numId="16">
    <w:abstractNumId w:val="3"/>
  </w:num>
  <w:num w:numId="17">
    <w:abstractNumId w:val="2"/>
  </w:num>
  <w:num w:numId="18">
    <w:abstractNumId w:val="17"/>
  </w:num>
  <w:num w:numId="19">
    <w:abstractNumId w:val="18"/>
  </w:num>
  <w:num w:numId="20">
    <w:abstractNumId w:val="14"/>
  </w:num>
  <w:num w:numId="21">
    <w:abstractNumId w:val="15"/>
  </w:num>
  <w:num w:numId="22">
    <w:abstractNumId w:val="1"/>
  </w:num>
  <w:num w:numId="23">
    <w:abstractNumId w:val="7"/>
  </w:num>
  <w:num w:numId="24">
    <w:abstractNumId w:val="6"/>
  </w:num>
  <w:num w:numId="25">
    <w:abstractNumId w:val="18"/>
    <w:lvlOverride w:ilvl="0">
      <w:startOverride w:val="6"/>
    </w:lvlOverride>
    <w:lvlOverride w:ilvl="1">
      <w:startOverride w:val="1"/>
    </w:lvlOverride>
  </w:num>
  <w:num w:numId="26">
    <w:abstractNumId w:val="18"/>
    <w:lvlOverride w:ilvl="0">
      <w:startOverride w:val="6"/>
    </w:lvlOverride>
    <w:lvlOverride w:ilvl="1">
      <w:startOverride w:val="1"/>
    </w:lvlOverride>
  </w:num>
  <w:num w:numId="27">
    <w:abstractNumId w:val="18"/>
    <w:lvlOverride w:ilvl="0">
      <w:startOverride w:val="7"/>
    </w:lvlOverride>
    <w:lvlOverride w:ilvl="1">
      <w:startOverride w:val="1"/>
    </w:lvlOverride>
  </w:num>
  <w:num w:numId="28">
    <w:abstractNumId w:val="18"/>
    <w:lvlOverride w:ilvl="0">
      <w:startOverride w:val="7"/>
    </w:lvlOverride>
    <w:lvlOverride w:ilvl="1">
      <w:startOverride w:val="1"/>
    </w:lvlOverride>
  </w:num>
  <w:num w:numId="29">
    <w:abstractNumId w:val="18"/>
    <w:lvlOverride w:ilvl="0">
      <w:startOverride w:val="7"/>
    </w:lvlOverride>
    <w:lvlOverride w:ilvl="1">
      <w:startOverride w:val="1"/>
    </w:lvlOverride>
  </w:num>
  <w:num w:numId="30">
    <w:abstractNumId w:val="18"/>
    <w:lvlOverride w:ilvl="0">
      <w:startOverride w:val="7"/>
    </w:lvlOverride>
    <w:lvlOverride w:ilvl="1">
      <w:startOverride w:val="1"/>
    </w:lvlOverride>
  </w:num>
  <w:num w:numId="31">
    <w:abstractNumId w:val="5"/>
  </w:num>
  <w:num w:numId="32">
    <w:abstractNumId w:val="5"/>
    <w:lvlOverride w:ilvl="0">
      <w:startOverride w:val="7"/>
    </w:lvlOverride>
    <w:lvlOverride w:ilvl="1">
      <w:startOverride w:val="1"/>
    </w:lvlOverride>
  </w:num>
  <w:num w:numId="33">
    <w:abstractNumId w:val="5"/>
    <w:lvlOverride w:ilvl="0">
      <w:startOverride w:val="7"/>
    </w:lvlOverride>
    <w:lvlOverride w:ilvl="1">
      <w:startOverride w:val="1"/>
    </w:lvlOverride>
  </w:num>
  <w:num w:numId="34">
    <w:abstractNumId w:val="28"/>
  </w:num>
  <w:num w:numId="35">
    <w:abstractNumId w:val="26"/>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6"/>
  </w:num>
  <w:num w:numId="39">
    <w:abstractNumId w:val="11"/>
  </w:num>
  <w:num w:numId="40">
    <w:abstractNumId w:val="0"/>
  </w:num>
  <w:num w:numId="41">
    <w:abstractNumId w:val="22"/>
  </w:num>
  <w:num w:numId="42">
    <w:abstractNumId w:val="2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D5"/>
    <w:rsid w:val="0002058A"/>
    <w:rsid w:val="000374F7"/>
    <w:rsid w:val="000C7A70"/>
    <w:rsid w:val="00147437"/>
    <w:rsid w:val="00194406"/>
    <w:rsid w:val="001F1F79"/>
    <w:rsid w:val="0025050C"/>
    <w:rsid w:val="00287066"/>
    <w:rsid w:val="002B30C6"/>
    <w:rsid w:val="002D5AB7"/>
    <w:rsid w:val="002E4A6F"/>
    <w:rsid w:val="00385E7B"/>
    <w:rsid w:val="003C27E2"/>
    <w:rsid w:val="00402E2F"/>
    <w:rsid w:val="004053E7"/>
    <w:rsid w:val="0042558D"/>
    <w:rsid w:val="004D4480"/>
    <w:rsid w:val="0052123E"/>
    <w:rsid w:val="0057652A"/>
    <w:rsid w:val="005E6735"/>
    <w:rsid w:val="006875E3"/>
    <w:rsid w:val="006A7254"/>
    <w:rsid w:val="007000FE"/>
    <w:rsid w:val="00745732"/>
    <w:rsid w:val="00745A88"/>
    <w:rsid w:val="00774EBD"/>
    <w:rsid w:val="0082611C"/>
    <w:rsid w:val="008306F1"/>
    <w:rsid w:val="00874FA0"/>
    <w:rsid w:val="008E691C"/>
    <w:rsid w:val="008F05B5"/>
    <w:rsid w:val="0096405C"/>
    <w:rsid w:val="0099371F"/>
    <w:rsid w:val="009A628C"/>
    <w:rsid w:val="009F7F05"/>
    <w:rsid w:val="00A24458"/>
    <w:rsid w:val="00A6356B"/>
    <w:rsid w:val="00A648BA"/>
    <w:rsid w:val="00A764C8"/>
    <w:rsid w:val="00A91135"/>
    <w:rsid w:val="00AC6E85"/>
    <w:rsid w:val="00B7345F"/>
    <w:rsid w:val="00BB12D5"/>
    <w:rsid w:val="00BD6AB3"/>
    <w:rsid w:val="00BF7A10"/>
    <w:rsid w:val="00C54FAC"/>
    <w:rsid w:val="00CC169F"/>
    <w:rsid w:val="00D15C53"/>
    <w:rsid w:val="00D33D40"/>
    <w:rsid w:val="00D84AE9"/>
    <w:rsid w:val="00DB7090"/>
    <w:rsid w:val="00DF4A3B"/>
    <w:rsid w:val="00F3169A"/>
    <w:rsid w:val="00FD2C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FE"/>
    <w:pPr>
      <w:widowControl w:val="0"/>
      <w:spacing w:after="0" w:line="360" w:lineRule="auto"/>
      <w:ind w:firstLine="709"/>
      <w:jc w:val="both"/>
    </w:pPr>
    <w:rPr>
      <w:rFonts w:ascii="Times New Roman" w:hAnsi="Times New Roman"/>
      <w:sz w:val="24"/>
    </w:rPr>
  </w:style>
  <w:style w:type="paragraph" w:styleId="Ttulo1">
    <w:name w:val="heading 1"/>
    <w:basedOn w:val="Normal"/>
    <w:next w:val="Normal"/>
    <w:link w:val="Ttulo1Char"/>
    <w:autoRedefine/>
    <w:qFormat/>
    <w:rsid w:val="0002058A"/>
    <w:pPr>
      <w:numPr>
        <w:numId w:val="1"/>
      </w:numPr>
      <w:spacing w:before="240" w:after="120"/>
      <w:ind w:left="357" w:hanging="357"/>
      <w:outlineLvl w:val="0"/>
    </w:pPr>
    <w:rPr>
      <w:rFonts w:eastAsia="Times New Roman" w:cs="Arial"/>
      <w:b/>
      <w:bCs/>
      <w:caps/>
      <w:kern w:val="32"/>
      <w:szCs w:val="24"/>
    </w:rPr>
  </w:style>
  <w:style w:type="paragraph" w:styleId="Ttulo2">
    <w:name w:val="heading 2"/>
    <w:basedOn w:val="Normal"/>
    <w:next w:val="Normal"/>
    <w:link w:val="Ttulo2Char"/>
    <w:autoRedefine/>
    <w:uiPriority w:val="9"/>
    <w:unhideWhenUsed/>
    <w:qFormat/>
    <w:rsid w:val="0057652A"/>
    <w:pPr>
      <w:numPr>
        <w:ilvl w:val="1"/>
        <w:numId w:val="42"/>
      </w:numPr>
      <w:spacing w:before="240" w:after="120"/>
      <w:ind w:left="0" w:firstLine="0"/>
      <w:outlineLvl w:val="1"/>
    </w:pPr>
    <w:rPr>
      <w:rFonts w:eastAsiaTheme="majorEastAsia" w:cs="Arial"/>
      <w:bCs/>
      <w:caps/>
      <w:szCs w:val="24"/>
      <w:lang w:eastAsia="pt-BR"/>
    </w:rPr>
  </w:style>
  <w:style w:type="paragraph" w:styleId="Ttulo3">
    <w:name w:val="heading 3"/>
    <w:basedOn w:val="Normal"/>
    <w:next w:val="Normal"/>
    <w:link w:val="Ttulo3Char"/>
    <w:autoRedefine/>
    <w:uiPriority w:val="9"/>
    <w:unhideWhenUsed/>
    <w:qFormat/>
    <w:rsid w:val="0002058A"/>
    <w:pPr>
      <w:numPr>
        <w:ilvl w:val="2"/>
        <w:numId w:val="43"/>
      </w:numPr>
      <w:spacing w:before="240" w:after="120"/>
      <w:ind w:left="0" w:firstLine="0"/>
      <w:outlineLvl w:val="2"/>
    </w:pPr>
    <w:rPr>
      <w:rFonts w:eastAsiaTheme="majorEastAsia" w:cs="Times New Roman"/>
      <w:b/>
      <w:bCs/>
      <w:color w:val="000000" w:themeColor="text1"/>
      <w:szCs w:val="24"/>
    </w:rPr>
  </w:style>
  <w:style w:type="paragraph" w:styleId="Ttulo4">
    <w:name w:val="heading 4"/>
    <w:basedOn w:val="Normal"/>
    <w:next w:val="Normal"/>
    <w:link w:val="Ttulo4Char"/>
    <w:qFormat/>
    <w:rsid w:val="00FD2CF3"/>
    <w:pPr>
      <w:keepNext/>
      <w:outlineLvl w:val="3"/>
    </w:pPr>
    <w:rPr>
      <w:rFonts w:ascii="Arial" w:eastAsia="Times New Roman" w:hAnsi="Arial" w:cs="Times New Roman"/>
      <w:b/>
      <w:bCs/>
      <w:kern w:val="3"/>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12D5"/>
    <w:pPr>
      <w:tabs>
        <w:tab w:val="center" w:pos="4252"/>
        <w:tab w:val="right" w:pos="8504"/>
      </w:tabs>
      <w:spacing w:line="240" w:lineRule="auto"/>
    </w:pPr>
  </w:style>
  <w:style w:type="character" w:customStyle="1" w:styleId="CabealhoChar">
    <w:name w:val="Cabeçalho Char"/>
    <w:basedOn w:val="Fontepargpadro"/>
    <w:link w:val="Cabealho"/>
    <w:uiPriority w:val="99"/>
    <w:rsid w:val="00BB12D5"/>
  </w:style>
  <w:style w:type="paragraph" w:styleId="Rodap">
    <w:name w:val="footer"/>
    <w:basedOn w:val="Normal"/>
    <w:link w:val="RodapChar"/>
    <w:uiPriority w:val="99"/>
    <w:unhideWhenUsed/>
    <w:rsid w:val="00BB12D5"/>
    <w:pPr>
      <w:tabs>
        <w:tab w:val="center" w:pos="4252"/>
        <w:tab w:val="right" w:pos="8504"/>
      </w:tabs>
      <w:spacing w:line="240" w:lineRule="auto"/>
    </w:pPr>
  </w:style>
  <w:style w:type="character" w:customStyle="1" w:styleId="RodapChar">
    <w:name w:val="Rodapé Char"/>
    <w:basedOn w:val="Fontepargpadro"/>
    <w:link w:val="Rodap"/>
    <w:uiPriority w:val="99"/>
    <w:rsid w:val="00BB12D5"/>
  </w:style>
  <w:style w:type="character" w:customStyle="1" w:styleId="Ttulo1Char">
    <w:name w:val="Título 1 Char"/>
    <w:basedOn w:val="Fontepargpadro"/>
    <w:link w:val="Ttulo1"/>
    <w:rsid w:val="0002058A"/>
    <w:rPr>
      <w:rFonts w:ascii="Times New Roman" w:eastAsia="Times New Roman" w:hAnsi="Times New Roman" w:cs="Arial"/>
      <w:b/>
      <w:bCs/>
      <w:caps/>
      <w:kern w:val="32"/>
      <w:sz w:val="24"/>
      <w:szCs w:val="24"/>
    </w:rPr>
  </w:style>
  <w:style w:type="character" w:customStyle="1" w:styleId="Ttulo4Char">
    <w:name w:val="Título 4 Char"/>
    <w:basedOn w:val="Fontepargpadro"/>
    <w:link w:val="Ttulo4"/>
    <w:rsid w:val="00FD2CF3"/>
    <w:rPr>
      <w:rFonts w:ascii="Arial" w:eastAsia="Times New Roman" w:hAnsi="Arial" w:cs="Times New Roman"/>
      <w:b/>
      <w:bCs/>
      <w:kern w:val="3"/>
      <w:sz w:val="24"/>
      <w:szCs w:val="28"/>
    </w:rPr>
  </w:style>
  <w:style w:type="character" w:customStyle="1" w:styleId="A1">
    <w:name w:val="A1"/>
    <w:uiPriority w:val="99"/>
    <w:rsid w:val="006A7254"/>
    <w:rPr>
      <w:color w:val="000000"/>
      <w:sz w:val="20"/>
      <w:szCs w:val="20"/>
    </w:rPr>
  </w:style>
  <w:style w:type="paragraph" w:styleId="PargrafodaLista">
    <w:name w:val="List Paragraph"/>
    <w:basedOn w:val="Normal"/>
    <w:uiPriority w:val="34"/>
    <w:qFormat/>
    <w:rsid w:val="006A7254"/>
    <w:pPr>
      <w:widowControl/>
      <w:ind w:left="720"/>
      <w:contextualSpacing/>
    </w:pPr>
    <w:rPr>
      <w:rFonts w:eastAsia="Calibri" w:cs="Arial"/>
      <w:kern w:val="3"/>
      <w:szCs w:val="24"/>
    </w:rPr>
  </w:style>
  <w:style w:type="paragraph" w:customStyle="1" w:styleId="Default">
    <w:name w:val="Default"/>
    <w:rsid w:val="006A7254"/>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6A7254"/>
    <w:rPr>
      <w:b/>
      <w:bCs/>
    </w:rPr>
  </w:style>
  <w:style w:type="character" w:customStyle="1" w:styleId="Ttulo2Char">
    <w:name w:val="Título 2 Char"/>
    <w:basedOn w:val="Fontepargpadro"/>
    <w:link w:val="Ttulo2"/>
    <w:uiPriority w:val="9"/>
    <w:rsid w:val="0057652A"/>
    <w:rPr>
      <w:rFonts w:ascii="Times New Roman" w:eastAsiaTheme="majorEastAsia" w:hAnsi="Times New Roman" w:cs="Arial"/>
      <w:bCs/>
      <w:caps/>
      <w:sz w:val="24"/>
      <w:szCs w:val="24"/>
      <w:lang w:eastAsia="pt-BR"/>
    </w:rPr>
  </w:style>
  <w:style w:type="character" w:customStyle="1" w:styleId="Ttulo3Char">
    <w:name w:val="Título 3 Char"/>
    <w:basedOn w:val="Fontepargpadro"/>
    <w:link w:val="Ttulo3"/>
    <w:uiPriority w:val="9"/>
    <w:rsid w:val="0002058A"/>
    <w:rPr>
      <w:rFonts w:ascii="Times New Roman" w:eastAsiaTheme="majorEastAsia" w:hAnsi="Times New Roman" w:cs="Times New Roman"/>
      <w:b/>
      <w:bCs/>
      <w:color w:val="000000" w:themeColor="text1"/>
      <w:sz w:val="24"/>
      <w:szCs w:val="24"/>
    </w:rPr>
  </w:style>
  <w:style w:type="paragraph" w:styleId="SemEspaamento">
    <w:name w:val="No Spacing"/>
    <w:uiPriority w:val="1"/>
    <w:qFormat/>
    <w:rsid w:val="007000FE"/>
    <w:pPr>
      <w:spacing w:after="0" w:line="240" w:lineRule="auto"/>
    </w:pPr>
  </w:style>
  <w:style w:type="character" w:styleId="Hyperlink">
    <w:name w:val="Hyperlink"/>
    <w:basedOn w:val="Fontepargpadro"/>
    <w:uiPriority w:val="99"/>
    <w:unhideWhenUsed/>
    <w:rsid w:val="007000FE"/>
    <w:rPr>
      <w:color w:val="0000FF" w:themeColor="hyperlink"/>
      <w:u w:val="single"/>
    </w:rPr>
  </w:style>
  <w:style w:type="paragraph" w:styleId="Textodenotaderodap">
    <w:name w:val="footnote text"/>
    <w:basedOn w:val="Normal"/>
    <w:link w:val="TextodenotaderodapChar"/>
    <w:uiPriority w:val="99"/>
    <w:semiHidden/>
    <w:unhideWhenUsed/>
    <w:rsid w:val="007000FE"/>
    <w:pPr>
      <w:widowControl/>
      <w:spacing w:line="240" w:lineRule="auto"/>
      <w:ind w:firstLine="0"/>
      <w:jc w:val="left"/>
    </w:pPr>
    <w:rPr>
      <w:rFonts w:asciiTheme="minorHAnsi" w:hAnsiTheme="minorHAnsi"/>
      <w:sz w:val="20"/>
      <w:szCs w:val="20"/>
    </w:rPr>
  </w:style>
  <w:style w:type="character" w:customStyle="1" w:styleId="TextodenotaderodapChar">
    <w:name w:val="Texto de nota de rodapé Char"/>
    <w:basedOn w:val="Fontepargpadro"/>
    <w:link w:val="Textodenotaderodap"/>
    <w:uiPriority w:val="99"/>
    <w:semiHidden/>
    <w:rsid w:val="007000FE"/>
    <w:rPr>
      <w:sz w:val="20"/>
      <w:szCs w:val="20"/>
    </w:rPr>
  </w:style>
  <w:style w:type="character" w:styleId="Refdenotaderodap">
    <w:name w:val="footnote reference"/>
    <w:basedOn w:val="Fontepargpadro"/>
    <w:uiPriority w:val="99"/>
    <w:semiHidden/>
    <w:unhideWhenUsed/>
    <w:rsid w:val="007000FE"/>
    <w:rPr>
      <w:vertAlign w:val="superscript"/>
    </w:rPr>
  </w:style>
  <w:style w:type="paragraph" w:styleId="Textodebalo">
    <w:name w:val="Balloon Text"/>
    <w:basedOn w:val="Normal"/>
    <w:link w:val="TextodebaloChar"/>
    <w:uiPriority w:val="99"/>
    <w:semiHidden/>
    <w:unhideWhenUsed/>
    <w:rsid w:val="007000F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00FE"/>
    <w:rPr>
      <w:rFonts w:ascii="Tahoma" w:hAnsi="Tahoma" w:cs="Tahoma"/>
      <w:sz w:val="16"/>
      <w:szCs w:val="16"/>
    </w:rPr>
  </w:style>
  <w:style w:type="character" w:customStyle="1" w:styleId="yiv6381418097a1">
    <w:name w:val="yiv6381418097a1"/>
    <w:basedOn w:val="Fontepargpadro"/>
    <w:rsid w:val="00745A88"/>
  </w:style>
  <w:style w:type="paragraph" w:customStyle="1" w:styleId="yiv4380919734msonormal">
    <w:name w:val="yiv4380919734msonormal"/>
    <w:basedOn w:val="Normal"/>
    <w:rsid w:val="00DF4A3B"/>
    <w:pPr>
      <w:widowControl/>
      <w:spacing w:before="100" w:beforeAutospacing="1" w:after="100" w:afterAutospacing="1" w:line="240" w:lineRule="auto"/>
      <w:ind w:firstLine="0"/>
      <w:jc w:val="left"/>
    </w:pPr>
    <w:rPr>
      <w:rFonts w:eastAsia="Times New Roman" w:cs="Times New Roman"/>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FE"/>
    <w:pPr>
      <w:widowControl w:val="0"/>
      <w:spacing w:after="0" w:line="360" w:lineRule="auto"/>
      <w:ind w:firstLine="709"/>
      <w:jc w:val="both"/>
    </w:pPr>
    <w:rPr>
      <w:rFonts w:ascii="Times New Roman" w:hAnsi="Times New Roman"/>
      <w:sz w:val="24"/>
    </w:rPr>
  </w:style>
  <w:style w:type="paragraph" w:styleId="Ttulo1">
    <w:name w:val="heading 1"/>
    <w:basedOn w:val="Normal"/>
    <w:next w:val="Normal"/>
    <w:link w:val="Ttulo1Char"/>
    <w:autoRedefine/>
    <w:qFormat/>
    <w:rsid w:val="0002058A"/>
    <w:pPr>
      <w:numPr>
        <w:numId w:val="1"/>
      </w:numPr>
      <w:spacing w:before="240" w:after="120"/>
      <w:ind w:left="357" w:hanging="357"/>
      <w:outlineLvl w:val="0"/>
    </w:pPr>
    <w:rPr>
      <w:rFonts w:eastAsia="Times New Roman" w:cs="Arial"/>
      <w:b/>
      <w:bCs/>
      <w:caps/>
      <w:kern w:val="32"/>
      <w:szCs w:val="24"/>
    </w:rPr>
  </w:style>
  <w:style w:type="paragraph" w:styleId="Ttulo2">
    <w:name w:val="heading 2"/>
    <w:basedOn w:val="Normal"/>
    <w:next w:val="Normal"/>
    <w:link w:val="Ttulo2Char"/>
    <w:autoRedefine/>
    <w:uiPriority w:val="9"/>
    <w:unhideWhenUsed/>
    <w:qFormat/>
    <w:rsid w:val="0057652A"/>
    <w:pPr>
      <w:numPr>
        <w:ilvl w:val="1"/>
        <w:numId w:val="42"/>
      </w:numPr>
      <w:spacing w:before="240" w:after="120"/>
      <w:ind w:left="0" w:firstLine="0"/>
      <w:outlineLvl w:val="1"/>
    </w:pPr>
    <w:rPr>
      <w:rFonts w:eastAsiaTheme="majorEastAsia" w:cs="Arial"/>
      <w:bCs/>
      <w:caps/>
      <w:szCs w:val="24"/>
      <w:lang w:eastAsia="pt-BR"/>
    </w:rPr>
  </w:style>
  <w:style w:type="paragraph" w:styleId="Ttulo3">
    <w:name w:val="heading 3"/>
    <w:basedOn w:val="Normal"/>
    <w:next w:val="Normal"/>
    <w:link w:val="Ttulo3Char"/>
    <w:autoRedefine/>
    <w:uiPriority w:val="9"/>
    <w:unhideWhenUsed/>
    <w:qFormat/>
    <w:rsid w:val="0002058A"/>
    <w:pPr>
      <w:numPr>
        <w:ilvl w:val="2"/>
        <w:numId w:val="43"/>
      </w:numPr>
      <w:spacing w:before="240" w:after="120"/>
      <w:ind w:left="0" w:firstLine="0"/>
      <w:outlineLvl w:val="2"/>
    </w:pPr>
    <w:rPr>
      <w:rFonts w:eastAsiaTheme="majorEastAsia" w:cs="Times New Roman"/>
      <w:b/>
      <w:bCs/>
      <w:color w:val="000000" w:themeColor="text1"/>
      <w:szCs w:val="24"/>
    </w:rPr>
  </w:style>
  <w:style w:type="paragraph" w:styleId="Ttulo4">
    <w:name w:val="heading 4"/>
    <w:basedOn w:val="Normal"/>
    <w:next w:val="Normal"/>
    <w:link w:val="Ttulo4Char"/>
    <w:qFormat/>
    <w:rsid w:val="00FD2CF3"/>
    <w:pPr>
      <w:keepNext/>
      <w:outlineLvl w:val="3"/>
    </w:pPr>
    <w:rPr>
      <w:rFonts w:ascii="Arial" w:eastAsia="Times New Roman" w:hAnsi="Arial" w:cs="Times New Roman"/>
      <w:b/>
      <w:bCs/>
      <w:kern w:val="3"/>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12D5"/>
    <w:pPr>
      <w:tabs>
        <w:tab w:val="center" w:pos="4252"/>
        <w:tab w:val="right" w:pos="8504"/>
      </w:tabs>
      <w:spacing w:line="240" w:lineRule="auto"/>
    </w:pPr>
  </w:style>
  <w:style w:type="character" w:customStyle="1" w:styleId="CabealhoChar">
    <w:name w:val="Cabeçalho Char"/>
    <w:basedOn w:val="Fontepargpadro"/>
    <w:link w:val="Cabealho"/>
    <w:uiPriority w:val="99"/>
    <w:rsid w:val="00BB12D5"/>
  </w:style>
  <w:style w:type="paragraph" w:styleId="Rodap">
    <w:name w:val="footer"/>
    <w:basedOn w:val="Normal"/>
    <w:link w:val="RodapChar"/>
    <w:uiPriority w:val="99"/>
    <w:unhideWhenUsed/>
    <w:rsid w:val="00BB12D5"/>
    <w:pPr>
      <w:tabs>
        <w:tab w:val="center" w:pos="4252"/>
        <w:tab w:val="right" w:pos="8504"/>
      </w:tabs>
      <w:spacing w:line="240" w:lineRule="auto"/>
    </w:pPr>
  </w:style>
  <w:style w:type="character" w:customStyle="1" w:styleId="RodapChar">
    <w:name w:val="Rodapé Char"/>
    <w:basedOn w:val="Fontepargpadro"/>
    <w:link w:val="Rodap"/>
    <w:uiPriority w:val="99"/>
    <w:rsid w:val="00BB12D5"/>
  </w:style>
  <w:style w:type="character" w:customStyle="1" w:styleId="Ttulo1Char">
    <w:name w:val="Título 1 Char"/>
    <w:basedOn w:val="Fontepargpadro"/>
    <w:link w:val="Ttulo1"/>
    <w:rsid w:val="0002058A"/>
    <w:rPr>
      <w:rFonts w:ascii="Times New Roman" w:eastAsia="Times New Roman" w:hAnsi="Times New Roman" w:cs="Arial"/>
      <w:b/>
      <w:bCs/>
      <w:caps/>
      <w:kern w:val="32"/>
      <w:sz w:val="24"/>
      <w:szCs w:val="24"/>
    </w:rPr>
  </w:style>
  <w:style w:type="character" w:customStyle="1" w:styleId="Ttulo4Char">
    <w:name w:val="Título 4 Char"/>
    <w:basedOn w:val="Fontepargpadro"/>
    <w:link w:val="Ttulo4"/>
    <w:rsid w:val="00FD2CF3"/>
    <w:rPr>
      <w:rFonts w:ascii="Arial" w:eastAsia="Times New Roman" w:hAnsi="Arial" w:cs="Times New Roman"/>
      <w:b/>
      <w:bCs/>
      <w:kern w:val="3"/>
      <w:sz w:val="24"/>
      <w:szCs w:val="28"/>
    </w:rPr>
  </w:style>
  <w:style w:type="character" w:customStyle="1" w:styleId="A1">
    <w:name w:val="A1"/>
    <w:uiPriority w:val="99"/>
    <w:rsid w:val="006A7254"/>
    <w:rPr>
      <w:color w:val="000000"/>
      <w:sz w:val="20"/>
      <w:szCs w:val="20"/>
    </w:rPr>
  </w:style>
  <w:style w:type="paragraph" w:styleId="PargrafodaLista">
    <w:name w:val="List Paragraph"/>
    <w:basedOn w:val="Normal"/>
    <w:uiPriority w:val="34"/>
    <w:qFormat/>
    <w:rsid w:val="006A7254"/>
    <w:pPr>
      <w:widowControl/>
      <w:ind w:left="720"/>
      <w:contextualSpacing/>
    </w:pPr>
    <w:rPr>
      <w:rFonts w:eastAsia="Calibri" w:cs="Arial"/>
      <w:kern w:val="3"/>
      <w:szCs w:val="24"/>
    </w:rPr>
  </w:style>
  <w:style w:type="paragraph" w:customStyle="1" w:styleId="Default">
    <w:name w:val="Default"/>
    <w:rsid w:val="006A7254"/>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6A7254"/>
    <w:rPr>
      <w:b/>
      <w:bCs/>
    </w:rPr>
  </w:style>
  <w:style w:type="character" w:customStyle="1" w:styleId="Ttulo2Char">
    <w:name w:val="Título 2 Char"/>
    <w:basedOn w:val="Fontepargpadro"/>
    <w:link w:val="Ttulo2"/>
    <w:uiPriority w:val="9"/>
    <w:rsid w:val="0057652A"/>
    <w:rPr>
      <w:rFonts w:ascii="Times New Roman" w:eastAsiaTheme="majorEastAsia" w:hAnsi="Times New Roman" w:cs="Arial"/>
      <w:bCs/>
      <w:caps/>
      <w:sz w:val="24"/>
      <w:szCs w:val="24"/>
      <w:lang w:eastAsia="pt-BR"/>
    </w:rPr>
  </w:style>
  <w:style w:type="character" w:customStyle="1" w:styleId="Ttulo3Char">
    <w:name w:val="Título 3 Char"/>
    <w:basedOn w:val="Fontepargpadro"/>
    <w:link w:val="Ttulo3"/>
    <w:uiPriority w:val="9"/>
    <w:rsid w:val="0002058A"/>
    <w:rPr>
      <w:rFonts w:ascii="Times New Roman" w:eastAsiaTheme="majorEastAsia" w:hAnsi="Times New Roman" w:cs="Times New Roman"/>
      <w:b/>
      <w:bCs/>
      <w:color w:val="000000" w:themeColor="text1"/>
      <w:sz w:val="24"/>
      <w:szCs w:val="24"/>
    </w:rPr>
  </w:style>
  <w:style w:type="paragraph" w:styleId="SemEspaamento">
    <w:name w:val="No Spacing"/>
    <w:uiPriority w:val="1"/>
    <w:qFormat/>
    <w:rsid w:val="007000FE"/>
    <w:pPr>
      <w:spacing w:after="0" w:line="240" w:lineRule="auto"/>
    </w:pPr>
  </w:style>
  <w:style w:type="character" w:styleId="Hyperlink">
    <w:name w:val="Hyperlink"/>
    <w:basedOn w:val="Fontepargpadro"/>
    <w:uiPriority w:val="99"/>
    <w:unhideWhenUsed/>
    <w:rsid w:val="007000FE"/>
    <w:rPr>
      <w:color w:val="0000FF" w:themeColor="hyperlink"/>
      <w:u w:val="single"/>
    </w:rPr>
  </w:style>
  <w:style w:type="paragraph" w:styleId="Textodenotaderodap">
    <w:name w:val="footnote text"/>
    <w:basedOn w:val="Normal"/>
    <w:link w:val="TextodenotaderodapChar"/>
    <w:uiPriority w:val="99"/>
    <w:semiHidden/>
    <w:unhideWhenUsed/>
    <w:rsid w:val="007000FE"/>
    <w:pPr>
      <w:widowControl/>
      <w:spacing w:line="240" w:lineRule="auto"/>
      <w:ind w:firstLine="0"/>
      <w:jc w:val="left"/>
    </w:pPr>
    <w:rPr>
      <w:rFonts w:asciiTheme="minorHAnsi" w:hAnsiTheme="minorHAnsi"/>
      <w:sz w:val="20"/>
      <w:szCs w:val="20"/>
    </w:rPr>
  </w:style>
  <w:style w:type="character" w:customStyle="1" w:styleId="TextodenotaderodapChar">
    <w:name w:val="Texto de nota de rodapé Char"/>
    <w:basedOn w:val="Fontepargpadro"/>
    <w:link w:val="Textodenotaderodap"/>
    <w:uiPriority w:val="99"/>
    <w:semiHidden/>
    <w:rsid w:val="007000FE"/>
    <w:rPr>
      <w:sz w:val="20"/>
      <w:szCs w:val="20"/>
    </w:rPr>
  </w:style>
  <w:style w:type="character" w:styleId="Refdenotaderodap">
    <w:name w:val="footnote reference"/>
    <w:basedOn w:val="Fontepargpadro"/>
    <w:uiPriority w:val="99"/>
    <w:semiHidden/>
    <w:unhideWhenUsed/>
    <w:rsid w:val="007000FE"/>
    <w:rPr>
      <w:vertAlign w:val="superscript"/>
    </w:rPr>
  </w:style>
  <w:style w:type="paragraph" w:styleId="Textodebalo">
    <w:name w:val="Balloon Text"/>
    <w:basedOn w:val="Normal"/>
    <w:link w:val="TextodebaloChar"/>
    <w:uiPriority w:val="99"/>
    <w:semiHidden/>
    <w:unhideWhenUsed/>
    <w:rsid w:val="007000F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00FE"/>
    <w:rPr>
      <w:rFonts w:ascii="Tahoma" w:hAnsi="Tahoma" w:cs="Tahoma"/>
      <w:sz w:val="16"/>
      <w:szCs w:val="16"/>
    </w:rPr>
  </w:style>
  <w:style w:type="character" w:customStyle="1" w:styleId="yiv6381418097a1">
    <w:name w:val="yiv6381418097a1"/>
    <w:basedOn w:val="Fontepargpadro"/>
    <w:rsid w:val="00745A88"/>
  </w:style>
  <w:style w:type="paragraph" w:customStyle="1" w:styleId="yiv4380919734msonormal">
    <w:name w:val="yiv4380919734msonormal"/>
    <w:basedOn w:val="Normal"/>
    <w:rsid w:val="00DF4A3B"/>
    <w:pPr>
      <w:widowControl/>
      <w:spacing w:before="100" w:beforeAutospacing="1" w:after="100" w:afterAutospacing="1" w:line="240" w:lineRule="auto"/>
      <w:ind w:firstLine="0"/>
      <w:jc w:val="left"/>
    </w:pPr>
    <w:rPr>
      <w:rFonts w:eastAsia="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4247">
      <w:bodyDiv w:val="1"/>
      <w:marLeft w:val="0"/>
      <w:marRight w:val="0"/>
      <w:marTop w:val="0"/>
      <w:marBottom w:val="0"/>
      <w:divBdr>
        <w:top w:val="none" w:sz="0" w:space="0" w:color="auto"/>
        <w:left w:val="none" w:sz="0" w:space="0" w:color="auto"/>
        <w:bottom w:val="none" w:sz="0" w:space="0" w:color="auto"/>
        <w:right w:val="none" w:sz="0" w:space="0" w:color="auto"/>
      </w:divBdr>
      <w:divsChild>
        <w:div w:id="139730303">
          <w:marLeft w:val="0"/>
          <w:marRight w:val="0"/>
          <w:marTop w:val="0"/>
          <w:marBottom w:val="0"/>
          <w:divBdr>
            <w:top w:val="none" w:sz="0" w:space="0" w:color="auto"/>
            <w:left w:val="none" w:sz="0" w:space="0" w:color="auto"/>
            <w:bottom w:val="none" w:sz="0" w:space="0" w:color="auto"/>
            <w:right w:val="none" w:sz="0" w:space="0" w:color="auto"/>
          </w:divBdr>
          <w:divsChild>
            <w:div w:id="338705419">
              <w:marLeft w:val="0"/>
              <w:marRight w:val="0"/>
              <w:marTop w:val="0"/>
              <w:marBottom w:val="0"/>
              <w:divBdr>
                <w:top w:val="none" w:sz="0" w:space="0" w:color="auto"/>
                <w:left w:val="none" w:sz="0" w:space="0" w:color="auto"/>
                <w:bottom w:val="none" w:sz="0" w:space="0" w:color="auto"/>
                <w:right w:val="none" w:sz="0" w:space="0" w:color="auto"/>
              </w:divBdr>
              <w:divsChild>
                <w:div w:id="1897738878">
                  <w:marLeft w:val="0"/>
                  <w:marRight w:val="0"/>
                  <w:marTop w:val="0"/>
                  <w:marBottom w:val="0"/>
                  <w:divBdr>
                    <w:top w:val="none" w:sz="0" w:space="0" w:color="auto"/>
                    <w:left w:val="none" w:sz="0" w:space="0" w:color="auto"/>
                    <w:bottom w:val="none" w:sz="0" w:space="0" w:color="auto"/>
                    <w:right w:val="none" w:sz="0" w:space="0" w:color="auto"/>
                  </w:divBdr>
                  <w:divsChild>
                    <w:div w:id="1614746792">
                      <w:marLeft w:val="0"/>
                      <w:marRight w:val="0"/>
                      <w:marTop w:val="0"/>
                      <w:marBottom w:val="0"/>
                      <w:divBdr>
                        <w:top w:val="none" w:sz="0" w:space="0" w:color="auto"/>
                        <w:left w:val="none" w:sz="0" w:space="0" w:color="auto"/>
                        <w:bottom w:val="none" w:sz="0" w:space="0" w:color="auto"/>
                        <w:right w:val="none" w:sz="0" w:space="0" w:color="auto"/>
                      </w:divBdr>
                      <w:divsChild>
                        <w:div w:id="959216184">
                          <w:marLeft w:val="0"/>
                          <w:marRight w:val="0"/>
                          <w:marTop w:val="0"/>
                          <w:marBottom w:val="0"/>
                          <w:divBdr>
                            <w:top w:val="none" w:sz="0" w:space="0" w:color="auto"/>
                            <w:left w:val="none" w:sz="0" w:space="0" w:color="auto"/>
                            <w:bottom w:val="none" w:sz="0" w:space="0" w:color="auto"/>
                            <w:right w:val="none" w:sz="0" w:space="0" w:color="auto"/>
                          </w:divBdr>
                          <w:divsChild>
                            <w:div w:id="599263634">
                              <w:marLeft w:val="0"/>
                              <w:marRight w:val="0"/>
                              <w:marTop w:val="0"/>
                              <w:marBottom w:val="0"/>
                              <w:divBdr>
                                <w:top w:val="none" w:sz="0" w:space="0" w:color="auto"/>
                                <w:left w:val="none" w:sz="0" w:space="0" w:color="auto"/>
                                <w:bottom w:val="none" w:sz="0" w:space="0" w:color="auto"/>
                                <w:right w:val="none" w:sz="0" w:space="0" w:color="auto"/>
                              </w:divBdr>
                              <w:divsChild>
                                <w:div w:id="953175630">
                                  <w:marLeft w:val="0"/>
                                  <w:marRight w:val="0"/>
                                  <w:marTop w:val="0"/>
                                  <w:marBottom w:val="0"/>
                                  <w:divBdr>
                                    <w:top w:val="none" w:sz="0" w:space="0" w:color="auto"/>
                                    <w:left w:val="none" w:sz="0" w:space="0" w:color="auto"/>
                                    <w:bottom w:val="none" w:sz="0" w:space="0" w:color="auto"/>
                                    <w:right w:val="none" w:sz="0" w:space="0" w:color="auto"/>
                                  </w:divBdr>
                                  <w:divsChild>
                                    <w:div w:id="1277441626">
                                      <w:marLeft w:val="0"/>
                                      <w:marRight w:val="0"/>
                                      <w:marTop w:val="0"/>
                                      <w:marBottom w:val="0"/>
                                      <w:divBdr>
                                        <w:top w:val="none" w:sz="0" w:space="0" w:color="auto"/>
                                        <w:left w:val="none" w:sz="0" w:space="0" w:color="auto"/>
                                        <w:bottom w:val="none" w:sz="0" w:space="0" w:color="auto"/>
                                        <w:right w:val="none" w:sz="0" w:space="0" w:color="auto"/>
                                      </w:divBdr>
                                      <w:divsChild>
                                        <w:div w:id="14693758">
                                          <w:marLeft w:val="0"/>
                                          <w:marRight w:val="0"/>
                                          <w:marTop w:val="75"/>
                                          <w:marBottom w:val="0"/>
                                          <w:divBdr>
                                            <w:top w:val="none" w:sz="0" w:space="0" w:color="auto"/>
                                            <w:left w:val="none" w:sz="0" w:space="0" w:color="auto"/>
                                            <w:bottom w:val="none" w:sz="0" w:space="0" w:color="auto"/>
                                            <w:right w:val="none" w:sz="0" w:space="0" w:color="auto"/>
                                          </w:divBdr>
                                          <w:divsChild>
                                            <w:div w:id="461119557">
                                              <w:marLeft w:val="0"/>
                                              <w:marRight w:val="0"/>
                                              <w:marTop w:val="0"/>
                                              <w:marBottom w:val="0"/>
                                              <w:divBdr>
                                                <w:top w:val="none" w:sz="0" w:space="0" w:color="auto"/>
                                                <w:left w:val="none" w:sz="0" w:space="0" w:color="auto"/>
                                                <w:bottom w:val="none" w:sz="0" w:space="0" w:color="auto"/>
                                                <w:right w:val="none" w:sz="0" w:space="0" w:color="auto"/>
                                              </w:divBdr>
                                              <w:divsChild>
                                                <w:div w:id="613708398">
                                                  <w:marLeft w:val="0"/>
                                                  <w:marRight w:val="0"/>
                                                  <w:marTop w:val="0"/>
                                                  <w:marBottom w:val="0"/>
                                                  <w:divBdr>
                                                    <w:top w:val="none" w:sz="0" w:space="0" w:color="auto"/>
                                                    <w:left w:val="none" w:sz="0" w:space="0" w:color="auto"/>
                                                    <w:bottom w:val="none" w:sz="0" w:space="0" w:color="auto"/>
                                                    <w:right w:val="none" w:sz="0" w:space="0" w:color="auto"/>
                                                  </w:divBdr>
                                                  <w:divsChild>
                                                    <w:div w:id="448399518">
                                                      <w:marLeft w:val="0"/>
                                                      <w:marRight w:val="0"/>
                                                      <w:marTop w:val="0"/>
                                                      <w:marBottom w:val="0"/>
                                                      <w:divBdr>
                                                        <w:top w:val="none" w:sz="0" w:space="0" w:color="auto"/>
                                                        <w:left w:val="none" w:sz="0" w:space="0" w:color="auto"/>
                                                        <w:bottom w:val="none" w:sz="0" w:space="0" w:color="auto"/>
                                                        <w:right w:val="none" w:sz="0" w:space="0" w:color="auto"/>
                                                      </w:divBdr>
                                                      <w:divsChild>
                                                        <w:div w:id="228543454">
                                                          <w:marLeft w:val="0"/>
                                                          <w:marRight w:val="0"/>
                                                          <w:marTop w:val="0"/>
                                                          <w:marBottom w:val="0"/>
                                                          <w:divBdr>
                                                            <w:top w:val="none" w:sz="0" w:space="0" w:color="auto"/>
                                                            <w:left w:val="none" w:sz="0" w:space="0" w:color="auto"/>
                                                            <w:bottom w:val="none" w:sz="0" w:space="0" w:color="auto"/>
                                                            <w:right w:val="none" w:sz="0" w:space="0" w:color="auto"/>
                                                          </w:divBdr>
                                                          <w:divsChild>
                                                            <w:div w:id="1311714464">
                                                              <w:marLeft w:val="0"/>
                                                              <w:marRight w:val="0"/>
                                                              <w:marTop w:val="0"/>
                                                              <w:marBottom w:val="0"/>
                                                              <w:divBdr>
                                                                <w:top w:val="none" w:sz="0" w:space="0" w:color="auto"/>
                                                                <w:left w:val="none" w:sz="0" w:space="0" w:color="auto"/>
                                                                <w:bottom w:val="none" w:sz="0" w:space="0" w:color="auto"/>
                                                                <w:right w:val="none" w:sz="0" w:space="0" w:color="auto"/>
                                                              </w:divBdr>
                                                              <w:divsChild>
                                                                <w:div w:id="886451667">
                                                                  <w:marLeft w:val="0"/>
                                                                  <w:marRight w:val="0"/>
                                                                  <w:marTop w:val="0"/>
                                                                  <w:marBottom w:val="200"/>
                                                                  <w:divBdr>
                                                                    <w:top w:val="none" w:sz="0" w:space="0" w:color="auto"/>
                                                                    <w:left w:val="none" w:sz="0" w:space="0" w:color="auto"/>
                                                                    <w:bottom w:val="none" w:sz="0" w:space="0" w:color="auto"/>
                                                                    <w:right w:val="none" w:sz="0" w:space="0" w:color="auto"/>
                                                                  </w:divBdr>
                                                                </w:div>
                                                                <w:div w:id="482159247">
                                                                  <w:marLeft w:val="0"/>
                                                                  <w:marRight w:val="0"/>
                                                                  <w:marTop w:val="0"/>
                                                                  <w:marBottom w:val="0"/>
                                                                  <w:divBdr>
                                                                    <w:top w:val="none" w:sz="0" w:space="0" w:color="auto"/>
                                                                    <w:left w:val="none" w:sz="0" w:space="0" w:color="auto"/>
                                                                    <w:bottom w:val="none" w:sz="0" w:space="0" w:color="auto"/>
                                                                    <w:right w:val="none" w:sz="0" w:space="0" w:color="auto"/>
                                                                  </w:divBdr>
                                                                </w:div>
                                                                <w:div w:id="111209567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009243">
      <w:bodyDiv w:val="1"/>
      <w:marLeft w:val="0"/>
      <w:marRight w:val="0"/>
      <w:marTop w:val="0"/>
      <w:marBottom w:val="0"/>
      <w:divBdr>
        <w:top w:val="none" w:sz="0" w:space="0" w:color="auto"/>
        <w:left w:val="none" w:sz="0" w:space="0" w:color="auto"/>
        <w:bottom w:val="none" w:sz="0" w:space="0" w:color="auto"/>
        <w:right w:val="none" w:sz="0" w:space="0" w:color="auto"/>
      </w:divBdr>
      <w:divsChild>
        <w:div w:id="1747461211">
          <w:marLeft w:val="0"/>
          <w:marRight w:val="0"/>
          <w:marTop w:val="0"/>
          <w:marBottom w:val="0"/>
          <w:divBdr>
            <w:top w:val="none" w:sz="0" w:space="0" w:color="auto"/>
            <w:left w:val="none" w:sz="0" w:space="0" w:color="auto"/>
            <w:bottom w:val="none" w:sz="0" w:space="0" w:color="auto"/>
            <w:right w:val="none" w:sz="0" w:space="0" w:color="auto"/>
          </w:divBdr>
          <w:divsChild>
            <w:div w:id="840779577">
              <w:marLeft w:val="0"/>
              <w:marRight w:val="0"/>
              <w:marTop w:val="0"/>
              <w:marBottom w:val="0"/>
              <w:divBdr>
                <w:top w:val="none" w:sz="0" w:space="0" w:color="auto"/>
                <w:left w:val="none" w:sz="0" w:space="0" w:color="auto"/>
                <w:bottom w:val="none" w:sz="0" w:space="0" w:color="auto"/>
                <w:right w:val="none" w:sz="0" w:space="0" w:color="auto"/>
              </w:divBdr>
              <w:divsChild>
                <w:div w:id="631785788">
                  <w:marLeft w:val="0"/>
                  <w:marRight w:val="0"/>
                  <w:marTop w:val="0"/>
                  <w:marBottom w:val="0"/>
                  <w:divBdr>
                    <w:top w:val="none" w:sz="0" w:space="0" w:color="auto"/>
                    <w:left w:val="none" w:sz="0" w:space="0" w:color="auto"/>
                    <w:bottom w:val="none" w:sz="0" w:space="0" w:color="auto"/>
                    <w:right w:val="none" w:sz="0" w:space="0" w:color="auto"/>
                  </w:divBdr>
                  <w:divsChild>
                    <w:div w:id="435173110">
                      <w:marLeft w:val="0"/>
                      <w:marRight w:val="0"/>
                      <w:marTop w:val="0"/>
                      <w:marBottom w:val="0"/>
                      <w:divBdr>
                        <w:top w:val="none" w:sz="0" w:space="0" w:color="auto"/>
                        <w:left w:val="none" w:sz="0" w:space="0" w:color="auto"/>
                        <w:bottom w:val="none" w:sz="0" w:space="0" w:color="auto"/>
                        <w:right w:val="none" w:sz="0" w:space="0" w:color="auto"/>
                      </w:divBdr>
                      <w:divsChild>
                        <w:div w:id="730735596">
                          <w:marLeft w:val="0"/>
                          <w:marRight w:val="0"/>
                          <w:marTop w:val="0"/>
                          <w:marBottom w:val="0"/>
                          <w:divBdr>
                            <w:top w:val="none" w:sz="0" w:space="0" w:color="auto"/>
                            <w:left w:val="none" w:sz="0" w:space="0" w:color="auto"/>
                            <w:bottom w:val="none" w:sz="0" w:space="0" w:color="auto"/>
                            <w:right w:val="none" w:sz="0" w:space="0" w:color="auto"/>
                          </w:divBdr>
                          <w:divsChild>
                            <w:div w:id="1273438602">
                              <w:marLeft w:val="0"/>
                              <w:marRight w:val="0"/>
                              <w:marTop w:val="0"/>
                              <w:marBottom w:val="0"/>
                              <w:divBdr>
                                <w:top w:val="none" w:sz="0" w:space="0" w:color="auto"/>
                                <w:left w:val="none" w:sz="0" w:space="0" w:color="auto"/>
                                <w:bottom w:val="none" w:sz="0" w:space="0" w:color="auto"/>
                                <w:right w:val="none" w:sz="0" w:space="0" w:color="auto"/>
                              </w:divBdr>
                              <w:divsChild>
                                <w:div w:id="2141728440">
                                  <w:marLeft w:val="0"/>
                                  <w:marRight w:val="0"/>
                                  <w:marTop w:val="0"/>
                                  <w:marBottom w:val="0"/>
                                  <w:divBdr>
                                    <w:top w:val="none" w:sz="0" w:space="0" w:color="auto"/>
                                    <w:left w:val="none" w:sz="0" w:space="0" w:color="auto"/>
                                    <w:bottom w:val="none" w:sz="0" w:space="0" w:color="auto"/>
                                    <w:right w:val="none" w:sz="0" w:space="0" w:color="auto"/>
                                  </w:divBdr>
                                  <w:divsChild>
                                    <w:div w:id="194315314">
                                      <w:marLeft w:val="0"/>
                                      <w:marRight w:val="0"/>
                                      <w:marTop w:val="0"/>
                                      <w:marBottom w:val="0"/>
                                      <w:divBdr>
                                        <w:top w:val="none" w:sz="0" w:space="0" w:color="auto"/>
                                        <w:left w:val="none" w:sz="0" w:space="0" w:color="auto"/>
                                        <w:bottom w:val="none" w:sz="0" w:space="0" w:color="auto"/>
                                        <w:right w:val="none" w:sz="0" w:space="0" w:color="auto"/>
                                      </w:divBdr>
                                      <w:divsChild>
                                        <w:div w:id="900215511">
                                          <w:marLeft w:val="0"/>
                                          <w:marRight w:val="0"/>
                                          <w:marTop w:val="75"/>
                                          <w:marBottom w:val="0"/>
                                          <w:divBdr>
                                            <w:top w:val="none" w:sz="0" w:space="0" w:color="auto"/>
                                            <w:left w:val="none" w:sz="0" w:space="0" w:color="auto"/>
                                            <w:bottom w:val="none" w:sz="0" w:space="0" w:color="auto"/>
                                            <w:right w:val="none" w:sz="0" w:space="0" w:color="auto"/>
                                          </w:divBdr>
                                          <w:divsChild>
                                            <w:div w:id="796728180">
                                              <w:marLeft w:val="0"/>
                                              <w:marRight w:val="0"/>
                                              <w:marTop w:val="0"/>
                                              <w:marBottom w:val="0"/>
                                              <w:divBdr>
                                                <w:top w:val="none" w:sz="0" w:space="0" w:color="auto"/>
                                                <w:left w:val="none" w:sz="0" w:space="0" w:color="auto"/>
                                                <w:bottom w:val="none" w:sz="0" w:space="0" w:color="auto"/>
                                                <w:right w:val="none" w:sz="0" w:space="0" w:color="auto"/>
                                              </w:divBdr>
                                              <w:divsChild>
                                                <w:div w:id="849612328">
                                                  <w:marLeft w:val="0"/>
                                                  <w:marRight w:val="0"/>
                                                  <w:marTop w:val="0"/>
                                                  <w:marBottom w:val="0"/>
                                                  <w:divBdr>
                                                    <w:top w:val="none" w:sz="0" w:space="0" w:color="auto"/>
                                                    <w:left w:val="none" w:sz="0" w:space="0" w:color="auto"/>
                                                    <w:bottom w:val="none" w:sz="0" w:space="0" w:color="auto"/>
                                                    <w:right w:val="none" w:sz="0" w:space="0" w:color="auto"/>
                                                  </w:divBdr>
                                                  <w:divsChild>
                                                    <w:div w:id="787817769">
                                                      <w:marLeft w:val="0"/>
                                                      <w:marRight w:val="0"/>
                                                      <w:marTop w:val="0"/>
                                                      <w:marBottom w:val="0"/>
                                                      <w:divBdr>
                                                        <w:top w:val="none" w:sz="0" w:space="0" w:color="auto"/>
                                                        <w:left w:val="none" w:sz="0" w:space="0" w:color="auto"/>
                                                        <w:bottom w:val="none" w:sz="0" w:space="0" w:color="auto"/>
                                                        <w:right w:val="none" w:sz="0" w:space="0" w:color="auto"/>
                                                      </w:divBdr>
                                                      <w:divsChild>
                                                        <w:div w:id="20790120">
                                                          <w:marLeft w:val="0"/>
                                                          <w:marRight w:val="0"/>
                                                          <w:marTop w:val="0"/>
                                                          <w:marBottom w:val="0"/>
                                                          <w:divBdr>
                                                            <w:top w:val="none" w:sz="0" w:space="0" w:color="auto"/>
                                                            <w:left w:val="none" w:sz="0" w:space="0" w:color="auto"/>
                                                            <w:bottom w:val="none" w:sz="0" w:space="0" w:color="auto"/>
                                                            <w:right w:val="none" w:sz="0" w:space="0" w:color="auto"/>
                                                          </w:divBdr>
                                                          <w:divsChild>
                                                            <w:div w:id="1195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gerdau.infoinvest.com.br/ptb/s-2-ptb-2013.html" TargetMode="External"/><Relationship Id="rId2" Type="http://schemas.openxmlformats.org/officeDocument/2006/relationships/numbering" Target="numbering.xml"/><Relationship Id="rId16" Type="http://schemas.openxmlformats.org/officeDocument/2006/relationships/hyperlink" Target="http://ri.gerdau.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rdau.infoinvest.com.br/"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i.gerdau.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C886-1F5D-45C7-9736-0C0EC5AF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19</Pages>
  <Words>5839</Words>
  <Characters>31533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Greicy</dc:creator>
  <cp:lastModifiedBy>Greicy</cp:lastModifiedBy>
  <cp:revision>10</cp:revision>
  <dcterms:created xsi:type="dcterms:W3CDTF">2014-04-10T02:32:00Z</dcterms:created>
  <dcterms:modified xsi:type="dcterms:W3CDTF">2014-04-10T04:28:00Z</dcterms:modified>
</cp:coreProperties>
</file>