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49773" w14:textId="77777777" w:rsidR="00F4353A" w:rsidRDefault="00000000">
      <w:pPr>
        <w:spacing w:after="60"/>
        <w:jc w:val="center"/>
      </w:pPr>
      <w:r>
        <w:rPr>
          <w:b/>
          <w:sz w:val="32"/>
        </w:rPr>
        <w:t>Heritage Marker: Global Cooperation for Cultural Resilience</w:t>
      </w:r>
    </w:p>
    <w:p w14:paraId="1C7DC955" w14:textId="77777777" w:rsidR="0064003F" w:rsidRDefault="0064003F">
      <w:pPr>
        <w:pStyle w:val="HMHeading"/>
        <w:keepNext/>
        <w:rPr>
          <w:lang w:val="uk-UA"/>
        </w:rPr>
      </w:pPr>
    </w:p>
    <w:p w14:paraId="34CCE5D9" w14:textId="72C8CD6D" w:rsidR="00F4353A" w:rsidRDefault="00000000">
      <w:pPr>
        <w:pStyle w:val="HMHeading"/>
        <w:keepNext/>
      </w:pPr>
      <w:r>
        <w:t>Call Profile and Project Positioning</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977"/>
        <w:gridCol w:w="6662"/>
      </w:tblGrid>
      <w:tr w:rsidR="00F4353A" w14:paraId="1735D119" w14:textId="77777777" w:rsidTr="0006410D">
        <w:tc>
          <w:tcPr>
            <w:tcW w:w="2977" w:type="dxa"/>
            <w:vAlign w:val="center"/>
          </w:tcPr>
          <w:p w14:paraId="339A924B" w14:textId="77777777" w:rsidR="00F4353A" w:rsidRDefault="00000000" w:rsidP="0064003F">
            <w:pPr>
              <w:ind w:firstLine="0"/>
              <w:jc w:val="left"/>
            </w:pPr>
            <w:r>
              <w:rPr>
                <w:b/>
                <w:sz w:val="20"/>
              </w:rPr>
              <w:t>Topic</w:t>
            </w:r>
          </w:p>
        </w:tc>
        <w:tc>
          <w:tcPr>
            <w:tcW w:w="6662" w:type="dxa"/>
            <w:vAlign w:val="center"/>
          </w:tcPr>
          <w:p w14:paraId="4BEB26A1" w14:textId="2B57C692" w:rsidR="00F4353A" w:rsidRDefault="0064003F" w:rsidP="0064003F">
            <w:pPr>
              <w:ind w:firstLine="0"/>
              <w:jc w:val="left"/>
            </w:pPr>
            <w:hyperlink r:id="rId8" w:history="1">
              <w:r w:rsidR="00000000" w:rsidRPr="0064003F">
                <w:rPr>
                  <w:rStyle w:val="affa"/>
                  <w:sz w:val="20"/>
                </w:rPr>
                <w:t>HORIZON-CL2-2026-01-HERITAGE-05 – Creative alliances: Fostering global partnerships in cultural policies and CCI innovation</w:t>
              </w:r>
            </w:hyperlink>
          </w:p>
        </w:tc>
      </w:tr>
      <w:tr w:rsidR="00F4353A" w14:paraId="5DD86CF7" w14:textId="77777777" w:rsidTr="0006410D">
        <w:tc>
          <w:tcPr>
            <w:tcW w:w="2977" w:type="dxa"/>
            <w:vAlign w:val="center"/>
          </w:tcPr>
          <w:p w14:paraId="06A3610F" w14:textId="77777777" w:rsidR="00F4353A" w:rsidRDefault="00000000" w:rsidP="0064003F">
            <w:pPr>
              <w:ind w:firstLine="0"/>
              <w:jc w:val="left"/>
            </w:pPr>
            <w:r>
              <w:rPr>
                <w:b/>
                <w:sz w:val="20"/>
              </w:rPr>
              <w:t>Type of action</w:t>
            </w:r>
          </w:p>
        </w:tc>
        <w:tc>
          <w:tcPr>
            <w:tcW w:w="6662" w:type="dxa"/>
            <w:vAlign w:val="center"/>
          </w:tcPr>
          <w:p w14:paraId="44CF4009" w14:textId="77777777" w:rsidR="00F4353A" w:rsidRDefault="00000000" w:rsidP="0064003F">
            <w:pPr>
              <w:ind w:firstLine="0"/>
              <w:jc w:val="left"/>
            </w:pPr>
            <w:r>
              <w:rPr>
                <w:sz w:val="20"/>
              </w:rPr>
              <w:t>Research and Innovation Action (RIA)</w:t>
            </w:r>
          </w:p>
        </w:tc>
      </w:tr>
      <w:tr w:rsidR="00F4353A" w14:paraId="66F7AA85" w14:textId="77777777" w:rsidTr="0006410D">
        <w:tc>
          <w:tcPr>
            <w:tcW w:w="2977" w:type="dxa"/>
            <w:vAlign w:val="center"/>
          </w:tcPr>
          <w:p w14:paraId="52D91573" w14:textId="77777777" w:rsidR="00F4353A" w:rsidRDefault="00000000" w:rsidP="0064003F">
            <w:pPr>
              <w:ind w:firstLine="0"/>
              <w:jc w:val="left"/>
            </w:pPr>
            <w:r>
              <w:rPr>
                <w:b/>
                <w:sz w:val="20"/>
              </w:rPr>
              <w:t>Expected EU contribution</w:t>
            </w:r>
          </w:p>
        </w:tc>
        <w:tc>
          <w:tcPr>
            <w:tcW w:w="6662" w:type="dxa"/>
            <w:vAlign w:val="center"/>
          </w:tcPr>
          <w:p w14:paraId="6D18AED2" w14:textId="77777777" w:rsidR="00F4353A" w:rsidRDefault="00000000" w:rsidP="0064003F">
            <w:pPr>
              <w:ind w:firstLine="0"/>
              <w:jc w:val="left"/>
            </w:pPr>
            <w:r>
              <w:rPr>
                <w:sz w:val="20"/>
              </w:rPr>
              <w:t>EUR 3.00–3.75 million per project (indicative)</w:t>
            </w:r>
          </w:p>
        </w:tc>
      </w:tr>
      <w:tr w:rsidR="00F4353A" w14:paraId="40F04D19" w14:textId="77777777" w:rsidTr="0006410D">
        <w:tc>
          <w:tcPr>
            <w:tcW w:w="2977" w:type="dxa"/>
            <w:vAlign w:val="center"/>
          </w:tcPr>
          <w:p w14:paraId="46559073" w14:textId="77777777" w:rsidR="00F4353A" w:rsidRDefault="00000000" w:rsidP="0064003F">
            <w:pPr>
              <w:ind w:firstLine="0"/>
              <w:jc w:val="left"/>
            </w:pPr>
            <w:r>
              <w:rPr>
                <w:b/>
                <w:sz w:val="20"/>
              </w:rPr>
              <w:t>Total indicative topic budget</w:t>
            </w:r>
          </w:p>
        </w:tc>
        <w:tc>
          <w:tcPr>
            <w:tcW w:w="6662" w:type="dxa"/>
            <w:vAlign w:val="center"/>
          </w:tcPr>
          <w:p w14:paraId="5B936757" w14:textId="47B71A29" w:rsidR="00F4353A" w:rsidRDefault="00000000" w:rsidP="0064003F">
            <w:pPr>
              <w:ind w:firstLine="0"/>
              <w:jc w:val="left"/>
            </w:pPr>
            <w:r>
              <w:rPr>
                <w:sz w:val="20"/>
              </w:rPr>
              <w:t>EUR 15 million</w:t>
            </w:r>
          </w:p>
        </w:tc>
      </w:tr>
      <w:tr w:rsidR="00F4353A" w14:paraId="1CC0302E" w14:textId="77777777" w:rsidTr="0006410D">
        <w:tc>
          <w:tcPr>
            <w:tcW w:w="2977" w:type="dxa"/>
            <w:vAlign w:val="center"/>
          </w:tcPr>
          <w:p w14:paraId="5DCA7F6A" w14:textId="77777777" w:rsidR="00F4353A" w:rsidRDefault="00000000" w:rsidP="0064003F">
            <w:pPr>
              <w:ind w:firstLine="0"/>
              <w:jc w:val="left"/>
            </w:pPr>
            <w:r>
              <w:rPr>
                <w:b/>
                <w:sz w:val="20"/>
              </w:rPr>
              <w:t>Funding model</w:t>
            </w:r>
          </w:p>
        </w:tc>
        <w:tc>
          <w:tcPr>
            <w:tcW w:w="6662" w:type="dxa"/>
            <w:vAlign w:val="center"/>
          </w:tcPr>
          <w:p w14:paraId="3C86DC5A" w14:textId="77777777" w:rsidR="00F4353A" w:rsidRDefault="00000000" w:rsidP="0064003F">
            <w:pPr>
              <w:ind w:firstLine="0"/>
              <w:jc w:val="left"/>
            </w:pPr>
            <w:r>
              <w:rPr>
                <w:sz w:val="20"/>
              </w:rPr>
              <w:t>Lump-sum grant</w:t>
            </w:r>
          </w:p>
        </w:tc>
      </w:tr>
      <w:tr w:rsidR="00F4353A" w14:paraId="34CBCE99" w14:textId="77777777" w:rsidTr="0006410D">
        <w:tc>
          <w:tcPr>
            <w:tcW w:w="2977" w:type="dxa"/>
            <w:vAlign w:val="center"/>
          </w:tcPr>
          <w:p w14:paraId="14051321" w14:textId="77777777" w:rsidR="00F4353A" w:rsidRDefault="00000000" w:rsidP="0064003F">
            <w:pPr>
              <w:ind w:firstLine="0"/>
              <w:jc w:val="left"/>
            </w:pPr>
            <w:r>
              <w:rPr>
                <w:b/>
                <w:sz w:val="20"/>
              </w:rPr>
              <w:t>Call deadline</w:t>
            </w:r>
          </w:p>
        </w:tc>
        <w:tc>
          <w:tcPr>
            <w:tcW w:w="6662" w:type="dxa"/>
            <w:vAlign w:val="center"/>
          </w:tcPr>
          <w:p w14:paraId="21BB983B" w14:textId="77777777" w:rsidR="00F4353A" w:rsidRDefault="00000000" w:rsidP="0064003F">
            <w:pPr>
              <w:ind w:firstLine="0"/>
              <w:jc w:val="left"/>
            </w:pPr>
            <w:r>
              <w:rPr>
                <w:sz w:val="20"/>
              </w:rPr>
              <w:t>23 September 2026</w:t>
            </w:r>
          </w:p>
        </w:tc>
      </w:tr>
      <w:tr w:rsidR="00F4353A" w14:paraId="22F9F1C9" w14:textId="77777777" w:rsidTr="0006410D">
        <w:tc>
          <w:tcPr>
            <w:tcW w:w="2977" w:type="dxa"/>
            <w:vAlign w:val="center"/>
          </w:tcPr>
          <w:p w14:paraId="09C1A225" w14:textId="77777777" w:rsidR="00F4353A" w:rsidRDefault="00000000" w:rsidP="0064003F">
            <w:pPr>
              <w:ind w:firstLine="0"/>
              <w:jc w:val="left"/>
            </w:pPr>
            <w:r>
              <w:rPr>
                <w:b/>
                <w:sz w:val="20"/>
              </w:rPr>
              <w:t>Selected project focus</w:t>
            </w:r>
          </w:p>
        </w:tc>
        <w:tc>
          <w:tcPr>
            <w:tcW w:w="6662" w:type="dxa"/>
            <w:vAlign w:val="center"/>
          </w:tcPr>
          <w:p w14:paraId="647621C2" w14:textId="77777777" w:rsidR="00F4353A" w:rsidRDefault="00000000" w:rsidP="0064003F">
            <w:pPr>
              <w:ind w:firstLine="0"/>
              <w:jc w:val="left"/>
            </w:pPr>
            <w:r>
              <w:rPr>
                <w:sz w:val="20"/>
              </w:rPr>
              <w:t>Focus 1 – Cultural and creative industries’ innovation beyond borders</w:t>
            </w:r>
          </w:p>
        </w:tc>
      </w:tr>
      <w:tr w:rsidR="00F4353A" w14:paraId="51C87918" w14:textId="77777777" w:rsidTr="0006410D">
        <w:tc>
          <w:tcPr>
            <w:tcW w:w="2977" w:type="dxa"/>
            <w:vAlign w:val="center"/>
          </w:tcPr>
          <w:p w14:paraId="69BD6B7B" w14:textId="77777777" w:rsidR="00F4353A" w:rsidRDefault="00000000" w:rsidP="0064003F">
            <w:pPr>
              <w:ind w:firstLine="0"/>
              <w:jc w:val="left"/>
            </w:pPr>
            <w:r>
              <w:rPr>
                <w:b/>
                <w:sz w:val="20"/>
              </w:rPr>
              <w:t>Specific consortium condition</w:t>
            </w:r>
          </w:p>
        </w:tc>
        <w:tc>
          <w:tcPr>
            <w:tcW w:w="6662" w:type="dxa"/>
            <w:vAlign w:val="center"/>
          </w:tcPr>
          <w:p w14:paraId="22D1481E" w14:textId="77777777" w:rsidR="00F4353A" w:rsidRDefault="00000000" w:rsidP="0064003F">
            <w:pPr>
              <w:ind w:firstLine="0"/>
              <w:jc w:val="left"/>
            </w:pPr>
            <w:r>
              <w:rPr>
                <w:sz w:val="20"/>
              </w:rPr>
              <w:t>At least three beneficiaries must come from at least one of these world regions: Africa, the Far East, South-East Asia, or Latin America. These entities must participate as beneficiaries and are exceptionally eligible for EU funding under this topic.</w:t>
            </w:r>
          </w:p>
        </w:tc>
      </w:tr>
    </w:tbl>
    <w:p w14:paraId="12DA7187" w14:textId="395813B2" w:rsidR="00F4353A" w:rsidRPr="0064003F" w:rsidRDefault="00F4353A" w:rsidP="0064003F">
      <w:pPr>
        <w:spacing w:before="80" w:after="80"/>
        <w:ind w:firstLine="0"/>
        <w:rPr>
          <w:lang w:val="uk-UA"/>
        </w:rPr>
      </w:pPr>
    </w:p>
    <w:p w14:paraId="6141F96B" w14:textId="77777777" w:rsidR="00F4353A" w:rsidRDefault="00000000">
      <w:r w:rsidRPr="0064003F">
        <w:rPr>
          <w:b/>
          <w:bCs/>
        </w:rPr>
        <w:t>Heritage Marker</w:t>
      </w:r>
      <w:r>
        <w:t xml:space="preserve"> is positioned under Focus 1 because its central logic is not simply the preservation of heritage through technology. The project uses digital cultural heritage as a shared resource for cross-regional cooperation, creative-industry experimentation, knowledge exchange and policy learning. The platform, digital records and digital twins are therefore instruments through which cultural institutions, researchers, technology actors and cultural and creative sector representatives can test new forms of preservation, access, interpretation and reuse across different world regions.</w:t>
      </w:r>
    </w:p>
    <w:p w14:paraId="3B0A729C" w14:textId="706E6D29" w:rsidR="00F4353A" w:rsidRDefault="00000000">
      <w:r>
        <w:rPr>
          <w:b/>
        </w:rPr>
        <w:t xml:space="preserve">Current consortium status: </w:t>
      </w:r>
      <w:r>
        <w:t>The current consortium nucleus includes Simon Kuznets Kharkiv National University of Economics (Ukraine), Mykolas Romeris University (Lithuania), the University of Plymouth (United Kingdom)</w:t>
      </w:r>
      <w:r w:rsidR="0064003F">
        <w:t xml:space="preserve">, </w:t>
      </w:r>
      <w:r>
        <w:t>Linköping University (Sweden)</w:t>
      </w:r>
      <w:r w:rsidR="0064003F">
        <w:t xml:space="preserve"> and Warsaw University of Technologies</w:t>
      </w:r>
      <w:r>
        <w:t>. The final coordinator, work-package leaders and detailed division of responsibilities have not yet been fixed. The concept was initiated by KhNUE, while the consortium and proposal are being developed jointly. Under the specific HERITAGE-05 eligibility condition, the consortium still needs at least three beneficiaries from one qualifying partner world region. The most coherent approach is therefore to build a three-organisation group within one selected region, rather than recruit isolated partners from several regions.</w:t>
      </w:r>
    </w:p>
    <w:p w14:paraId="66D82C09" w14:textId="77777777" w:rsidR="0064003F" w:rsidRDefault="0064003F"/>
    <w:p w14:paraId="1ADBA45D" w14:textId="77777777" w:rsidR="00F4353A" w:rsidRDefault="00000000">
      <w:pPr>
        <w:pStyle w:val="HMHeading"/>
        <w:keepNext/>
      </w:pPr>
      <w:r>
        <w:t>Introduction</w:t>
      </w:r>
    </w:p>
    <w:p w14:paraId="773D4784" w14:textId="77777777" w:rsidR="00F4353A" w:rsidRDefault="00000000">
      <w:r>
        <w:t>Cultural heritage is increasingly exposed to armed conflicts, climate-related disasters, urban transformation and other forms of rapid change. When historical buildings, museum collections, archives or other cultural assets are damaged or destroyed, a significant part of their informational, historical and social value can become impossible to recover if sufficiently detailed documentation does not already exist. Digital technologies cannot replace the physical heritage object, but they can substantially improve the capacity of institutions to document it, preserve knowledge about it, support conservation and restoration, and provide continued access when the physical asset becomes damaged, inaccessible or lost.</w:t>
      </w:r>
    </w:p>
    <w:p w14:paraId="04ED9AF4" w14:textId="06C848DE" w:rsidR="00F4353A" w:rsidRDefault="00000000">
      <w:r>
        <w:t xml:space="preserve">This problem is especially visible in Ukraine. UNESCO’s continuously updated assessment of damage caused by the </w:t>
      </w:r>
      <w:proofErr w:type="spellStart"/>
      <w:r w:rsidR="0064003F">
        <w:t>r</w:t>
      </w:r>
      <w:r>
        <w:t>ussian</w:t>
      </w:r>
      <w:proofErr w:type="spellEnd"/>
      <w:r>
        <w:t xml:space="preserve"> </w:t>
      </w:r>
      <w:r w:rsidR="0064003F">
        <w:t>f</w:t>
      </w:r>
      <w:r>
        <w:t xml:space="preserve">ederation’s full-scale invasion includes historical buildings, museums, libraries, monuments and other cultural sites across the country, with a particularly large concentration in the Kharkiv region. The damage to the Derzhprom building in Kharkiv in October 2024 offers a clear example of the vulnerability of major architectural heritage to wartime </w:t>
      </w:r>
      <w:r>
        <w:lastRenderedPageBreak/>
        <w:t>destruction. The Kharkiv case demonstrates why digital heritage documentation should be proactive rather than limited to post-damage recording: the quality of future conservation, interpretation or reconstruction depends directly on the quality of evidence preserved before further loss occurs (UNESCO, 2026a; Reuters, 2024).</w:t>
      </w:r>
    </w:p>
    <w:p w14:paraId="2A5E29D4" w14:textId="77777777" w:rsidR="00F4353A" w:rsidRDefault="00000000">
      <w:r>
        <w:t>At the same time, the European cultural heritage sector is already moving toward much more systematic use of high-quality digital data. The Common European Data Space for Cultural Heritage, the Europeana ecosystem and the Twin it! initiative explicitly encourage high-quality 3D digitisation, interoperability and reuse of cultural heritage data. Current EU policy also places growing emphasis on the use of AI, 3D technologies and other advanced tools to make cultural heritage data more accessible and reusable for research, education, tourism, creative industries and wider innovation (European Commission, 2021; European Commission &amp; Europeana Foundation, 2026; European Commission, 2026a).</w:t>
      </w:r>
    </w:p>
    <w:p w14:paraId="797783C7" w14:textId="77777777" w:rsidR="00F4353A" w:rsidRDefault="00000000">
      <w:r>
        <w:t>Heritage Marker builds on these developments but addresses a different practical question: how can digital heritage documentation, digital twins and AI-supported access become the basis for equal international cooperation between cultural institutions and creative ecosystems operating in very different conditions? The project therefore combines three dimensions that are often treated separately: preservation of at-risk heritage, cross-regional cultural and creative innovation, and policy learning. The objective is not to create another isolated digital archive, but to test an interoperable model in which heritage data can be documented, protected, accessed, interpreted and creatively reused across institutional and regional boundaries.</w:t>
      </w:r>
    </w:p>
    <w:p w14:paraId="0C6C1EA9" w14:textId="77777777" w:rsidR="0094438E" w:rsidRDefault="0094438E"/>
    <w:p w14:paraId="79075A5B" w14:textId="77777777" w:rsidR="00F4353A" w:rsidRDefault="00000000">
      <w:pPr>
        <w:pStyle w:val="HMHeading"/>
        <w:keepNext/>
      </w:pPr>
      <w:r>
        <w:t>Scientific and Innovation Objective of the Project</w:t>
      </w:r>
    </w:p>
    <w:p w14:paraId="2A225902" w14:textId="77777777" w:rsidR="00F4353A" w:rsidRDefault="00000000">
      <w:r>
        <w:t>The main objective of Heritage Marker is to develop and validate an international model for the digital preservation and creative reuse of cultural heritage, centred on a shared Heritage Marker platform and tested through real cross-regional pilot cases. The model will combine structured digital documentation, selected heritage digital twins, responsible AI-supported services, cultural and creative sector reuse, and governance mechanisms for international cooperation.</w:t>
      </w:r>
    </w:p>
    <w:p w14:paraId="02BD76A0" w14:textId="77777777" w:rsidR="00F4353A" w:rsidRDefault="00000000">
      <w:r>
        <w:t>The project will not assume that every heritage asset requires the same technological treatment. Depending on the asset, its condition, available evidence, institutional needs and resources, the project may use a structured digital record, a high-fidelity 3D model, or a more advanced digital twin enriched with historical, curatorial, condition or other relevant data. This tiered approach is important for keeping the project technically realistic and avoiding the use of 'digital twin' as a generic label for any 3D representation.</w:t>
      </w:r>
    </w:p>
    <w:p w14:paraId="14A67943" w14:textId="77777777" w:rsidR="0094438E" w:rsidRDefault="0094438E"/>
    <w:p w14:paraId="397C83E2" w14:textId="77777777" w:rsidR="00F4353A" w:rsidRDefault="00000000">
      <w:pPr>
        <w:pStyle w:val="HMSubheading"/>
        <w:keepNext/>
      </w:pPr>
      <w:r>
        <w:t>Objectives</w:t>
      </w:r>
    </w:p>
    <w:p w14:paraId="78DC51F0" w14:textId="1DF61C8F" w:rsidR="00F4353A" w:rsidRDefault="00000000" w:rsidP="0094438E">
      <w:pPr>
        <w:pStyle w:val="ae"/>
        <w:numPr>
          <w:ilvl w:val="0"/>
          <w:numId w:val="11"/>
        </w:numPr>
      </w:pPr>
      <w:r>
        <w:t>To establish international cooperation between cultural institutions, research organisations, policymakers, technology actors and cultural and creative industries around digital cultural heritage preservation and use.</w:t>
      </w:r>
    </w:p>
    <w:p w14:paraId="3740570E" w14:textId="3139D87F" w:rsidR="00F4353A" w:rsidRDefault="00000000" w:rsidP="0094438E">
      <w:pPr>
        <w:pStyle w:val="ae"/>
        <w:numPr>
          <w:ilvl w:val="0"/>
          <w:numId w:val="11"/>
        </w:numPr>
      </w:pPr>
      <w:r>
        <w:t>To develop and test the Heritage Marker platform, including structured digital records, selected digital twins and AI-supported tools for documenting, organising and accessing cultural heritage.</w:t>
      </w:r>
    </w:p>
    <w:p w14:paraId="3A587918" w14:textId="0712C35D" w:rsidR="00F4353A" w:rsidRDefault="00000000" w:rsidP="0094438E">
      <w:pPr>
        <w:pStyle w:val="ae"/>
        <w:numPr>
          <w:ilvl w:val="0"/>
          <w:numId w:val="11"/>
        </w:numPr>
      </w:pPr>
      <w:r>
        <w:t>To validate the approach through real pilot cases, including war-affected cultural heritage in Kharkiv and complementary pilots in EU and non-European partner regions.</w:t>
      </w:r>
    </w:p>
    <w:p w14:paraId="6F2A72B8" w14:textId="00A28344" w:rsidR="00F4353A" w:rsidRDefault="00000000" w:rsidP="0094438E">
      <w:pPr>
        <w:pStyle w:val="ae"/>
        <w:numPr>
          <w:ilvl w:val="0"/>
          <w:numId w:val="11"/>
        </w:numPr>
      </w:pPr>
      <w:r>
        <w:t>To develop transferable cooperation and policy models for resilient digital heritage management and its responsible use by cultural and creative industries.</w:t>
      </w:r>
    </w:p>
    <w:p w14:paraId="4A7FF75A" w14:textId="77777777" w:rsidR="00F4353A" w:rsidRDefault="00000000">
      <w:pPr>
        <w:pStyle w:val="HMSubheading"/>
        <w:keepNext/>
      </w:pPr>
      <w:r>
        <w:lastRenderedPageBreak/>
        <w:t>Core Expected Outputs</w:t>
      </w:r>
    </w:p>
    <w:p w14:paraId="2A4110F0" w14:textId="369AB67C" w:rsidR="00F4353A" w:rsidRDefault="00000000" w:rsidP="0094438E">
      <w:pPr>
        <w:pStyle w:val="ae"/>
        <w:numPr>
          <w:ilvl w:val="0"/>
          <w:numId w:val="13"/>
        </w:numPr>
      </w:pPr>
      <w:r>
        <w:t>An operational Heritage Marker platform containing structured digital heritage records, selected digital twins and AI-supported functionalities.</w:t>
      </w:r>
    </w:p>
    <w:p w14:paraId="1D33877A" w14:textId="3B190898" w:rsidR="00F4353A" w:rsidRDefault="00000000" w:rsidP="0094438E">
      <w:pPr>
        <w:pStyle w:val="ae"/>
        <w:numPr>
          <w:ilvl w:val="0"/>
          <w:numId w:val="13"/>
        </w:numPr>
      </w:pPr>
      <w:r>
        <w:t>Validated international pilot cases, including the Kharkiv case and pilots representing different cultural and institutional contexts.</w:t>
      </w:r>
    </w:p>
    <w:p w14:paraId="5CE12750" w14:textId="419C2471" w:rsidR="00F4353A" w:rsidRDefault="00000000" w:rsidP="0094438E">
      <w:pPr>
        <w:pStyle w:val="ae"/>
        <w:numPr>
          <w:ilvl w:val="0"/>
          <w:numId w:val="13"/>
        </w:numPr>
      </w:pPr>
      <w:r>
        <w:t>A practical methodology for digital heritage preservation and reuse, including guidance for crisis situations and cooperation with cultural and creative industries.</w:t>
      </w:r>
    </w:p>
    <w:p w14:paraId="44AE19A7" w14:textId="08DADD40" w:rsidR="00F4353A" w:rsidRDefault="00000000" w:rsidP="0094438E">
      <w:pPr>
        <w:pStyle w:val="ae"/>
        <w:numPr>
          <w:ilvl w:val="0"/>
          <w:numId w:val="13"/>
        </w:numPr>
      </w:pPr>
      <w:r>
        <w:t>An international cooperation and policy framework with recommendations for sustainable, transferable and resilient digital heritage management.</w:t>
      </w:r>
    </w:p>
    <w:p w14:paraId="6A0F084E" w14:textId="77777777" w:rsidR="002D2C18" w:rsidRDefault="002D2C18" w:rsidP="002D2C18">
      <w:pPr>
        <w:pStyle w:val="ae"/>
        <w:ind w:firstLine="0"/>
      </w:pPr>
    </w:p>
    <w:p w14:paraId="661B0397" w14:textId="77777777" w:rsidR="00F4353A" w:rsidRDefault="00000000">
      <w:pPr>
        <w:pStyle w:val="HMHeading"/>
        <w:keepNext/>
      </w:pPr>
      <w:r>
        <w:t>Project Object, Subject and Core Logic</w:t>
      </w:r>
    </w:p>
    <w:p w14:paraId="3565B596" w14:textId="77777777" w:rsidR="00F4353A" w:rsidRDefault="00000000">
      <w:r>
        <w:rPr>
          <w:b/>
        </w:rPr>
        <w:t xml:space="preserve">Research and innovation object: </w:t>
      </w:r>
      <w:r>
        <w:t>Digital cultural heritage ecosystems in which physical cultural assets are documented and represented through structured digital data, 3D models or digital twins and subsequently accessed, interpreted and reused by cultural institutions, researchers, creative actors and the public.</w:t>
      </w:r>
    </w:p>
    <w:p w14:paraId="19F40D64" w14:textId="77777777" w:rsidR="00F4353A" w:rsidRDefault="00000000">
      <w:r>
        <w:rPr>
          <w:b/>
        </w:rPr>
        <w:t xml:space="preserve">Research and innovation subject: </w:t>
      </w:r>
      <w:r>
        <w:t>The technical, organisational, cultural and policy mechanisms that determine whether digital heritage can be documented reliably, exchanged across institutions and regions, reused by cultural and creative sectors, and maintained sustainably under both stable and crisis conditions.</w:t>
      </w:r>
    </w:p>
    <w:p w14:paraId="42B27D42" w14:textId="77777777" w:rsidR="00F4353A" w:rsidRDefault="00000000">
      <w:r>
        <w:rPr>
          <w:b/>
        </w:rPr>
        <w:t xml:space="preserve">Core project logic: </w:t>
      </w:r>
      <w:r>
        <w:t>Heritage Marker starts from a simple premise: the value of digitisation increases when digital heritage is not treated as an isolated copy of a physical object but as trusted, reusable and interoperable cultural data. The project will therefore move through a connected sequence: identify and document real heritage assets; transform selected assets into appropriate digital representations; integrate them into a shared platform; enable responsible AI-supported discovery and interpretation; test creative reuse with CCSI actors; compare results across world regions; and translate the evidence into a practical international cooperation and policy model.</w:t>
      </w:r>
    </w:p>
    <w:p w14:paraId="70961E57" w14:textId="77777777" w:rsidR="002D2C18" w:rsidRDefault="002D2C18"/>
    <w:p w14:paraId="547C3533" w14:textId="77777777" w:rsidR="00F4353A" w:rsidRDefault="00000000">
      <w:pPr>
        <w:pStyle w:val="HMHeading"/>
        <w:keepNext/>
      </w:pPr>
      <w:r>
        <w:t>Research and Innovation Problem</w:t>
      </w:r>
    </w:p>
    <w:p w14:paraId="3C11D8C5" w14:textId="77777777" w:rsidR="00F4353A" w:rsidRDefault="00000000">
      <w:r>
        <w:t>Digital cultural heritage has developed rapidly, but its practical landscape remains fragmented. Museums, archives, universities, public authorities and private technology providers often digitise collections using different technical specifications, metadata practices, access rules and levels of documentation. This fragmentation makes it difficult to exchange data, connect collections, compare institutional practices or reuse cultural heritage reliably outside the environment in which it was originally digitised. Recent European policy has therefore moved toward common data spaces, interoperability and high-quality 3D content rather than simple accumulation of digital files (European Commission, 2021; European Commission &amp; Europeana Foundation, 2026).</w:t>
      </w:r>
    </w:p>
    <w:p w14:paraId="13B5BEFB" w14:textId="77777777" w:rsidR="00F4353A" w:rsidRDefault="00000000">
      <w:r>
        <w:t>A second problem concerns the difference between digital documentation and a functional heritage digital twin. Research shows that many so-called digital twins in cultural heritage remain static digital replicas with limited capacity for semantic enrichment, continuous updating, monitoring or interaction. The field is moving toward richer and more interoperable models, but standards, maturity levels and institutional capacity remain uneven (Luther et al., 2023; Vuoto et al., 2023; Dagnaw et al., 2026). Heritage Marker will therefore avoid requiring the same technological maturity for every pilot and will explicitly document what type of digital representation is being created and for what purpose.</w:t>
      </w:r>
    </w:p>
    <w:p w14:paraId="3E6C6C9D" w14:textId="77777777" w:rsidR="00F4353A" w:rsidRDefault="00000000">
      <w:r>
        <w:t xml:space="preserve">A third problem appears when AI is added to heritage workflows. AI can support metadata enrichment, multilingual discovery, classification, search and visualisation, but AI-assisted </w:t>
      </w:r>
      <w:r>
        <w:lastRenderedPageBreak/>
        <w:t>reconstruction introduces risks of invented detail, interpretative bias and loss of provenance. Recent reviews of generative AI in heritage reconstruction stress the importance of source-based workflows, transparency and human expert validation rather than treating visually plausible output as historical evidence (Lombardi et al., 2026). Heritage Marker will therefore use AI primarily as an assistive layer and will distinguish clearly between verified documentation, evidence-based reconstruction and interpretative visualisation.</w:t>
      </w:r>
    </w:p>
    <w:p w14:paraId="608F9D2C" w14:textId="3D93A6F1" w:rsidR="00F4353A" w:rsidRDefault="00000000">
      <w:r>
        <w:t>Finally, the problem is not only technological. HERITAGE-05 explicitly asks how global partnerships can strengthen cultural policy and creative industry innovation. Digital heritage projects frequently remain institution-specific or nationally bounded, while creative industries are invited only after digitisation has been completed. Heritage Marker addresses this gap by involving cultural and creative sector representatives in the pilot logic from the beginning and by treating creative reuse as a validation pathway for the value, usability and accessibility of digital heritage data.</w:t>
      </w:r>
    </w:p>
    <w:p w14:paraId="243C6FA4" w14:textId="77777777" w:rsidR="002D2C18" w:rsidRDefault="002D2C18"/>
    <w:p w14:paraId="008D8E89" w14:textId="77777777" w:rsidR="00F4353A" w:rsidRDefault="00000000">
      <w:pPr>
        <w:pStyle w:val="HMHeading"/>
        <w:keepNext/>
      </w:pPr>
      <w:r>
        <w:t>Research Questions</w:t>
      </w:r>
    </w:p>
    <w:p w14:paraId="51A1C050" w14:textId="77777777" w:rsidR="00F4353A" w:rsidRDefault="00000000">
      <w:r>
        <w:rPr>
          <w:b/>
        </w:rPr>
        <w:t xml:space="preserve">Main research and innovation question: </w:t>
      </w:r>
      <w:r>
        <w:t>How can interoperable digital heritage documentation, selected digital twins and responsible AI be combined with cross-regional cultural and creative cooperation to produce a transferable model for cultural resilience and creative innovation?</w:t>
      </w:r>
    </w:p>
    <w:p w14:paraId="455B8CCA" w14:textId="77777777" w:rsidR="00F4353A" w:rsidRDefault="00000000">
      <w:r>
        <w:t>Supporting questions:</w:t>
      </w:r>
    </w:p>
    <w:p w14:paraId="6434EA83" w14:textId="7FC4654B" w:rsidR="00F4353A" w:rsidRDefault="00000000" w:rsidP="002D2C18">
      <w:pPr>
        <w:pStyle w:val="ae"/>
        <w:numPr>
          <w:ilvl w:val="0"/>
          <w:numId w:val="15"/>
        </w:numPr>
      </w:pPr>
      <w:r>
        <w:t>Which technical, curatorial and governance requirements are necessary to create reliable digital heritage records and digital twins that can be shared and reused across different institutional and regional contexts?</w:t>
      </w:r>
    </w:p>
    <w:p w14:paraId="5D158838" w14:textId="7D89C06D" w:rsidR="00F4353A" w:rsidRDefault="00000000" w:rsidP="002D2C18">
      <w:pPr>
        <w:pStyle w:val="ae"/>
        <w:numPr>
          <w:ilvl w:val="0"/>
          <w:numId w:val="15"/>
        </w:numPr>
      </w:pPr>
      <w:r>
        <w:t>How can a crisis-affected pilot such as Kharkiv inform proactive heritage documentation methods that are relevant beyond wartime conditions?</w:t>
      </w:r>
    </w:p>
    <w:p w14:paraId="1E17A403" w14:textId="374927C1" w:rsidR="00F4353A" w:rsidRDefault="00000000" w:rsidP="002D2C18">
      <w:pPr>
        <w:pStyle w:val="ae"/>
        <w:numPr>
          <w:ilvl w:val="0"/>
          <w:numId w:val="15"/>
        </w:numPr>
      </w:pPr>
      <w:r>
        <w:t>Which AI-supported functions create genuine value for cultural heritage institutions and users while preserving transparency, provenance and expert control?</w:t>
      </w:r>
    </w:p>
    <w:p w14:paraId="0BFBCE80" w14:textId="376199E9" w:rsidR="00F4353A" w:rsidRDefault="00000000" w:rsidP="002D2C18">
      <w:pPr>
        <w:pStyle w:val="ae"/>
        <w:numPr>
          <w:ilvl w:val="0"/>
          <w:numId w:val="15"/>
        </w:numPr>
      </w:pPr>
      <w:r>
        <w:t xml:space="preserve">How can </w:t>
      </w:r>
      <w:proofErr w:type="spellStart"/>
      <w:r>
        <w:t>digitised</w:t>
      </w:r>
      <w:proofErr w:type="spellEnd"/>
      <w:r>
        <w:t xml:space="preserve"> heritage be reused by cultural and creative sectors in ways that extend access, interpretation, education and creative production rather than simply reproducing existing archive functions?</w:t>
      </w:r>
    </w:p>
    <w:p w14:paraId="562DBBF2" w14:textId="6663E13A" w:rsidR="00F4353A" w:rsidRDefault="00000000" w:rsidP="002D2C18">
      <w:pPr>
        <w:pStyle w:val="ae"/>
        <w:numPr>
          <w:ilvl w:val="0"/>
          <w:numId w:val="15"/>
        </w:numPr>
      </w:pPr>
      <w:r>
        <w:t>Which cooperation and policy mechanisms are needed to sustain equal cross-regional partnerships and enable transfer of successful approaches between Europe and partner world regions?</w:t>
      </w:r>
    </w:p>
    <w:p w14:paraId="016C6930" w14:textId="77777777" w:rsidR="002D2C18" w:rsidRDefault="002D2C18" w:rsidP="002D2C18">
      <w:pPr>
        <w:pStyle w:val="ae"/>
        <w:ind w:firstLine="0"/>
      </w:pPr>
    </w:p>
    <w:p w14:paraId="33901CA4" w14:textId="77777777" w:rsidR="00F4353A" w:rsidRDefault="00000000">
      <w:pPr>
        <w:pStyle w:val="HMHeading"/>
        <w:keepNext/>
      </w:pPr>
      <w:r>
        <w:t>Current State of Knowledge</w:t>
      </w:r>
    </w:p>
    <w:p w14:paraId="3AA77E5E" w14:textId="77777777" w:rsidR="00F4353A" w:rsidRDefault="00000000">
      <w:r>
        <w:t>European digital cultural heritage policy has moved from digitisation as a stand-alone preservation activity toward a broader infrastructure logic. Commission Recommendation (EU) 2021/1970 calls for acceleration of digitisation and preservation, greater interoperability, international collaboration and increased availability of 3D cultural heritage data. It explicitly links digitisation to innovative reuse in cultural and creative sectors, research, tourism and education. The Common European Data Space for Cultural Heritage builds on the Europeana ecosystem and provides a strategic environment for trusted, interoperable and reusable cultural heritage data (European Commission, 2021).</w:t>
      </w:r>
    </w:p>
    <w:p w14:paraId="46A7BE3B" w14:textId="77777777" w:rsidR="00F4353A" w:rsidRDefault="00000000">
      <w:r>
        <w:t xml:space="preserve">The 2025–2030 strategy for the Common European Data Space for Cultural Heritage strengthens this direction. Its priorities include more robust and interoperable data foundations, wider access and reuse, new partnerships beyond the heritage sector and faster adoption of AI, 3D and XR. This is directly relevant to Heritage Marker: the proposed platform should not duplicate </w:t>
      </w:r>
      <w:r>
        <w:lastRenderedPageBreak/>
        <w:t>European infrastructure, but should be designed so that its data model, rights information and exchange mechanisms can be aligned with existing European standards and potentially connected to relevant data-space services (European Commission &amp; Europeana Foundation, 2026).</w:t>
      </w:r>
    </w:p>
    <w:p w14:paraId="2C39AE5C" w14:textId="09BB96A9" w:rsidR="00F4353A" w:rsidRDefault="00000000">
      <w:r>
        <w:t xml:space="preserve">The EU-supported </w:t>
      </w:r>
      <w:r w:rsidR="004A7DB0">
        <w:t>“</w:t>
      </w:r>
      <w:r>
        <w:t>Twin it!</w:t>
      </w:r>
      <w:r w:rsidR="004A7DB0">
        <w:t>”</w:t>
      </w:r>
      <w:r>
        <w:t xml:space="preserve"> campaign illustrates the growing policy importance of 3D documentation. It encourages high-quality 3D digitisation and, in its second phase, explicitly emphasises reuse by creators, developers, heritage professionals and citizens. EU policy aims to digitise in 3D all monuments and sites considered at risk by 2030 and recognises applications in conservation, research, education, tourism, gaming and immersive experiences. This creates a strong policy basis for Heritage Marker’s combination of risk-oriented documentation and CCSI reuse (European Commission, 2026a).</w:t>
      </w:r>
    </w:p>
    <w:p w14:paraId="3BE2B97E" w14:textId="77777777" w:rsidR="00F4353A" w:rsidRDefault="00000000">
      <w:r>
        <w:t>Academic research similarly shows that digital twins can add value beyond static 3D representations. Existing studies identify applications in documentation, conservation monitoring, interpretation and visitor experience, while highlighting the importance of interoperable data, clear maturity definitions and integration of multiple sources. Systematic reviews also show that the field remains fragmented and that many implementations still operate at relatively early levels of digital-twin maturity (Luther et al., 2023; Vuoto et al., 2023; Dagnaw et al., 2026). Recent work conceptualises digital heritage as a continuous cycle of capture, curation, connection and co-creation, reinforcing the idea that preservation and reuse should be connected rather than treated as separate activities (Kantaros et al., 2026).</w:t>
      </w:r>
    </w:p>
    <w:p w14:paraId="03F2E7DA" w14:textId="77777777" w:rsidR="00F4353A" w:rsidRDefault="00000000">
      <w:r>
        <w:t>AI creates an additional layer of opportunity and uncertainty. It can accelerate content classification, enrich metadata, improve search and multilingual access, detect patterns and support 3D processing. However, generative reconstruction can blur the distinction between evidence and plausible invention. The literature increasingly argues for transparent source attribution, uncertainty documentation and expert validation when AI contributes to heritage reconstruction or interpretation (Colace et al., 2025; Lombardi et al., 2026). Heritage Marker will therefore treat trustworthiness as a design requirement rather than an optional feature.</w:t>
      </w:r>
    </w:p>
    <w:p w14:paraId="18B537D7" w14:textId="77777777" w:rsidR="00F4353A" w:rsidRDefault="00000000">
      <w:r>
        <w:t>The crisis dimension is particularly important in Ukraine. UNESCO’s damage monitoring confirms extensive harm to cultural property, including historic buildings, museums, monuments and libraries in the Kharkiv region. UNESCO’s broader recovery assessments also identify the cultural and tourism sectors as heavily affected by the war and recognise the need for systematic damage assessment, documentation and recovery planning (UNESCO, 2024; UNESCO, 2026a). These conditions make Kharkiv a meaningful pilot not because the project is limited to Ukraine, but because it provides a real case in which the consequences of insufficient pre-damage documentation are unusually visible.</w:t>
      </w:r>
    </w:p>
    <w:p w14:paraId="7B2BFBEF" w14:textId="77777777" w:rsidR="00F4353A" w:rsidRDefault="00000000">
      <w:r>
        <w:t>What remains insufficiently connected in existing practice is the combination of crisis-ready documentation, interoperable digital heritage infrastructure, CCSI reuse and cross-regional policy learning. Heritage Marker is designed around this connection. Its novelty is therefore not the isolated use of 3D scanning, AI or a digital platform, all of which already exist, but the validation of a shared international model that links these components through comparable pilots and converts their practical results into transferable cooperation mechanisms.</w:t>
      </w:r>
    </w:p>
    <w:p w14:paraId="35E5D555" w14:textId="77777777" w:rsidR="004A7DB0" w:rsidRDefault="004A7DB0"/>
    <w:p w14:paraId="616CEEF1" w14:textId="77777777" w:rsidR="00F4353A" w:rsidRDefault="00000000">
      <w:pPr>
        <w:pStyle w:val="HMHeading"/>
        <w:keepNext/>
      </w:pPr>
      <w:r>
        <w:t>Main Gaps Addressed by the Project</w:t>
      </w:r>
    </w:p>
    <w:p w14:paraId="2B177BC7" w14:textId="3F4A1F23" w:rsidR="00F4353A" w:rsidRDefault="00000000" w:rsidP="004A7DB0">
      <w:pPr>
        <w:pStyle w:val="ae"/>
        <w:numPr>
          <w:ilvl w:val="0"/>
          <w:numId w:val="17"/>
        </w:numPr>
      </w:pPr>
      <w:r>
        <w:t xml:space="preserve">Fragmented </w:t>
      </w:r>
      <w:proofErr w:type="spellStart"/>
      <w:r>
        <w:t>digitisation</w:t>
      </w:r>
      <w:proofErr w:type="spellEnd"/>
      <w:r>
        <w:t xml:space="preserve"> practices: cultural institutions often create valuable digital assets that remain technically or institutionally isolated, limiting interoperability, long-term access and reuse.</w:t>
      </w:r>
    </w:p>
    <w:p w14:paraId="3EF44E2B" w14:textId="489D4E0E" w:rsidR="00F4353A" w:rsidRDefault="00000000" w:rsidP="004A7DB0">
      <w:pPr>
        <w:pStyle w:val="ae"/>
        <w:numPr>
          <w:ilvl w:val="0"/>
          <w:numId w:val="17"/>
        </w:numPr>
      </w:pPr>
      <w:r>
        <w:t>Weak connection between preservation and creative reuse: CCSI actors frequently engage with digitised heritage only after documentation is complete, rather than shaping usable data and applications from the beginning.</w:t>
      </w:r>
    </w:p>
    <w:p w14:paraId="3D67AF66" w14:textId="64DE7E36" w:rsidR="00F4353A" w:rsidRDefault="00000000" w:rsidP="004A7DB0">
      <w:pPr>
        <w:pStyle w:val="ae"/>
        <w:numPr>
          <w:ilvl w:val="0"/>
          <w:numId w:val="17"/>
        </w:numPr>
      </w:pPr>
      <w:r>
        <w:lastRenderedPageBreak/>
        <w:t>Uneven maturity of heritage digital twins: the term is applied to very different types of digital representation, creating unrealistic expectations and making cross-case comparison difficult.</w:t>
      </w:r>
    </w:p>
    <w:p w14:paraId="4DC0A57C" w14:textId="083D7336" w:rsidR="00F4353A" w:rsidRDefault="00000000" w:rsidP="004A7DB0">
      <w:pPr>
        <w:pStyle w:val="ae"/>
        <w:numPr>
          <w:ilvl w:val="0"/>
          <w:numId w:val="17"/>
        </w:numPr>
      </w:pPr>
      <w:r>
        <w:t xml:space="preserve">Limited crisis-preparedness logic: </w:t>
      </w:r>
      <w:proofErr w:type="spellStart"/>
      <w:r>
        <w:t>digitisation</w:t>
      </w:r>
      <w:proofErr w:type="spellEnd"/>
      <w:r>
        <w:t xml:space="preserve"> often starts after damage has occurred, whereas high-risk heritage requires systematic pre-damage documentation and clear prioritisation protocols.</w:t>
      </w:r>
    </w:p>
    <w:p w14:paraId="7299602F" w14:textId="6AAF2EF4" w:rsidR="00F4353A" w:rsidRDefault="00000000" w:rsidP="004A7DB0">
      <w:pPr>
        <w:pStyle w:val="ae"/>
        <w:numPr>
          <w:ilvl w:val="0"/>
          <w:numId w:val="17"/>
        </w:numPr>
      </w:pPr>
      <w:r>
        <w:t>Trust and provenance risks in AI-supported reconstruction: visually persuasive outputs can be mistaken for evidence unless source basis, uncertainty and human validation are made explicit.</w:t>
      </w:r>
    </w:p>
    <w:p w14:paraId="010BD8A0" w14:textId="6380534C" w:rsidR="00F4353A" w:rsidRDefault="00000000" w:rsidP="004A7DB0">
      <w:pPr>
        <w:pStyle w:val="ae"/>
        <w:numPr>
          <w:ilvl w:val="0"/>
          <w:numId w:val="17"/>
        </w:numPr>
      </w:pPr>
      <w:r>
        <w:t xml:space="preserve">Insufficient cross-regional learning: international cultural projects may exchange practices without testing whether technical, creative and governance models </w:t>
      </w:r>
      <w:proofErr w:type="gramStart"/>
      <w:r>
        <w:t>actually transfer</w:t>
      </w:r>
      <w:proofErr w:type="gramEnd"/>
      <w:r>
        <w:t xml:space="preserve"> between different cultural-policy and CCI ecosystems.</w:t>
      </w:r>
    </w:p>
    <w:p w14:paraId="26F2079C" w14:textId="77777777" w:rsidR="004A7DB0" w:rsidRDefault="004A7DB0" w:rsidP="004A7DB0">
      <w:pPr>
        <w:pStyle w:val="ae"/>
        <w:ind w:firstLine="0"/>
      </w:pPr>
    </w:p>
    <w:p w14:paraId="3E8214D1" w14:textId="77777777" w:rsidR="00F4353A" w:rsidRDefault="00000000">
      <w:pPr>
        <w:pStyle w:val="HMHeading"/>
        <w:keepNext/>
      </w:pPr>
      <w:r>
        <w:t>Significance of the Project</w:t>
      </w:r>
    </w:p>
    <w:p w14:paraId="1F657397" w14:textId="77777777" w:rsidR="00F4353A" w:rsidRDefault="00000000">
      <w:r>
        <w:t>The practical significance of Heritage Marker lies in creating a workflow that can be used by cultural institutions rather than only studied conceptually. A participating institution should be able to move from asset selection and documentation through metadata preparation and 3D capture to platform publication, controlled access and creative reuse. The project will therefore produce not only a platform but also a methodology that explains which type of digital representation is appropriate, which metadata and provenance information are required, how rights and access should be recorded, how AI outputs should be validated, and how data can be made reusable.</w:t>
      </w:r>
    </w:p>
    <w:p w14:paraId="121028BF" w14:textId="77777777" w:rsidR="00F4353A" w:rsidRDefault="00000000">
      <w:r>
        <w:t>The scientific and technical significance lies in validating a tiered and interoperable approach to heritage digital twins across heterogeneous cases. Instead of requiring identical data richness for every pilot, the project will define minimum requirements and maturity levels and test how different data layers can be combined. This should make the results more transferable to institutions with different technical capacities and reduce the risk that sophisticated digital-twin solutions remain limited to a small number of highly resourced organisations.</w:t>
      </w:r>
    </w:p>
    <w:p w14:paraId="10F7E668" w14:textId="77777777" w:rsidR="00F4353A" w:rsidRDefault="00000000">
      <w:r>
        <w:t>The cultural and creative significance lies in treating heritage data as a resource for new interpretation and production. Digital exhibitions, interactive storytelling, educational experiences, immersive visualisations, design applications and other uses will provide concrete ways to test whether the digitised assets are discoverable, understandable and reusable outside the original preservation workflow. These activities will be designed with cultural and creative sector actors rather than presented to them only at the dissemination stage.</w:t>
      </w:r>
    </w:p>
    <w:p w14:paraId="114ECE0B" w14:textId="77777777" w:rsidR="00F4353A" w:rsidRDefault="00000000">
      <w:r>
        <w:t>The policy significance lies in producing evidence from different world regions. By comparing pilot implementation under different institutional, cultural and risk conditions, the project can identify which principles are transferable, which depend on local governance, and which barriers require policy action. This is directly consistent with HERITAGE-05, which seeks equal international partnerships, replicable models and actionable strategies for cross-regional collaboration.</w:t>
      </w:r>
    </w:p>
    <w:p w14:paraId="5001B356" w14:textId="77777777" w:rsidR="004A7DB0" w:rsidRDefault="004A7DB0"/>
    <w:p w14:paraId="1743408F" w14:textId="77777777" w:rsidR="00F4353A" w:rsidRDefault="00000000">
      <w:pPr>
        <w:pStyle w:val="HMHeading"/>
        <w:keepNext/>
      </w:pPr>
      <w:r>
        <w:t>Expected Contribution to HERITAGE-05 Outcomes</w:t>
      </w:r>
    </w:p>
    <w:p w14:paraId="0A106925" w14:textId="77777777" w:rsidR="00F4353A" w:rsidRDefault="00000000">
      <w:r>
        <w:t>Heritage Marker is intended to contribute to all three expected outcomes of HERITAGE-05 while remaining focused on one concrete field of cooperation: digital cultural heritage and its reuse by cultural and creative sectors.</w:t>
      </w:r>
    </w:p>
    <w:p w14:paraId="329E76F3" w14:textId="16A4243A" w:rsidR="00F4353A" w:rsidRDefault="00000000" w:rsidP="004A7DB0">
      <w:pPr>
        <w:pStyle w:val="ae"/>
        <w:numPr>
          <w:ilvl w:val="0"/>
          <w:numId w:val="19"/>
        </w:numPr>
      </w:pPr>
      <w:r>
        <w:t>Deepened understanding and comparative evaluation: the project will compare digital heritage policies, institutional capacities, CCI ecosystems and pilot implementation across participating regions, identifying good practices, shared barriers and transferable models.</w:t>
      </w:r>
    </w:p>
    <w:p w14:paraId="04461F33" w14:textId="2362595C" w:rsidR="00F4353A" w:rsidRDefault="00000000" w:rsidP="004A7DB0">
      <w:pPr>
        <w:pStyle w:val="ae"/>
        <w:numPr>
          <w:ilvl w:val="0"/>
          <w:numId w:val="19"/>
        </w:numPr>
      </w:pPr>
      <w:r>
        <w:lastRenderedPageBreak/>
        <w:t>Equal international partnerships and collaboration: the platform and pilots will create a common practical activity around which cultural institutions, research organisations, technology actors and CCSI representatives can exchange methods, co-create applications and build capacity in both directions.</w:t>
      </w:r>
    </w:p>
    <w:p w14:paraId="11278F9E" w14:textId="60B367FD" w:rsidR="00F4353A" w:rsidRDefault="00000000" w:rsidP="004A7DB0">
      <w:pPr>
        <w:pStyle w:val="ae"/>
        <w:numPr>
          <w:ilvl w:val="0"/>
          <w:numId w:val="19"/>
        </w:numPr>
      </w:pPr>
      <w:r>
        <w:t>Actionable strategies: the project will convert pilot evidence into practical guidance and policy recommendations for cross-regional digital heritage cooperation, including crisis preparedness, interoperability, AI governance, creative reuse and sustainability.</w:t>
      </w:r>
    </w:p>
    <w:p w14:paraId="35BD5AB2" w14:textId="77777777" w:rsidR="00F4353A" w:rsidRDefault="00000000">
      <w:r>
        <w:t xml:space="preserve">The project will explicitly involve cultural and creative sector representatives from the outset, as required by the topic. It will also seek complementarity with relevant European initiatives rather than developing a closed technological ecosystem. </w:t>
      </w:r>
      <w:proofErr w:type="gramStart"/>
      <w:r>
        <w:t>In particular, interoperability</w:t>
      </w:r>
      <w:proofErr w:type="gramEnd"/>
      <w:r>
        <w:t xml:space="preserve"> with the Common European Data Space for Cultural Heritage and awareness of the European Collaborative Cloud for Cultural Heritage will be considered during technical design, while opportunities for policy and international cooperation synergies will be assessed as the consortium develops.</w:t>
      </w:r>
    </w:p>
    <w:p w14:paraId="6176E25B" w14:textId="77777777" w:rsidR="004A7DB0" w:rsidRDefault="004A7DB0"/>
    <w:p w14:paraId="3C4D1E47" w14:textId="77777777" w:rsidR="00F4353A" w:rsidRDefault="00000000">
      <w:pPr>
        <w:pStyle w:val="HMHeading"/>
        <w:keepNext/>
      </w:pPr>
      <w:r>
        <w:t>General Research and Innovation Plan</w:t>
      </w:r>
    </w:p>
    <w:p w14:paraId="50474F19" w14:textId="77777777" w:rsidR="004A7DB0" w:rsidRDefault="004A7DB0">
      <w:pPr>
        <w:pStyle w:val="HMHeading"/>
        <w:keepNext/>
      </w:pPr>
    </w:p>
    <w:p w14:paraId="758F6BCC" w14:textId="77777777" w:rsidR="00F4353A" w:rsidRDefault="00000000">
      <w:pPr>
        <w:pStyle w:val="HMSubheading"/>
        <w:keepNext/>
      </w:pPr>
      <w:r>
        <w:t>Task 1. Cross-Regional Diagnosis and Pilot Definition</w:t>
      </w:r>
    </w:p>
    <w:p w14:paraId="1A27616E" w14:textId="77777777" w:rsidR="00F4353A" w:rsidRDefault="00000000">
      <w:r>
        <w:rPr>
          <w:b/>
        </w:rPr>
        <w:t xml:space="preserve">Objective of the task: </w:t>
      </w:r>
      <w:r>
        <w:t>To establish the comparative evidence base and define a coherent set of pilot cases before technical implementation begins.</w:t>
      </w:r>
    </w:p>
    <w:p w14:paraId="73D17739" w14:textId="77777777" w:rsidR="00F4353A" w:rsidRDefault="00000000">
      <w:r>
        <w:t>The project will map participating cultural-policy and digital-heritage environments, identify the needs of heritage institutions and CCSI actors, and select pilot assets according to transparent criteria. The analysis will examine existing digitisation practices, data standards, rights and access models, technological capacity, creative reuse practices and crisis-related risks where relevant. The purpose is not to rank regions, but to understand differences that may affect transferability.</w:t>
      </w:r>
    </w:p>
    <w:p w14:paraId="45D7C3BD" w14:textId="4A151578" w:rsidR="00F4353A" w:rsidRDefault="00000000" w:rsidP="004A7DB0">
      <w:pPr>
        <w:pStyle w:val="ae"/>
        <w:numPr>
          <w:ilvl w:val="1"/>
          <w:numId w:val="11"/>
        </w:numPr>
      </w:pPr>
      <w:r>
        <w:t>Map the digital heritage, cultural-policy and CCSI context in each pilot region.</w:t>
      </w:r>
    </w:p>
    <w:p w14:paraId="017CF139" w14:textId="48D59282" w:rsidR="00F4353A" w:rsidRDefault="00000000" w:rsidP="004A7DB0">
      <w:pPr>
        <w:pStyle w:val="ae"/>
        <w:numPr>
          <w:ilvl w:val="1"/>
          <w:numId w:val="11"/>
        </w:numPr>
      </w:pPr>
      <w:r>
        <w:t>Identify institutional needs, technical constraints and existing digital collections.</w:t>
      </w:r>
    </w:p>
    <w:p w14:paraId="313EB6BB" w14:textId="1A5DDD28" w:rsidR="00F4353A" w:rsidRDefault="00000000" w:rsidP="004A7DB0">
      <w:pPr>
        <w:pStyle w:val="ae"/>
        <w:numPr>
          <w:ilvl w:val="1"/>
          <w:numId w:val="11"/>
        </w:numPr>
      </w:pPr>
      <w:r>
        <w:t>Define common pilot-selection criteria, including cultural significance, risk, access, documentation feasibility and reuse potential.</w:t>
      </w:r>
    </w:p>
    <w:p w14:paraId="4DF4DF0D" w14:textId="23528E75" w:rsidR="00F4353A" w:rsidRDefault="00000000" w:rsidP="004A7DB0">
      <w:pPr>
        <w:pStyle w:val="ae"/>
        <w:numPr>
          <w:ilvl w:val="1"/>
          <w:numId w:val="11"/>
        </w:numPr>
      </w:pPr>
      <w:r>
        <w:t>Agree a tiered classification of outputs: structured digital record, high-fidelity 3D model, or enriched heritage digital twin.</w:t>
      </w:r>
    </w:p>
    <w:p w14:paraId="461DE720" w14:textId="420DDCCB" w:rsidR="00F4353A" w:rsidRDefault="00000000" w:rsidP="004A7DB0">
      <w:pPr>
        <w:pStyle w:val="ae"/>
        <w:numPr>
          <w:ilvl w:val="1"/>
          <w:numId w:val="11"/>
        </w:numPr>
      </w:pPr>
      <w:r>
        <w:t>Select the final Kharkiv assets together with relevant rights-holding or responsible cultural institutions; no specific building is treated as pre-selected at the concept stage.</w:t>
      </w:r>
    </w:p>
    <w:p w14:paraId="0438A047" w14:textId="3461975E" w:rsidR="00F4353A" w:rsidRDefault="00000000" w:rsidP="004A7DB0">
      <w:pPr>
        <w:pStyle w:val="ae"/>
        <w:numPr>
          <w:ilvl w:val="1"/>
          <w:numId w:val="11"/>
        </w:numPr>
      </w:pPr>
      <w:r>
        <w:t>Define common baseline indicators for comparing pilot implementation.</w:t>
      </w:r>
    </w:p>
    <w:p w14:paraId="0B697B9E" w14:textId="77777777" w:rsidR="00F4353A" w:rsidRDefault="00000000">
      <w:r>
        <w:rPr>
          <w:b/>
        </w:rPr>
        <w:t xml:space="preserve">Task outcome: </w:t>
      </w:r>
      <w:r>
        <w:t>Cross-Regional Digital Heritage and CCI Diagnostic Report with the final pilot portfolio and common pilot requirements.</w:t>
      </w:r>
    </w:p>
    <w:p w14:paraId="68B81C3C" w14:textId="77777777" w:rsidR="00F4353A" w:rsidRDefault="00000000">
      <w:r>
        <w:rPr>
          <w:b/>
        </w:rPr>
        <w:t xml:space="preserve">Milestone 1: </w:t>
      </w:r>
      <w:r>
        <w:t>Consortium agreement on pilot cases, common terminology, minimum documentation requirements and comparison indicators.</w:t>
      </w:r>
    </w:p>
    <w:p w14:paraId="6BCDC749" w14:textId="77777777" w:rsidR="004A7DB0" w:rsidRDefault="004A7DB0"/>
    <w:p w14:paraId="7A2020B4" w14:textId="77777777" w:rsidR="00F4353A" w:rsidRDefault="00000000">
      <w:pPr>
        <w:pStyle w:val="HMSubheading"/>
        <w:keepNext/>
      </w:pPr>
      <w:r>
        <w:t>Task 2. Heritage Marker Architecture and Digital Heritage Methodology</w:t>
      </w:r>
    </w:p>
    <w:p w14:paraId="3D93A3B5" w14:textId="77777777" w:rsidR="00F4353A" w:rsidRDefault="00000000">
      <w:r>
        <w:rPr>
          <w:b/>
        </w:rPr>
        <w:t xml:space="preserve">Objective of the task: </w:t>
      </w:r>
      <w:r>
        <w:t>To design the shared technical and methodological foundation of the Heritage Marker platform.</w:t>
      </w:r>
    </w:p>
    <w:p w14:paraId="63FC3C94" w14:textId="77777777" w:rsidR="00F4353A" w:rsidRDefault="00000000">
      <w:r>
        <w:t>This task will translate the needs identified in Task 1 into a platform architecture and a common documentation methodology. The design will prioritise interoperability, provenance, rights information and long-term usability. Existing standards and European infrastructure will be reviewed so that the project does not create an incompatible parallel archive.</w:t>
      </w:r>
    </w:p>
    <w:p w14:paraId="5EACF432" w14:textId="64B309F2" w:rsidR="00F4353A" w:rsidRDefault="00000000" w:rsidP="004A7DB0">
      <w:pPr>
        <w:pStyle w:val="ae"/>
        <w:numPr>
          <w:ilvl w:val="1"/>
          <w:numId w:val="11"/>
        </w:numPr>
      </w:pPr>
      <w:r>
        <w:lastRenderedPageBreak/>
        <w:t>Define the Heritage Marker data model and metadata requirements, including provenance and rights information.</w:t>
      </w:r>
    </w:p>
    <w:p w14:paraId="2C211ABA" w14:textId="6CFDE52D" w:rsidR="00F4353A" w:rsidRDefault="00000000" w:rsidP="004A7DB0">
      <w:pPr>
        <w:pStyle w:val="ae"/>
        <w:numPr>
          <w:ilvl w:val="1"/>
          <w:numId w:val="11"/>
        </w:numPr>
      </w:pPr>
      <w:r>
        <w:t>Specify technical workflows for photography, photogrammetry, laser scanning or other 3D capture methods where relevant.</w:t>
      </w:r>
    </w:p>
    <w:p w14:paraId="0D0B0F04" w14:textId="052D0BAA" w:rsidR="00F4353A" w:rsidRDefault="00000000" w:rsidP="004A7DB0">
      <w:pPr>
        <w:pStyle w:val="ae"/>
        <w:numPr>
          <w:ilvl w:val="1"/>
          <w:numId w:val="11"/>
        </w:numPr>
      </w:pPr>
      <w:r>
        <w:t>Define criteria distinguishing digital records, 3D models and digital twins.</w:t>
      </w:r>
    </w:p>
    <w:p w14:paraId="7C4BBDD4" w14:textId="3DFED6AB" w:rsidR="00F4353A" w:rsidRDefault="00000000" w:rsidP="004A7DB0">
      <w:pPr>
        <w:pStyle w:val="ae"/>
        <w:numPr>
          <w:ilvl w:val="1"/>
          <w:numId w:val="11"/>
        </w:numPr>
      </w:pPr>
      <w:r>
        <w:t>Develop AI-supported functions for content organisation, metadata assistance, search, navigation and multilingual discovery.</w:t>
      </w:r>
    </w:p>
    <w:p w14:paraId="00BE62C2" w14:textId="62854C76" w:rsidR="00F4353A" w:rsidRDefault="00000000" w:rsidP="004A7DB0">
      <w:pPr>
        <w:pStyle w:val="ae"/>
        <w:numPr>
          <w:ilvl w:val="1"/>
          <w:numId w:val="11"/>
        </w:numPr>
      </w:pPr>
      <w:r>
        <w:t>Define rules for AI-assisted reconstruction or visual interpretation, including evidence citation, expert validation and uncertainty marking.</w:t>
      </w:r>
    </w:p>
    <w:p w14:paraId="22DF5FF4" w14:textId="616B33B1" w:rsidR="00F4353A" w:rsidRDefault="00000000" w:rsidP="004A7DB0">
      <w:pPr>
        <w:pStyle w:val="ae"/>
        <w:numPr>
          <w:ilvl w:val="1"/>
          <w:numId w:val="11"/>
        </w:numPr>
      </w:pPr>
      <w:r>
        <w:t>Design interfaces for cultural institutions and reuse communities, with attention to accessibility and practical usability.</w:t>
      </w:r>
    </w:p>
    <w:p w14:paraId="6E70E550" w14:textId="2366310A" w:rsidR="00F4353A" w:rsidRDefault="00000000" w:rsidP="004A7DB0">
      <w:pPr>
        <w:pStyle w:val="ae"/>
        <w:numPr>
          <w:ilvl w:val="1"/>
          <w:numId w:val="11"/>
        </w:numPr>
      </w:pPr>
      <w:r>
        <w:t>Assess interoperability pathways with Europeana and the Common European Data Space for Cultural Heritage.</w:t>
      </w:r>
    </w:p>
    <w:p w14:paraId="7C1A12F3" w14:textId="77777777" w:rsidR="00F4353A" w:rsidRDefault="00000000">
      <w:r>
        <w:rPr>
          <w:b/>
        </w:rPr>
        <w:t xml:space="preserve">Task outcome: </w:t>
      </w:r>
      <w:r>
        <w:t>Heritage Marker Technical and Methodological Specification and an initial functional platform prototype.</w:t>
      </w:r>
    </w:p>
    <w:p w14:paraId="0F55F7A1" w14:textId="77777777" w:rsidR="00F4353A" w:rsidRDefault="00000000">
      <w:r>
        <w:rPr>
          <w:b/>
        </w:rPr>
        <w:t xml:space="preserve">Milestone 2: </w:t>
      </w:r>
      <w:r>
        <w:t xml:space="preserve">Validated common platform architecture and pilot-ready </w:t>
      </w:r>
      <w:proofErr w:type="spellStart"/>
      <w:r>
        <w:t>digitisation</w:t>
      </w:r>
      <w:proofErr w:type="spellEnd"/>
      <w:r>
        <w:t xml:space="preserve"> methodology.</w:t>
      </w:r>
    </w:p>
    <w:p w14:paraId="0CD06E1B" w14:textId="77777777" w:rsidR="004A7DB0" w:rsidRDefault="004A7DB0"/>
    <w:p w14:paraId="70099EFF" w14:textId="77777777" w:rsidR="00F4353A" w:rsidRDefault="00000000">
      <w:pPr>
        <w:pStyle w:val="HMSubheading"/>
        <w:keepNext/>
      </w:pPr>
      <w:r>
        <w:t>Task 3. Pilot Digitisation and Platform Implementation</w:t>
      </w:r>
    </w:p>
    <w:p w14:paraId="3C258FBA" w14:textId="77777777" w:rsidR="00F4353A" w:rsidRDefault="00000000">
      <w:r>
        <w:rPr>
          <w:b/>
        </w:rPr>
        <w:t xml:space="preserve">Objective of the task: </w:t>
      </w:r>
      <w:r>
        <w:t>To create and integrate real digital heritage records and selected digital twins in different institutional and risk contexts.</w:t>
      </w:r>
    </w:p>
    <w:p w14:paraId="0807AC6A" w14:textId="77777777" w:rsidR="00F4353A" w:rsidRDefault="00000000">
      <w:r>
        <w:t>The Kharkiv pilot will provide a central case for crisis-oriented documentation. UNESCO has verified extensive damage to cultural property in the region, while the damage to Derzhprom demonstrates the vulnerability of even highly visible architectural landmarks. The pilot will focus on systematic documentation of selected assets that can be accessed safely and legally. The project will not assume that active war conditions permit fieldwork at every desired location; remote, archival or institution-based documentation will be used where appropriate.</w:t>
      </w:r>
    </w:p>
    <w:p w14:paraId="296E09D1" w14:textId="77777777" w:rsidR="00F4353A" w:rsidRDefault="00000000">
      <w:r>
        <w:t>Complementary EU and partner-region pilots will test the same methodological core in different settings. These cases may involve architectural heritage, museum objects, archives or other tangible cultural assets depending on the final consortium. The aim is not to produce identical digital collections but to test whether the Heritage Marker workflow remains usable across different asset types and institutional environments.</w:t>
      </w:r>
    </w:p>
    <w:p w14:paraId="7D7B7050" w14:textId="426289A9" w:rsidR="00F4353A" w:rsidRDefault="00000000" w:rsidP="004A7DB0">
      <w:pPr>
        <w:pStyle w:val="ae"/>
        <w:numPr>
          <w:ilvl w:val="1"/>
          <w:numId w:val="11"/>
        </w:numPr>
      </w:pPr>
      <w:r>
        <w:t>Acquire and process pilot data according to the agreed quality and documentation standards.</w:t>
      </w:r>
    </w:p>
    <w:p w14:paraId="0390A1A8" w14:textId="416148B5" w:rsidR="00F4353A" w:rsidRDefault="00000000" w:rsidP="004A7DB0">
      <w:pPr>
        <w:pStyle w:val="ae"/>
        <w:numPr>
          <w:ilvl w:val="1"/>
          <w:numId w:val="11"/>
        </w:numPr>
      </w:pPr>
      <w:r>
        <w:t>Create structured digital records and selected high-fidelity 3D models/digital twins.</w:t>
      </w:r>
    </w:p>
    <w:p w14:paraId="5E964F6B" w14:textId="3945F6E5" w:rsidR="00F4353A" w:rsidRDefault="00000000" w:rsidP="004A7DB0">
      <w:pPr>
        <w:pStyle w:val="ae"/>
        <w:numPr>
          <w:ilvl w:val="1"/>
          <w:numId w:val="11"/>
        </w:numPr>
      </w:pPr>
      <w:r>
        <w:t>Integrate historical, curatorial and condition information where available.</w:t>
      </w:r>
    </w:p>
    <w:p w14:paraId="4771AE36" w14:textId="65F3A0BC" w:rsidR="00F4353A" w:rsidRDefault="00000000" w:rsidP="004A7DB0">
      <w:pPr>
        <w:pStyle w:val="ae"/>
        <w:numPr>
          <w:ilvl w:val="1"/>
          <w:numId w:val="11"/>
        </w:numPr>
      </w:pPr>
      <w:r>
        <w:t xml:space="preserve">Upload and </w:t>
      </w:r>
      <w:proofErr w:type="spellStart"/>
      <w:r>
        <w:t>organise</w:t>
      </w:r>
      <w:proofErr w:type="spellEnd"/>
      <w:r>
        <w:t xml:space="preserve"> pilot data in the Heritage Marker environment.</w:t>
      </w:r>
    </w:p>
    <w:p w14:paraId="6F352E7F" w14:textId="01E39C7D" w:rsidR="00F4353A" w:rsidRDefault="00000000" w:rsidP="004A7DB0">
      <w:pPr>
        <w:pStyle w:val="ae"/>
        <w:numPr>
          <w:ilvl w:val="1"/>
          <w:numId w:val="11"/>
        </w:numPr>
      </w:pPr>
      <w:r>
        <w:t>Test metadata quality, searchability, access controls, provenance and technical interoperability.</w:t>
      </w:r>
    </w:p>
    <w:p w14:paraId="6645B904" w14:textId="33C858DE" w:rsidR="00F4353A" w:rsidRDefault="00000000" w:rsidP="004A7DB0">
      <w:pPr>
        <w:pStyle w:val="ae"/>
        <w:numPr>
          <w:ilvl w:val="1"/>
          <w:numId w:val="11"/>
        </w:numPr>
      </w:pPr>
      <w:r>
        <w:t>Document the time, skills, costs and institutional effort required by different pilot approaches.</w:t>
      </w:r>
    </w:p>
    <w:p w14:paraId="1BD7CA76" w14:textId="77777777" w:rsidR="00F4353A" w:rsidRDefault="00000000">
      <w:r>
        <w:rPr>
          <w:b/>
        </w:rPr>
        <w:t xml:space="preserve">Task outcome: </w:t>
      </w:r>
      <w:r>
        <w:t>Operational Heritage Marker platform populated with validated pilot content from multiple world regions.</w:t>
      </w:r>
    </w:p>
    <w:p w14:paraId="407EDBF2" w14:textId="77777777" w:rsidR="00F4353A" w:rsidRDefault="00000000">
      <w:r>
        <w:rPr>
          <w:b/>
        </w:rPr>
        <w:t xml:space="preserve">Milestone 3: </w:t>
      </w:r>
      <w:r>
        <w:t>Completion of the first cross-regional set of comparable Heritage Marker pilot assets.</w:t>
      </w:r>
    </w:p>
    <w:p w14:paraId="3E3F9313" w14:textId="77777777" w:rsidR="004A7DB0" w:rsidRDefault="004A7DB0"/>
    <w:p w14:paraId="5DC8ACE7" w14:textId="77777777" w:rsidR="00F4353A" w:rsidRDefault="00000000">
      <w:pPr>
        <w:pStyle w:val="HMSubheading"/>
        <w:keepNext/>
      </w:pPr>
      <w:r>
        <w:lastRenderedPageBreak/>
        <w:t>Task 4. Creative Reuse and Cross-Regional Innovation Pilots</w:t>
      </w:r>
    </w:p>
    <w:p w14:paraId="769DF986" w14:textId="77777777" w:rsidR="00F4353A" w:rsidRDefault="00000000">
      <w:r>
        <w:rPr>
          <w:b/>
        </w:rPr>
        <w:t xml:space="preserve">Objective of the task: </w:t>
      </w:r>
      <w:r>
        <w:t>To demonstrate that digital heritage can function as a reusable cultural and creative resource rather than only as an archive.</w:t>
      </w:r>
    </w:p>
    <w:p w14:paraId="257A8131" w14:textId="77777777" w:rsidR="00F4353A" w:rsidRDefault="00000000">
      <w:r>
        <w:t>Cultural and creative sector actors will work with selected digital assets to develop and test a limited number of concrete applications. The project will not prescribe a single creative format in advance because relevant applications may differ between pilot regions and heritage types. Possible forms include digital exhibitions, educational experiences, interactive storytelling, immersive visualisation, design applications or other digital cultural products. Each use case will be evaluated not only for novelty but also for the quality of heritage data required, ease of reuse, rights and attribution issues, accessibility and value to the participating cultural institution.</w:t>
      </w:r>
    </w:p>
    <w:p w14:paraId="67BB03D9" w14:textId="33997342" w:rsidR="00F4353A" w:rsidRDefault="00000000" w:rsidP="004A7DB0">
      <w:pPr>
        <w:pStyle w:val="ae"/>
        <w:numPr>
          <w:ilvl w:val="1"/>
          <w:numId w:val="11"/>
        </w:numPr>
      </w:pPr>
      <w:r>
        <w:t>Co-design creative use cases with CCSI representatives involved from the project’s early stages.</w:t>
      </w:r>
    </w:p>
    <w:p w14:paraId="0C8F8DE0" w14:textId="47EECA80" w:rsidR="00F4353A" w:rsidRDefault="00000000" w:rsidP="004A7DB0">
      <w:pPr>
        <w:pStyle w:val="ae"/>
        <w:numPr>
          <w:ilvl w:val="1"/>
          <w:numId w:val="11"/>
        </w:numPr>
      </w:pPr>
      <w:r>
        <w:t>Prepare reusable datasets or asset packages with clear rights and provenance information.</w:t>
      </w:r>
    </w:p>
    <w:p w14:paraId="7A428F61" w14:textId="7A123B5B" w:rsidR="00F4353A" w:rsidRDefault="00000000" w:rsidP="004A7DB0">
      <w:pPr>
        <w:pStyle w:val="ae"/>
        <w:numPr>
          <w:ilvl w:val="1"/>
          <w:numId w:val="11"/>
        </w:numPr>
      </w:pPr>
      <w:r>
        <w:t>Develop a limited portfolio of demonstrators based on selected pilot heritage.</w:t>
      </w:r>
    </w:p>
    <w:p w14:paraId="6683879A" w14:textId="0B489D9B" w:rsidR="00F4353A" w:rsidRDefault="00000000" w:rsidP="004A7DB0">
      <w:pPr>
        <w:pStyle w:val="ae"/>
        <w:numPr>
          <w:ilvl w:val="1"/>
          <w:numId w:val="11"/>
        </w:numPr>
      </w:pPr>
      <w:r>
        <w:t>Test user accessibility, cultural interpretation and institutional usefulness.</w:t>
      </w:r>
    </w:p>
    <w:p w14:paraId="5EF61974" w14:textId="57E80BF1" w:rsidR="00F4353A" w:rsidRDefault="00000000" w:rsidP="004A7DB0">
      <w:pPr>
        <w:pStyle w:val="ae"/>
        <w:numPr>
          <w:ilvl w:val="1"/>
          <w:numId w:val="11"/>
        </w:numPr>
      </w:pPr>
      <w:r>
        <w:t>Compare barriers to creative reuse across regions and identify improvements to the platform and methodology.</w:t>
      </w:r>
    </w:p>
    <w:p w14:paraId="223B504F" w14:textId="5438D376" w:rsidR="00F4353A" w:rsidRDefault="00000000" w:rsidP="004A7DB0">
      <w:pPr>
        <w:pStyle w:val="ae"/>
        <w:numPr>
          <w:ilvl w:val="1"/>
          <w:numId w:val="11"/>
        </w:numPr>
      </w:pPr>
      <w:r>
        <w:t>Document models that could be replicated by cultural institutions and CCSI actors beyond the consortium.</w:t>
      </w:r>
    </w:p>
    <w:p w14:paraId="5884A005" w14:textId="77777777" w:rsidR="00F4353A" w:rsidRDefault="00000000">
      <w:r>
        <w:rPr>
          <w:b/>
        </w:rPr>
        <w:t xml:space="preserve">Task outcome: </w:t>
      </w:r>
      <w:r>
        <w:t>Validated CCSI reuse demonstrators and a practical Creative Reuse Guide for digital cultural heritage.</w:t>
      </w:r>
    </w:p>
    <w:p w14:paraId="72FBB7EE" w14:textId="77777777" w:rsidR="00F4353A" w:rsidRDefault="00000000">
      <w:r>
        <w:rPr>
          <w:b/>
        </w:rPr>
        <w:t xml:space="preserve">Milestone 4: </w:t>
      </w:r>
      <w:r>
        <w:t>Demonstration of at least one validated creative-reuse pathway in each participating pilot environment or pilot cluster.</w:t>
      </w:r>
    </w:p>
    <w:p w14:paraId="769226A2" w14:textId="77777777" w:rsidR="004A7DB0" w:rsidRDefault="004A7DB0"/>
    <w:p w14:paraId="3DCC16AE" w14:textId="77777777" w:rsidR="00F4353A" w:rsidRDefault="00000000">
      <w:pPr>
        <w:pStyle w:val="HMSubheading"/>
        <w:keepNext/>
      </w:pPr>
      <w:r>
        <w:t>Task 5. Comparative Evaluation, Policy Framework and Sustainability</w:t>
      </w:r>
    </w:p>
    <w:p w14:paraId="598ED65E" w14:textId="77777777" w:rsidR="00F4353A" w:rsidRDefault="00000000">
      <w:r>
        <w:rPr>
          <w:b/>
        </w:rPr>
        <w:t xml:space="preserve">Objective of the task: </w:t>
      </w:r>
      <w:r>
        <w:t>To evaluate the complete Heritage Marker model and translate pilot evidence into transferable cooperation and policy recommendations.</w:t>
      </w:r>
    </w:p>
    <w:p w14:paraId="57C2C716" w14:textId="77777777" w:rsidR="00F4353A" w:rsidRDefault="00000000">
      <w:r>
        <w:t>The final analytical stage will compare technical implementation, institutional capacity, creative reuse and governance experience across pilots. It will distinguish principles that can be transferred widely from practices that depend on local cultural, legal or organisational conditions. The project will also define how collaboration can continue after the grant, including governance of the platform, stewardship of digital assets, maintenance responsibilities and potential integration or interoperability with existing infrastructure.</w:t>
      </w:r>
    </w:p>
    <w:p w14:paraId="665C8941" w14:textId="2D9E485C" w:rsidR="00F4353A" w:rsidRDefault="00000000" w:rsidP="004A7DB0">
      <w:pPr>
        <w:pStyle w:val="ae"/>
        <w:numPr>
          <w:ilvl w:val="1"/>
          <w:numId w:val="11"/>
        </w:numPr>
      </w:pPr>
      <w:r>
        <w:t>Evaluate pilot performance against the baseline indicators defined in Task 1.</w:t>
      </w:r>
    </w:p>
    <w:p w14:paraId="070A82E5" w14:textId="0B12186F" w:rsidR="00F4353A" w:rsidRDefault="00000000" w:rsidP="004A7DB0">
      <w:pPr>
        <w:pStyle w:val="ae"/>
        <w:numPr>
          <w:ilvl w:val="1"/>
          <w:numId w:val="11"/>
        </w:numPr>
      </w:pPr>
      <w:r>
        <w:t>Compare transferability of technical, institutional and CCSI-reuse practices.</w:t>
      </w:r>
    </w:p>
    <w:p w14:paraId="394C3D78" w14:textId="272863DF" w:rsidR="00F4353A" w:rsidRDefault="00000000" w:rsidP="004A7DB0">
      <w:pPr>
        <w:pStyle w:val="ae"/>
        <w:numPr>
          <w:ilvl w:val="1"/>
          <w:numId w:val="11"/>
        </w:numPr>
      </w:pPr>
      <w:r>
        <w:t xml:space="preserve">Validate the crisis-responsive </w:t>
      </w:r>
      <w:proofErr w:type="spellStart"/>
      <w:r>
        <w:t>digitisation</w:t>
      </w:r>
      <w:proofErr w:type="spellEnd"/>
      <w:r>
        <w:t xml:space="preserve"> guidance using the Kharkiv experience.</w:t>
      </w:r>
    </w:p>
    <w:p w14:paraId="3CDEF9DD" w14:textId="0268C76E" w:rsidR="00F4353A" w:rsidRDefault="00000000" w:rsidP="004A7DB0">
      <w:pPr>
        <w:pStyle w:val="ae"/>
        <w:numPr>
          <w:ilvl w:val="1"/>
          <w:numId w:val="11"/>
        </w:numPr>
      </w:pPr>
      <w:r>
        <w:t>Prepare policy recommendations for cultural institutions, public authorities and international cooperation actors.</w:t>
      </w:r>
    </w:p>
    <w:p w14:paraId="512461E2" w14:textId="7640B61B" w:rsidR="00F4353A" w:rsidRDefault="00000000" w:rsidP="004A7DB0">
      <w:pPr>
        <w:pStyle w:val="ae"/>
        <w:numPr>
          <w:ilvl w:val="1"/>
          <w:numId w:val="11"/>
        </w:numPr>
      </w:pPr>
      <w:r>
        <w:t>Develop a sustainability and governance model for the Heritage Marker platform and its digital assets.</w:t>
      </w:r>
    </w:p>
    <w:p w14:paraId="7BCC09B1" w14:textId="5D502B65" w:rsidR="00F4353A" w:rsidRDefault="00000000" w:rsidP="004A7DB0">
      <w:pPr>
        <w:pStyle w:val="ae"/>
        <w:numPr>
          <w:ilvl w:val="1"/>
          <w:numId w:val="11"/>
        </w:numPr>
      </w:pPr>
      <w:r>
        <w:t>Prepare replication guidance for institutions and regions not participating in the original pilots.</w:t>
      </w:r>
    </w:p>
    <w:p w14:paraId="5D9CCF66" w14:textId="77777777" w:rsidR="00F4353A" w:rsidRDefault="00000000">
      <w:r>
        <w:rPr>
          <w:b/>
        </w:rPr>
        <w:t xml:space="preserve">Task outcome: </w:t>
      </w:r>
      <w:r>
        <w:t>Validated Heritage Marker International Cooperation and Policy Framework with sustainability and replication guidance.</w:t>
      </w:r>
    </w:p>
    <w:p w14:paraId="63CD5EE2" w14:textId="77777777" w:rsidR="00F4353A" w:rsidRDefault="00000000">
      <w:r>
        <w:rPr>
          <w:b/>
        </w:rPr>
        <w:t xml:space="preserve">Milestone 5: </w:t>
      </w:r>
      <w:r>
        <w:t>Final validation of the Heritage Marker model and agreement on the post-project sustainability pathway.</w:t>
      </w:r>
    </w:p>
    <w:p w14:paraId="58BDF458" w14:textId="77777777" w:rsidR="00F4353A" w:rsidRDefault="00000000">
      <w:pPr>
        <w:pStyle w:val="HMHeading"/>
        <w:keepNext/>
      </w:pPr>
      <w:r>
        <w:lastRenderedPageBreak/>
        <w:t>Preliminary Risk Analysis</w:t>
      </w:r>
    </w:p>
    <w:p w14:paraId="0A53B18F" w14:textId="77777777" w:rsidR="00F4353A" w:rsidRDefault="00000000">
      <w:r>
        <w:t>The first major risk is technological overextension. A proposal combining a platform, AI, 3D digitisation and digital twins can easily become too ambitious, especially if every asset is expected to reach the same technical maturity. This risk will be mitigated through the tiered digital-representation model: the project will define what must be a structured record, what requires a high-quality 3D model, and what genuinely benefits from a digital twin. The platform will prioritise a small number of validated functions rather than a large collection of experimental features.</w:t>
      </w:r>
    </w:p>
    <w:p w14:paraId="47CF6968" w14:textId="77777777" w:rsidR="00F4353A" w:rsidRDefault="00000000">
      <w:r>
        <w:t>A second risk is duplication of existing European digital heritage infrastructure. Europeana and the Common European Data Space for Cultural Heritage already aggregate and enable reuse of cultural heritage data. Heritage Marker should therefore not position itself as a replacement. Its added value will be the cross-regional pilot methodology, crisis documentation logic, digital-twin workflow and CCSI validation layer. Interoperability and possible data exchange with existing infrastructure will be considered from the architecture stage.</w:t>
      </w:r>
    </w:p>
    <w:p w14:paraId="7B0B85EE" w14:textId="77777777" w:rsidR="00F4353A" w:rsidRDefault="00000000">
      <w:r>
        <w:t>A third risk concerns AI reliability. AI-assisted reconstruction may generate plausible but historically unsupported detail. To prevent this, the project will distinguish documented fact from interpretative output, record the evidence used for reconstruction, maintain human expert validation and expose uncertainty where source information is incomplete. AI will be treated as an assistive tool rather than an autonomous authority on historical form.</w:t>
      </w:r>
    </w:p>
    <w:p w14:paraId="041E02C9" w14:textId="77777777" w:rsidR="00F4353A" w:rsidRDefault="00000000">
      <w:r>
        <w:t>A fourth risk concerns rights, provenance and access. Cultural institutions may be unable or unwilling to release high-resolution material openly, and different jurisdictions may apply different copyright, cultural-property or data-governance rules. The project will therefore record rights information at asset level, support different access levels where necessary, and avoid assuming that all content can be made fully open. Open access will be pursued where legally and ethically possible, but responsible stewardship will take precedence over unrestricted publication.</w:t>
      </w:r>
    </w:p>
    <w:p w14:paraId="0E5D8E4C" w14:textId="77777777" w:rsidR="00F4353A" w:rsidRDefault="00000000">
      <w:r>
        <w:t>A fifth risk is specific to the Kharkiv pilot. Security conditions may restrict physical access to buildings or collections and can change rapidly. Pilot selection will therefore include safety and feasibility criteria. Where field capture is unsafe, the project may prioritise collections located in controlled institutional environments, existing archival data or heritage assets that can be documented without increasing risk to staff or collections.</w:t>
      </w:r>
    </w:p>
    <w:p w14:paraId="3628B2B5" w14:textId="77777777" w:rsidR="00F4353A" w:rsidRDefault="00000000">
      <w:r>
        <w:t>A sixth risk is unequal partnership dynamics. HERITAGE-05 emphasises equal international cooperation, and the required partner world-region beneficiaries should not be treated as sites where a European model is merely replicated. Pilot design, methodological decisions, creative use cases and policy interpretation will therefore be co-developed. The comparative analysis will explicitly identify region-specific strengths and innovations, allowing knowledge transfer to work in multiple directions.</w:t>
      </w:r>
    </w:p>
    <w:p w14:paraId="525C8CF7" w14:textId="77777777" w:rsidR="00F4353A" w:rsidRDefault="00000000">
      <w:r>
        <w:t>Finally, the consortium itself is still under formation. The current academic nucleus is strong, but the topic requires participation of CCSI representatives from the outset and the specific eligibility condition requires at least three beneficiaries from one qualifying world region. Consortium development should therefore prioritise: first, completion of the regional three-beneficiary group; second, direct participation of cultural-heritage institutions or collection holders; and third, confirmed technical and CCSI implementation capacity. Detailed work-package leadership should only be fixed after these competencies are secured.</w:t>
      </w:r>
    </w:p>
    <w:p w14:paraId="27DE0437" w14:textId="77777777" w:rsidR="004A7DB0" w:rsidRDefault="004A7DB0"/>
    <w:p w14:paraId="4398B6F2" w14:textId="77777777" w:rsidR="00F4353A" w:rsidRDefault="00000000">
      <w:pPr>
        <w:pStyle w:val="HMHeading"/>
        <w:keepNext/>
      </w:pPr>
      <w:r>
        <w:t>Research and Innovation Methodology</w:t>
      </w:r>
    </w:p>
    <w:p w14:paraId="54AF4C3D" w14:textId="77777777" w:rsidR="00F4353A" w:rsidRDefault="00000000">
      <w:r>
        <w:t xml:space="preserve">Heritage Marker will employ a comparative, pilot-based and co-creation-oriented research and innovation methodology. The project will combine institutional analysis, heritage documentation, digital prototyping, user-centred testing, comparative evaluation and policy </w:t>
      </w:r>
      <w:r>
        <w:lastRenderedPageBreak/>
        <w:t>synthesis. This approach is appropriate because the project is expected to produce both new knowledge about cross-regional cultural and creative ecosystems and a functioning technical and organisational model.</w:t>
      </w:r>
    </w:p>
    <w:p w14:paraId="640C9055" w14:textId="77777777" w:rsidR="00F4353A" w:rsidRDefault="00000000">
      <w:r>
        <w:t>The research component will begin with a structured mapping of existing policies, infrastructures, institutional practices and CCSI ecosystems in participating regions. Relevant EU and international standards will be analysed together with local institutional requirements. Interviews, workshops and structured consultations with cultural institutions, technical experts, policymakers and CCSI representatives may be used to define pilot needs and identify barriers that cannot be captured through document analysis alone. The comparison will not assume that participating regions are institutionally equivalent; instead, it will identify functional differences that affect digital heritage creation, access and reuse.</w:t>
      </w:r>
    </w:p>
    <w:p w14:paraId="5109F45B" w14:textId="77777777" w:rsidR="00F4353A" w:rsidRDefault="00000000">
      <w:r>
        <w:t>The technical component will follow an iterative design-and-validation process. Requirements identified in the diagnostic stage will inform the first Heritage Marker prototype. Pilot implementation will then generate evidence about data quality, interoperability, workflow effort, rights management and usability. This evidence will be used to revise the technical architecture and methodology before final validation. Where digital twins are created, the project will document their intended purpose, data layers and update logic so that the term 'digital twin' remains technically meaningful.</w:t>
      </w:r>
    </w:p>
    <w:p w14:paraId="05F01AFB" w14:textId="77777777" w:rsidR="00F4353A" w:rsidRDefault="00000000">
      <w:r>
        <w:t>Digital documentation methods will be selected according to the heritage asset and pilot purpose. Depending on the case, these may include high-resolution photography, photogrammetry, terrestrial or mobile laser scanning, archival integration, HBIM-related methods, structured metadata and other relevant techniques. The project will not impose expensive capture technologies where they do not create proportionate value. Quality criteria will focus on fitness for purpose, traceability of source data, interoperability and the ability to support conservation, interpretation or reuse.</w:t>
      </w:r>
    </w:p>
    <w:p w14:paraId="6747D371" w14:textId="77777777" w:rsidR="00F4353A" w:rsidRDefault="00000000">
      <w:r>
        <w:t>AI-supported functionality will be developed and tested as a separate analytical layer. Lower-risk applications may include metadata assistance, semantic classification, multilingual discovery, search and navigation. Higher-risk applications, particularly visual reconstruction of damaged or lost heritage, will require an explicit source basis, expert review and documentation of uncertainty. This approach follows current research warning that generative AI can privilege visual plausibility over historical transparency if it is used without rigorous evidentiary control (Lombardi et al., 2026).</w:t>
      </w:r>
    </w:p>
    <w:p w14:paraId="49878219" w14:textId="77777777" w:rsidR="00F4353A" w:rsidRDefault="00000000">
      <w:r>
        <w:t>The creative innovation component will use co-design and demonstrator testing. CCSI actors will work with the digital assets to identify concrete reuse opportunities and evaluate the practical barriers encountered. The project will collect qualitative and, where useful, quantitative evidence on usability, accessibility, required data quality, user engagement and institutional value. The goal is not to claim market success within the project period, but to demonstrate credible pathways from digitised heritage to new cultural, educational and creative applications.</w:t>
      </w:r>
    </w:p>
    <w:p w14:paraId="6E96D012" w14:textId="77777777" w:rsidR="00F4353A" w:rsidRDefault="00000000">
      <w:r>
        <w:t>The final comparative evaluation will triangulate evidence from the pilots, institutional analysis, technical testing and stakeholder feedback. The project will identify which elements of the Heritage Marker model are broadly transferable and which require contextual adaptation. Policy recommendations will therefore be based on validated pilot experience rather than general statements about digital transformation. Open science principles will be applied where compatible with heritage rights, security and ethical constraints, including transparent documentation of methods and publication of reusable non-sensitive research outputs.</w:t>
      </w:r>
    </w:p>
    <w:p w14:paraId="08381E1D" w14:textId="77777777" w:rsidR="004A7DB0" w:rsidRDefault="004A7DB0"/>
    <w:p w14:paraId="4057A495" w14:textId="7D51AF28" w:rsidR="004A7DB0" w:rsidRDefault="00000000" w:rsidP="004A7DB0">
      <w:pPr>
        <w:pStyle w:val="HMHeading"/>
        <w:keepNext/>
      </w:pPr>
      <w:r>
        <w:lastRenderedPageBreak/>
        <w:t>Consortium Development Logic</w:t>
      </w:r>
    </w:p>
    <w:p w14:paraId="1F98AC54" w14:textId="77777777" w:rsidR="00F4353A" w:rsidRDefault="00000000">
      <w:r>
        <w:t>The consortium should be designed around competencies rather than a predetermined allocation of organisational roles. At the current concept stage, it is premature to assign work packages to individual universities because additional cultural, technical and international partners may materially change the implementation structure. The current nucleus – KhNUE, Mykolas Romeris University, the University of Plymouth and Linköping University – already provides a multi-country academic base spanning Ukraine, Lithuania, the United Kingdom and Sweden. Lithuania and Sweden are EU Member States; Ukraine and the United Kingdom are Horizon Europe Associated Countries.</w:t>
      </w:r>
    </w:p>
    <w:p w14:paraId="3F17D281" w14:textId="77777777" w:rsidR="00F4353A" w:rsidRDefault="00000000">
      <w:r>
        <w:t>The main consortium-development priority is the special HERITAGE-05 requirement. The final consortium must contain at least three beneficiaries from at least one of the four specified partner world regions: Africa, the Far East, South-East Asia or Latin America. This wording is important: three isolated partners distributed across different regions do not automatically satisfy the condition. The project should therefore select a coherent regional cooperation axis and secure at least three beneficiary organisations within that region. If a suitable Brazilian partner becomes confirmed, Latin America could be a particularly practical option, provided that at least two additional Latin American beneficiaries are recruited.</w:t>
      </w:r>
    </w:p>
    <w:p w14:paraId="0FF37D5A" w14:textId="77777777" w:rsidR="00F4353A" w:rsidRDefault="00000000">
      <w:r>
        <w:t>The second priority is sectoral balance. HERITAGE-05 encourages participation of research organisations, policy think tanks, creative industries, artist organisations, technology communities and cultural organisations and explicitly states that CCSI representatives should be involved from the outset. Heritage Marker would therefore benefit from adding non-university partners that can provide access to real heritage assets, professional digitisation or digital-twin capacity, creative reuse expertise and policy validation. These partners should have real tasks in the pilots rather than symbolic advisory roles.</w:t>
      </w:r>
    </w:p>
    <w:p w14:paraId="0B1C9B0C" w14:textId="77777777" w:rsidR="00F4353A" w:rsidRDefault="00000000">
      <w:r>
        <w:t>A realistic final consortium may therefore include: a small group of universities/research organisations; several museums, archives or heritage organisations linked to the pilot assets; at least one strong technical organisation or company able to support the platform and 3D/digital-twin workflow; one or more CCSI organisations able to develop and test reuse cases; and, where useful, public or policy organisations supporting governance and uptake. The exact coordinator and work-package leaders should be selected only after the final competence map is complete.</w:t>
      </w:r>
    </w:p>
    <w:p w14:paraId="3EB1B271" w14:textId="77777777" w:rsidR="004A7DB0" w:rsidRDefault="004A7DB0"/>
    <w:p w14:paraId="6374DB6C" w14:textId="77777777" w:rsidR="00F4353A" w:rsidRPr="004A7DB0" w:rsidRDefault="00000000" w:rsidP="004A7DB0">
      <w:pPr>
        <w:pStyle w:val="HMHeading"/>
        <w:keepNext/>
        <w:rPr>
          <w:sz w:val="24"/>
          <w:szCs w:val="24"/>
        </w:rPr>
      </w:pPr>
      <w:r w:rsidRPr="004A7DB0">
        <w:rPr>
          <w:sz w:val="24"/>
          <w:szCs w:val="24"/>
        </w:rPr>
        <w:t>References</w:t>
      </w:r>
    </w:p>
    <w:p w14:paraId="1FFA4B86" w14:textId="7C02D57F" w:rsidR="004A7DB0" w:rsidRDefault="00000000" w:rsidP="004A7DB0">
      <w:pPr>
        <w:pStyle w:val="ae"/>
        <w:numPr>
          <w:ilvl w:val="0"/>
          <w:numId w:val="27"/>
        </w:numPr>
        <w:spacing w:line="228" w:lineRule="auto"/>
        <w:rPr>
          <w:szCs w:val="24"/>
        </w:rPr>
      </w:pPr>
      <w:r w:rsidRPr="004A7DB0">
        <w:rPr>
          <w:szCs w:val="24"/>
        </w:rPr>
        <w:t xml:space="preserve">Colace, F., Gaeta, R., Lorusso, A., Pellegrino, M., &amp; Santaniello, D. (2025). New AI challenges for cultural heritage protection: A general overview. Journal of Cultural Heritage, 75, 168–193. </w:t>
      </w:r>
      <w:r w:rsidR="004A7DB0" w:rsidRPr="004A7DB0">
        <w:rPr>
          <w:szCs w:val="24"/>
        </w:rPr>
        <w:t>https://doi.org/10.1016/j.culher.2025.07.019</w:t>
      </w:r>
    </w:p>
    <w:p w14:paraId="071E6E88" w14:textId="68ACF545" w:rsidR="00F4353A" w:rsidRPr="004A7DB0" w:rsidRDefault="00000000" w:rsidP="004A7DB0">
      <w:pPr>
        <w:pStyle w:val="ae"/>
        <w:numPr>
          <w:ilvl w:val="0"/>
          <w:numId w:val="27"/>
        </w:numPr>
        <w:spacing w:line="228" w:lineRule="auto"/>
        <w:rPr>
          <w:szCs w:val="24"/>
        </w:rPr>
      </w:pPr>
      <w:proofErr w:type="spellStart"/>
      <w:r w:rsidRPr="004A7DB0">
        <w:rPr>
          <w:szCs w:val="24"/>
        </w:rPr>
        <w:t>Dagnaw</w:t>
      </w:r>
      <w:proofErr w:type="spellEnd"/>
      <w:r w:rsidRPr="004A7DB0">
        <w:rPr>
          <w:szCs w:val="24"/>
        </w:rPr>
        <w:t>, G. A., Capuano, R., &amp; Muccini, H. (2026). Digital twins for cultural heritage: A systematic analysis of the state of the art. ACM Computing Surveys, 58(9). https://doi.org/10.1145/3793541</w:t>
      </w:r>
    </w:p>
    <w:p w14:paraId="358317D8" w14:textId="7AF558AA" w:rsidR="00F4353A" w:rsidRPr="004A7DB0" w:rsidRDefault="00000000" w:rsidP="004A7DB0">
      <w:pPr>
        <w:pStyle w:val="ae"/>
        <w:numPr>
          <w:ilvl w:val="0"/>
          <w:numId w:val="27"/>
        </w:numPr>
        <w:spacing w:line="228" w:lineRule="auto"/>
        <w:rPr>
          <w:szCs w:val="24"/>
        </w:rPr>
      </w:pPr>
      <w:r w:rsidRPr="004A7DB0">
        <w:rPr>
          <w:szCs w:val="24"/>
        </w:rPr>
        <w:t>European Commission. (2021). Commission Recommendation (EU) 2021/1970 of 10 November 2021 on a common European data space for cultural heritage. Official Journal of the European Union, L 401, 5–16. https://eur-lex.europa.eu/legal-content/EN/TXT/?uri=CELEX:32021H1970</w:t>
      </w:r>
    </w:p>
    <w:p w14:paraId="01369B67" w14:textId="4406CB43" w:rsidR="00F4353A" w:rsidRPr="004A7DB0" w:rsidRDefault="00000000" w:rsidP="004A7DB0">
      <w:pPr>
        <w:pStyle w:val="ae"/>
        <w:numPr>
          <w:ilvl w:val="0"/>
          <w:numId w:val="27"/>
        </w:numPr>
        <w:spacing w:line="228" w:lineRule="auto"/>
        <w:rPr>
          <w:szCs w:val="24"/>
        </w:rPr>
      </w:pPr>
      <w:r w:rsidRPr="004A7DB0">
        <w:rPr>
          <w:szCs w:val="24"/>
        </w:rPr>
        <w:t xml:space="preserve">European Commission. (2025). Horizon Europe Work Programme 2026–2027: 5. Culture, Creativity and Inclusive Society. European Commission Decision </w:t>
      </w:r>
      <w:proofErr w:type="gramStart"/>
      <w:r w:rsidRPr="004A7DB0">
        <w:rPr>
          <w:szCs w:val="24"/>
        </w:rPr>
        <w:t>C(</w:t>
      </w:r>
      <w:proofErr w:type="gramEnd"/>
      <w:r w:rsidRPr="004A7DB0">
        <w:rPr>
          <w:szCs w:val="24"/>
        </w:rPr>
        <w:t>2025) 8493 of 11 December 2025. https://ec.europa.eu/info/funding-tenders/opportunities/docs/2021-2027/horizon/wp-call/2026-2027/wp-5-culture-creativity-and-inclusive-society_horizon-2026-2027_en.pdf</w:t>
      </w:r>
    </w:p>
    <w:p w14:paraId="26F48168" w14:textId="170A61AF" w:rsidR="00F4353A" w:rsidRPr="004A7DB0" w:rsidRDefault="00000000" w:rsidP="004A7DB0">
      <w:pPr>
        <w:pStyle w:val="ae"/>
        <w:numPr>
          <w:ilvl w:val="0"/>
          <w:numId w:val="27"/>
        </w:numPr>
        <w:spacing w:line="228" w:lineRule="auto"/>
        <w:rPr>
          <w:szCs w:val="24"/>
        </w:rPr>
      </w:pPr>
      <w:r w:rsidRPr="004A7DB0">
        <w:rPr>
          <w:szCs w:val="24"/>
        </w:rPr>
        <w:lastRenderedPageBreak/>
        <w:t>European Commission. (2025). A Culture Compass for Europe. https://culture.ec.europa.eu/sites/default/files/2025-11/Communication%20-%20Culture%20Compass%20with%20cover_0.pdf</w:t>
      </w:r>
    </w:p>
    <w:p w14:paraId="0D153519" w14:textId="74F6AE39" w:rsidR="00F4353A" w:rsidRPr="004A7DB0" w:rsidRDefault="00000000" w:rsidP="004A7DB0">
      <w:pPr>
        <w:pStyle w:val="ae"/>
        <w:numPr>
          <w:ilvl w:val="0"/>
          <w:numId w:val="27"/>
        </w:numPr>
        <w:spacing w:line="228" w:lineRule="auto"/>
        <w:rPr>
          <w:szCs w:val="24"/>
        </w:rPr>
      </w:pPr>
      <w:r w:rsidRPr="004A7DB0">
        <w:rPr>
          <w:szCs w:val="24"/>
        </w:rPr>
        <w:t>European Commission. (2026a). Twin it! 3D for Europe’s Culture. Shaping Europe’s Digital Future. https://digital-strategy.ec.europa.eu/en/policies/twin-it</w:t>
      </w:r>
    </w:p>
    <w:p w14:paraId="01A2B58C" w14:textId="2B3655C7" w:rsidR="00F4353A" w:rsidRPr="004A7DB0" w:rsidRDefault="00000000" w:rsidP="004A7DB0">
      <w:pPr>
        <w:pStyle w:val="ae"/>
        <w:numPr>
          <w:ilvl w:val="0"/>
          <w:numId w:val="27"/>
        </w:numPr>
        <w:spacing w:line="228" w:lineRule="auto"/>
        <w:rPr>
          <w:szCs w:val="24"/>
        </w:rPr>
      </w:pPr>
      <w:r w:rsidRPr="004A7DB0">
        <w:rPr>
          <w:szCs w:val="24"/>
        </w:rPr>
        <w:t>European Commission. (2026b). Association to Horizon Europe. Directorate-General for Research and Innovation. https://research-and-innovation.ec.europa.eu/strategy/strategy-research-and-innovation/europe-world/international-cooperation/association-horizon-europe_en</w:t>
      </w:r>
    </w:p>
    <w:p w14:paraId="5A1B7331" w14:textId="0EF6282F" w:rsidR="00F4353A" w:rsidRPr="004A7DB0" w:rsidRDefault="00000000" w:rsidP="004A7DB0">
      <w:pPr>
        <w:pStyle w:val="ae"/>
        <w:numPr>
          <w:ilvl w:val="0"/>
          <w:numId w:val="27"/>
        </w:numPr>
        <w:spacing w:line="228" w:lineRule="auto"/>
        <w:rPr>
          <w:szCs w:val="24"/>
        </w:rPr>
      </w:pPr>
      <w:r w:rsidRPr="004A7DB0">
        <w:rPr>
          <w:szCs w:val="24"/>
        </w:rPr>
        <w:t xml:space="preserve">European Commission &amp; </w:t>
      </w:r>
      <w:proofErr w:type="spellStart"/>
      <w:r w:rsidRPr="004A7DB0">
        <w:rPr>
          <w:szCs w:val="24"/>
        </w:rPr>
        <w:t>Europeana</w:t>
      </w:r>
      <w:proofErr w:type="spellEnd"/>
      <w:r w:rsidRPr="004A7DB0">
        <w:rPr>
          <w:szCs w:val="24"/>
        </w:rPr>
        <w:t xml:space="preserve"> Foundation. (2026). The Common European Data Space for Cultural Heritage – Strategy 2025–2030. https://digital-strategy.ec.europa.eu/en/library/common-european-data-space-cultural-heritage-strategy-2025-2030</w:t>
      </w:r>
    </w:p>
    <w:p w14:paraId="6A1F1141" w14:textId="0F7335DE" w:rsidR="00F4353A" w:rsidRPr="004A7DB0" w:rsidRDefault="00000000" w:rsidP="004A7DB0">
      <w:pPr>
        <w:pStyle w:val="ae"/>
        <w:numPr>
          <w:ilvl w:val="0"/>
          <w:numId w:val="27"/>
        </w:numPr>
        <w:spacing w:line="228" w:lineRule="auto"/>
        <w:rPr>
          <w:szCs w:val="24"/>
        </w:rPr>
      </w:pPr>
      <w:proofErr w:type="spellStart"/>
      <w:r w:rsidRPr="004A7DB0">
        <w:rPr>
          <w:szCs w:val="24"/>
        </w:rPr>
        <w:t>Kantaros</w:t>
      </w:r>
      <w:proofErr w:type="spellEnd"/>
      <w:r w:rsidRPr="004A7DB0">
        <w:rPr>
          <w:szCs w:val="24"/>
        </w:rPr>
        <w:t xml:space="preserve">, A., Ganetsos, T., Nakou, S., &amp; Laskaris, N. (2026). Heritage 4.0: </w:t>
      </w:r>
      <w:proofErr w:type="gramStart"/>
      <w:r w:rsidRPr="004A7DB0">
        <w:rPr>
          <w:szCs w:val="24"/>
        </w:rPr>
        <w:t>How</w:t>
      </w:r>
      <w:proofErr w:type="gramEnd"/>
      <w:r w:rsidRPr="004A7DB0">
        <w:rPr>
          <w:szCs w:val="24"/>
        </w:rPr>
        <w:t xml:space="preserve"> applied 3D technologies and digital twins are redefining cultural preservation beyond replication. Heritage, 9(3), 123. https://doi.org/10.3390/heritage9030123</w:t>
      </w:r>
    </w:p>
    <w:p w14:paraId="44E5CE45" w14:textId="798B7DFD" w:rsidR="00F4353A" w:rsidRPr="004A7DB0" w:rsidRDefault="00000000" w:rsidP="004A7DB0">
      <w:pPr>
        <w:pStyle w:val="ae"/>
        <w:numPr>
          <w:ilvl w:val="0"/>
          <w:numId w:val="27"/>
        </w:numPr>
        <w:spacing w:line="228" w:lineRule="auto"/>
        <w:rPr>
          <w:szCs w:val="24"/>
        </w:rPr>
      </w:pPr>
      <w:r w:rsidRPr="004A7DB0">
        <w:rPr>
          <w:szCs w:val="24"/>
        </w:rPr>
        <w:t>Lombardi, M., Masini, N., &amp; Abate, N. (2026). Generative AI and 3D heritage virtual reconstructions: A pragmatic review. Heritage, 9(7), 246. https://doi.org/10.3390/heritage9070246</w:t>
      </w:r>
    </w:p>
    <w:p w14:paraId="3F26F6DF" w14:textId="7E3FC2E4" w:rsidR="00F4353A" w:rsidRPr="004A7DB0" w:rsidRDefault="00000000" w:rsidP="004A7DB0">
      <w:pPr>
        <w:pStyle w:val="ae"/>
        <w:numPr>
          <w:ilvl w:val="0"/>
          <w:numId w:val="27"/>
        </w:numPr>
        <w:spacing w:line="228" w:lineRule="auto"/>
        <w:rPr>
          <w:szCs w:val="24"/>
        </w:rPr>
      </w:pPr>
      <w:r w:rsidRPr="004A7DB0">
        <w:rPr>
          <w:szCs w:val="24"/>
        </w:rPr>
        <w:t>Luther, W., Baloian, N., Biella, D., &amp; Sacher, D. (2023). Digital twins and enabling technologies in museums and cultural heritage: An overview. Sensors, 23(3), 1583. https://doi.org/10.3390/s23031583</w:t>
      </w:r>
    </w:p>
    <w:p w14:paraId="54D99FA1" w14:textId="55229CC4" w:rsidR="00F4353A" w:rsidRPr="004A7DB0" w:rsidRDefault="00000000" w:rsidP="004A7DB0">
      <w:pPr>
        <w:pStyle w:val="ae"/>
        <w:numPr>
          <w:ilvl w:val="0"/>
          <w:numId w:val="27"/>
        </w:numPr>
        <w:spacing w:line="228" w:lineRule="auto"/>
        <w:rPr>
          <w:szCs w:val="24"/>
        </w:rPr>
      </w:pPr>
      <w:proofErr w:type="spellStart"/>
      <w:r w:rsidRPr="004A7DB0">
        <w:rPr>
          <w:szCs w:val="24"/>
        </w:rPr>
        <w:t>Mazzetto</w:t>
      </w:r>
      <w:proofErr w:type="spellEnd"/>
      <w:r w:rsidRPr="004A7DB0">
        <w:rPr>
          <w:szCs w:val="24"/>
        </w:rPr>
        <w:t>, S. (2024). Integrating emerging technologies with digital twins for heritage building conservation: An interdisciplinary approach with expert insights and bibliometric analysis. Heritage, 7(11), 6432–6479. https://doi.org/10.3390/heritage7110300</w:t>
      </w:r>
    </w:p>
    <w:p w14:paraId="3BCDBC6E" w14:textId="187A9B74" w:rsidR="00F4353A" w:rsidRPr="004A7DB0" w:rsidRDefault="00000000" w:rsidP="004A7DB0">
      <w:pPr>
        <w:pStyle w:val="ae"/>
        <w:numPr>
          <w:ilvl w:val="0"/>
          <w:numId w:val="27"/>
        </w:numPr>
        <w:spacing w:line="228" w:lineRule="auto"/>
        <w:rPr>
          <w:szCs w:val="24"/>
        </w:rPr>
      </w:pPr>
      <w:r w:rsidRPr="004A7DB0">
        <w:rPr>
          <w:szCs w:val="24"/>
        </w:rPr>
        <w:t>Reuters. (2024, October 28). Russia bomb attack shatters historic building in Ukraine’s Kharkiv. https://www.reuters.com/world/europe/russia-air-attacks-pound-kharkiv-injure-several-people-ukraines-officials-say-2024-10-28/</w:t>
      </w:r>
    </w:p>
    <w:p w14:paraId="5EC292BD" w14:textId="2EE363D2" w:rsidR="00F4353A" w:rsidRPr="004A7DB0" w:rsidRDefault="00000000" w:rsidP="004A7DB0">
      <w:pPr>
        <w:pStyle w:val="ae"/>
        <w:numPr>
          <w:ilvl w:val="0"/>
          <w:numId w:val="27"/>
        </w:numPr>
        <w:spacing w:line="228" w:lineRule="auto"/>
        <w:rPr>
          <w:szCs w:val="24"/>
        </w:rPr>
      </w:pPr>
      <w:proofErr w:type="spellStart"/>
      <w:r w:rsidRPr="004A7DB0">
        <w:rPr>
          <w:szCs w:val="24"/>
        </w:rPr>
        <w:t>Tootoonchi</w:t>
      </w:r>
      <w:proofErr w:type="spellEnd"/>
      <w:r w:rsidRPr="004A7DB0">
        <w:rPr>
          <w:szCs w:val="24"/>
        </w:rPr>
        <w:t>, R., &amp; Hess, M. (2026). Digital twin in heritage buildings: A comparative literature review of integrated technologies, devices, and applications (2020–2025). ISPRS Annals of the Photogrammetry, Remote Sensing and Spatial Information Sciences, XI-4-2026, 435–441. https://doi.org/10.5194/isprs-annals-XI-4-2026-435-2026</w:t>
      </w:r>
    </w:p>
    <w:p w14:paraId="69844123" w14:textId="6B81BAD9" w:rsidR="00F4353A" w:rsidRPr="004A7DB0" w:rsidRDefault="00000000" w:rsidP="004A7DB0">
      <w:pPr>
        <w:pStyle w:val="ae"/>
        <w:numPr>
          <w:ilvl w:val="0"/>
          <w:numId w:val="27"/>
        </w:numPr>
        <w:spacing w:line="228" w:lineRule="auto"/>
        <w:rPr>
          <w:szCs w:val="24"/>
        </w:rPr>
      </w:pPr>
      <w:r w:rsidRPr="004A7DB0">
        <w:rPr>
          <w:szCs w:val="24"/>
        </w:rPr>
        <w:t>UNESCO. (2024). Ukraine: UNESCO estimates the damage to culture and tourism after 2 years of war at $3.5 billion. https://www.unesco.org/en/articles/ukraine-unesco-estimates-damage-culture-and-tourism-after-2-years-war-35-billion</w:t>
      </w:r>
    </w:p>
    <w:p w14:paraId="11C3CBD0" w14:textId="1B9404CB" w:rsidR="00F4353A" w:rsidRPr="004A7DB0" w:rsidRDefault="00000000" w:rsidP="004A7DB0">
      <w:pPr>
        <w:pStyle w:val="ae"/>
        <w:numPr>
          <w:ilvl w:val="0"/>
          <w:numId w:val="27"/>
        </w:numPr>
        <w:spacing w:line="228" w:lineRule="auto"/>
        <w:rPr>
          <w:szCs w:val="24"/>
        </w:rPr>
      </w:pPr>
      <w:r w:rsidRPr="004A7DB0">
        <w:rPr>
          <w:szCs w:val="24"/>
        </w:rPr>
        <w:t>UNESCO. (2026a). Damaged cultural sites in Ukraine verified by UNESCO. Last updated 30 July 2026. https://www.unesco.org/en/ukraine-war/damaged-cultural-sites</w:t>
      </w:r>
    </w:p>
    <w:p w14:paraId="1F6E93DA" w14:textId="2F8072A2" w:rsidR="00F4353A" w:rsidRPr="004A7DB0" w:rsidRDefault="00000000" w:rsidP="004A7DB0">
      <w:pPr>
        <w:pStyle w:val="ae"/>
        <w:numPr>
          <w:ilvl w:val="0"/>
          <w:numId w:val="27"/>
        </w:numPr>
        <w:spacing w:line="228" w:lineRule="auto"/>
        <w:rPr>
          <w:szCs w:val="24"/>
        </w:rPr>
      </w:pPr>
      <w:r w:rsidRPr="004A7DB0">
        <w:rPr>
          <w:szCs w:val="24"/>
        </w:rPr>
        <w:t>UNESCO. (2026b). Rapid damage and needs assessment for culture in Ukraine. Heritage Emergency Fund. https://www.unesco.org/en/culture-emergencies/heritage-emergency-fund/rapid-damage-and-needs-assessment-culture-ukraine</w:t>
      </w:r>
    </w:p>
    <w:p w14:paraId="702AC8E4" w14:textId="414C4569" w:rsidR="00F4353A" w:rsidRPr="004A7DB0" w:rsidRDefault="00000000" w:rsidP="004A7DB0">
      <w:pPr>
        <w:pStyle w:val="ae"/>
        <w:numPr>
          <w:ilvl w:val="0"/>
          <w:numId w:val="27"/>
        </w:numPr>
        <w:spacing w:line="228" w:lineRule="auto"/>
        <w:rPr>
          <w:szCs w:val="24"/>
        </w:rPr>
      </w:pPr>
      <w:proofErr w:type="spellStart"/>
      <w:r w:rsidRPr="004A7DB0">
        <w:rPr>
          <w:szCs w:val="24"/>
        </w:rPr>
        <w:t>Vuoto</w:t>
      </w:r>
      <w:proofErr w:type="spellEnd"/>
      <w:r w:rsidRPr="004A7DB0">
        <w:rPr>
          <w:szCs w:val="24"/>
        </w:rPr>
        <w:t>, A., Funari, M. F., &amp; Lourenço, P. B. (2023). Shaping digital twin concept for built cultural heritage conservation: A systematic literature review. International Journal of Architectural Heritage. https://doi.org/10.1080/15583058.2023.2258084</w:t>
      </w:r>
    </w:p>
    <w:sectPr w:rsidR="00F4353A" w:rsidRPr="004A7DB0" w:rsidSect="00034616">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CB958" w14:textId="77777777" w:rsidR="00277175" w:rsidRDefault="00277175">
      <w:r>
        <w:separator/>
      </w:r>
    </w:p>
  </w:endnote>
  <w:endnote w:type="continuationSeparator" w:id="0">
    <w:p w14:paraId="5779019A" w14:textId="77777777" w:rsidR="00277175" w:rsidRDefault="0027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7A62" w14:textId="77777777" w:rsidR="00277175" w:rsidRDefault="00277175">
      <w:r>
        <w:separator/>
      </w:r>
    </w:p>
  </w:footnote>
  <w:footnote w:type="continuationSeparator" w:id="0">
    <w:p w14:paraId="39B15C23" w14:textId="77777777" w:rsidR="00277175" w:rsidRDefault="002771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2C3AD5"/>
    <w:multiLevelType w:val="hybridMultilevel"/>
    <w:tmpl w:val="E79266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16A4B1E"/>
    <w:multiLevelType w:val="hybridMultilevel"/>
    <w:tmpl w:val="26B66B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BF23D0E"/>
    <w:multiLevelType w:val="hybridMultilevel"/>
    <w:tmpl w:val="031CA222"/>
    <w:lvl w:ilvl="0" w:tplc="04220001">
      <w:start w:val="1"/>
      <w:numFmt w:val="bullet"/>
      <w:lvlText w:val=""/>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12" w15:restartNumberingAfterBreak="0">
    <w:nsid w:val="26802C29"/>
    <w:multiLevelType w:val="hybridMultilevel"/>
    <w:tmpl w:val="95766D4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6CF07C3"/>
    <w:multiLevelType w:val="hybridMultilevel"/>
    <w:tmpl w:val="E00858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443273D"/>
    <w:multiLevelType w:val="hybridMultilevel"/>
    <w:tmpl w:val="3064B2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4A96DC6"/>
    <w:multiLevelType w:val="hybridMultilevel"/>
    <w:tmpl w:val="116CBABC"/>
    <w:lvl w:ilvl="0" w:tplc="0422000F">
      <w:start w:val="1"/>
      <w:numFmt w:val="decimal"/>
      <w:lvlText w:val="%1."/>
      <w:lvlJc w:val="left"/>
      <w:pPr>
        <w:ind w:left="720" w:hanging="360"/>
      </w:pPr>
      <w:rPr>
        <w:rFonts w:hint="default"/>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5471505"/>
    <w:multiLevelType w:val="hybridMultilevel"/>
    <w:tmpl w:val="402E89CC"/>
    <w:lvl w:ilvl="0" w:tplc="04220001">
      <w:start w:val="1"/>
      <w:numFmt w:val="bullet"/>
      <w:lvlText w:val=""/>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17" w15:restartNumberingAfterBreak="0">
    <w:nsid w:val="3C23465D"/>
    <w:multiLevelType w:val="hybridMultilevel"/>
    <w:tmpl w:val="7DEA15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FB55F7"/>
    <w:multiLevelType w:val="hybridMultilevel"/>
    <w:tmpl w:val="345AE2A0"/>
    <w:lvl w:ilvl="0" w:tplc="04220001">
      <w:start w:val="1"/>
      <w:numFmt w:val="bullet"/>
      <w:lvlText w:val=""/>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19" w15:restartNumberingAfterBreak="0">
    <w:nsid w:val="49DB2D37"/>
    <w:multiLevelType w:val="hybridMultilevel"/>
    <w:tmpl w:val="8FA420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A1262D2"/>
    <w:multiLevelType w:val="hybridMultilevel"/>
    <w:tmpl w:val="E08A9E38"/>
    <w:lvl w:ilvl="0" w:tplc="04220001">
      <w:start w:val="1"/>
      <w:numFmt w:val="bullet"/>
      <w:lvlText w:val=""/>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21" w15:restartNumberingAfterBreak="0">
    <w:nsid w:val="508D0711"/>
    <w:multiLevelType w:val="hybridMultilevel"/>
    <w:tmpl w:val="71AC5D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5FC73F0"/>
    <w:multiLevelType w:val="hybridMultilevel"/>
    <w:tmpl w:val="FCA276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3FA3BF8"/>
    <w:multiLevelType w:val="hybridMultilevel"/>
    <w:tmpl w:val="B494203C"/>
    <w:lvl w:ilvl="0" w:tplc="04220001">
      <w:start w:val="1"/>
      <w:numFmt w:val="bullet"/>
      <w:lvlText w:val=""/>
      <w:lvlJc w:val="left"/>
      <w:pPr>
        <w:ind w:left="864" w:hanging="360"/>
      </w:pPr>
      <w:rPr>
        <w:rFonts w:ascii="Symbol" w:hAnsi="Symbol" w:hint="default"/>
      </w:rPr>
    </w:lvl>
    <w:lvl w:ilvl="1" w:tplc="04220003" w:tentative="1">
      <w:start w:val="1"/>
      <w:numFmt w:val="bullet"/>
      <w:lvlText w:val="o"/>
      <w:lvlJc w:val="left"/>
      <w:pPr>
        <w:ind w:left="1584" w:hanging="360"/>
      </w:pPr>
      <w:rPr>
        <w:rFonts w:ascii="Courier New" w:hAnsi="Courier New" w:cs="Courier New" w:hint="default"/>
      </w:rPr>
    </w:lvl>
    <w:lvl w:ilvl="2" w:tplc="04220005" w:tentative="1">
      <w:start w:val="1"/>
      <w:numFmt w:val="bullet"/>
      <w:lvlText w:val=""/>
      <w:lvlJc w:val="left"/>
      <w:pPr>
        <w:ind w:left="2304" w:hanging="360"/>
      </w:pPr>
      <w:rPr>
        <w:rFonts w:ascii="Wingdings" w:hAnsi="Wingdings" w:hint="default"/>
      </w:rPr>
    </w:lvl>
    <w:lvl w:ilvl="3" w:tplc="04220001" w:tentative="1">
      <w:start w:val="1"/>
      <w:numFmt w:val="bullet"/>
      <w:lvlText w:val=""/>
      <w:lvlJc w:val="left"/>
      <w:pPr>
        <w:ind w:left="3024" w:hanging="360"/>
      </w:pPr>
      <w:rPr>
        <w:rFonts w:ascii="Symbol" w:hAnsi="Symbol" w:hint="default"/>
      </w:rPr>
    </w:lvl>
    <w:lvl w:ilvl="4" w:tplc="04220003" w:tentative="1">
      <w:start w:val="1"/>
      <w:numFmt w:val="bullet"/>
      <w:lvlText w:val="o"/>
      <w:lvlJc w:val="left"/>
      <w:pPr>
        <w:ind w:left="3744" w:hanging="360"/>
      </w:pPr>
      <w:rPr>
        <w:rFonts w:ascii="Courier New" w:hAnsi="Courier New" w:cs="Courier New" w:hint="default"/>
      </w:rPr>
    </w:lvl>
    <w:lvl w:ilvl="5" w:tplc="04220005" w:tentative="1">
      <w:start w:val="1"/>
      <w:numFmt w:val="bullet"/>
      <w:lvlText w:val=""/>
      <w:lvlJc w:val="left"/>
      <w:pPr>
        <w:ind w:left="4464" w:hanging="360"/>
      </w:pPr>
      <w:rPr>
        <w:rFonts w:ascii="Wingdings" w:hAnsi="Wingdings" w:hint="default"/>
      </w:rPr>
    </w:lvl>
    <w:lvl w:ilvl="6" w:tplc="04220001" w:tentative="1">
      <w:start w:val="1"/>
      <w:numFmt w:val="bullet"/>
      <w:lvlText w:val=""/>
      <w:lvlJc w:val="left"/>
      <w:pPr>
        <w:ind w:left="5184" w:hanging="360"/>
      </w:pPr>
      <w:rPr>
        <w:rFonts w:ascii="Symbol" w:hAnsi="Symbol" w:hint="default"/>
      </w:rPr>
    </w:lvl>
    <w:lvl w:ilvl="7" w:tplc="04220003" w:tentative="1">
      <w:start w:val="1"/>
      <w:numFmt w:val="bullet"/>
      <w:lvlText w:val="o"/>
      <w:lvlJc w:val="left"/>
      <w:pPr>
        <w:ind w:left="5904" w:hanging="360"/>
      </w:pPr>
      <w:rPr>
        <w:rFonts w:ascii="Courier New" w:hAnsi="Courier New" w:cs="Courier New" w:hint="default"/>
      </w:rPr>
    </w:lvl>
    <w:lvl w:ilvl="8" w:tplc="04220005" w:tentative="1">
      <w:start w:val="1"/>
      <w:numFmt w:val="bullet"/>
      <w:lvlText w:val=""/>
      <w:lvlJc w:val="left"/>
      <w:pPr>
        <w:ind w:left="6624" w:hanging="360"/>
      </w:pPr>
      <w:rPr>
        <w:rFonts w:ascii="Wingdings" w:hAnsi="Wingdings" w:hint="default"/>
      </w:rPr>
    </w:lvl>
  </w:abstractNum>
  <w:abstractNum w:abstractNumId="24" w15:restartNumberingAfterBreak="0">
    <w:nsid w:val="6A225696"/>
    <w:multiLevelType w:val="hybridMultilevel"/>
    <w:tmpl w:val="1232647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D966B5C"/>
    <w:multiLevelType w:val="hybridMultilevel"/>
    <w:tmpl w:val="28604762"/>
    <w:lvl w:ilvl="0" w:tplc="0422000F">
      <w:start w:val="1"/>
      <w:numFmt w:val="decimal"/>
      <w:lvlText w:val="%1."/>
      <w:lvlJc w:val="left"/>
      <w:pPr>
        <w:ind w:left="720" w:hanging="360"/>
      </w:pPr>
      <w:rPr>
        <w:rFonts w:hint="default"/>
      </w:rPr>
    </w:lvl>
    <w:lvl w:ilvl="1" w:tplc="D2243AEC">
      <w:start w:val="3"/>
      <w:numFmt w:val="bullet"/>
      <w:lvlText w:val="•"/>
      <w:lvlJc w:val="left"/>
      <w:pPr>
        <w:ind w:left="1440" w:hanging="360"/>
      </w:pPr>
      <w:rPr>
        <w:rFonts w:ascii="Times New Roman" w:eastAsiaTheme="minorEastAsia"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E3B228D"/>
    <w:multiLevelType w:val="hybridMultilevel"/>
    <w:tmpl w:val="46CA2A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941956483">
    <w:abstractNumId w:val="8"/>
  </w:num>
  <w:num w:numId="2" w16cid:durableId="1044793689">
    <w:abstractNumId w:val="6"/>
  </w:num>
  <w:num w:numId="3" w16cid:durableId="149518213">
    <w:abstractNumId w:val="5"/>
  </w:num>
  <w:num w:numId="4" w16cid:durableId="1358114970">
    <w:abstractNumId w:val="4"/>
  </w:num>
  <w:num w:numId="5" w16cid:durableId="78799448">
    <w:abstractNumId w:val="7"/>
  </w:num>
  <w:num w:numId="6" w16cid:durableId="723141636">
    <w:abstractNumId w:val="3"/>
  </w:num>
  <w:num w:numId="7" w16cid:durableId="915357961">
    <w:abstractNumId w:val="2"/>
  </w:num>
  <w:num w:numId="8" w16cid:durableId="1001934211">
    <w:abstractNumId w:val="1"/>
  </w:num>
  <w:num w:numId="9" w16cid:durableId="1129710949">
    <w:abstractNumId w:val="0"/>
  </w:num>
  <w:num w:numId="10" w16cid:durableId="149291670">
    <w:abstractNumId w:val="22"/>
  </w:num>
  <w:num w:numId="11" w16cid:durableId="724842540">
    <w:abstractNumId w:val="25"/>
  </w:num>
  <w:num w:numId="12" w16cid:durableId="1379352656">
    <w:abstractNumId w:val="10"/>
  </w:num>
  <w:num w:numId="13" w16cid:durableId="1374423323">
    <w:abstractNumId w:val="9"/>
  </w:num>
  <w:num w:numId="14" w16cid:durableId="93674973">
    <w:abstractNumId w:val="14"/>
  </w:num>
  <w:num w:numId="15" w16cid:durableId="112984308">
    <w:abstractNumId w:val="21"/>
  </w:num>
  <w:num w:numId="16" w16cid:durableId="989404136">
    <w:abstractNumId w:val="19"/>
  </w:num>
  <w:num w:numId="17" w16cid:durableId="1282833783">
    <w:abstractNumId w:val="26"/>
  </w:num>
  <w:num w:numId="18" w16cid:durableId="235015622">
    <w:abstractNumId w:val="13"/>
  </w:num>
  <w:num w:numId="19" w16cid:durableId="335888019">
    <w:abstractNumId w:val="17"/>
  </w:num>
  <w:num w:numId="20" w16cid:durableId="132406156">
    <w:abstractNumId w:val="23"/>
  </w:num>
  <w:num w:numId="21" w16cid:durableId="628897819">
    <w:abstractNumId w:val="16"/>
  </w:num>
  <w:num w:numId="22" w16cid:durableId="47387854">
    <w:abstractNumId w:val="18"/>
  </w:num>
  <w:num w:numId="23" w16cid:durableId="64691209">
    <w:abstractNumId w:val="20"/>
  </w:num>
  <w:num w:numId="24" w16cid:durableId="1151290950">
    <w:abstractNumId w:val="11"/>
  </w:num>
  <w:num w:numId="25" w16cid:durableId="1243837675">
    <w:abstractNumId w:val="12"/>
  </w:num>
  <w:num w:numId="26" w16cid:durableId="1734622648">
    <w:abstractNumId w:val="15"/>
  </w:num>
  <w:num w:numId="27" w16cid:durableId="20824805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10D"/>
    <w:rsid w:val="0015074B"/>
    <w:rsid w:val="00277175"/>
    <w:rsid w:val="0029639D"/>
    <w:rsid w:val="002B6784"/>
    <w:rsid w:val="002D2C18"/>
    <w:rsid w:val="00326F90"/>
    <w:rsid w:val="004A7DB0"/>
    <w:rsid w:val="0064003F"/>
    <w:rsid w:val="008333F1"/>
    <w:rsid w:val="0094438E"/>
    <w:rsid w:val="00AA1D8D"/>
    <w:rsid w:val="00B47730"/>
    <w:rsid w:val="00CB0664"/>
    <w:rsid w:val="00F435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7379F"/>
  <w14:defaultImageDpi w14:val="300"/>
  <w15:docId w15:val="{C6C76E60-9395-419A-8F3D-1C2A5B45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ind w:firstLine="720"/>
      <w:jc w:val="both"/>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MHeading">
    <w:name w:val="HM Heading"/>
    <w:pPr>
      <w:spacing w:before="100" w:after="80" w:line="240" w:lineRule="auto"/>
      <w:ind w:firstLine="720"/>
    </w:pPr>
    <w:rPr>
      <w:rFonts w:ascii="Times New Roman" w:hAnsi="Times New Roman"/>
      <w:b/>
      <w:sz w:val="28"/>
    </w:rPr>
  </w:style>
  <w:style w:type="paragraph" w:customStyle="1" w:styleId="HMSubheading">
    <w:name w:val="HM Subheading"/>
    <w:pPr>
      <w:spacing w:before="80" w:after="40" w:line="240" w:lineRule="auto"/>
      <w:ind w:firstLine="720"/>
    </w:pPr>
    <w:rPr>
      <w:rFonts w:ascii="Times New Roman" w:hAnsi="Times New Roman"/>
      <w:b/>
      <w:sz w:val="24"/>
    </w:rPr>
  </w:style>
  <w:style w:type="character" w:styleId="affa">
    <w:name w:val="Hyperlink"/>
    <w:basedOn w:val="a2"/>
    <w:uiPriority w:val="99"/>
    <w:unhideWhenUsed/>
    <w:rsid w:val="0064003F"/>
    <w:rPr>
      <w:color w:val="0000FF" w:themeColor="hyperlink"/>
      <w:u w:val="single"/>
    </w:rPr>
  </w:style>
  <w:style w:type="character" w:styleId="affb">
    <w:name w:val="Unresolved Mention"/>
    <w:basedOn w:val="a2"/>
    <w:uiPriority w:val="99"/>
    <w:semiHidden/>
    <w:unhideWhenUsed/>
    <w:rsid w:val="00640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screen/opportunities/topic-details/HORIZON-CL2-2026-01-HERITAGE-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29489</Words>
  <Characters>16810</Characters>
  <Application>Microsoft Office Word</Application>
  <DocSecurity>0</DocSecurity>
  <Lines>140</Lines>
  <Paragraphs>92</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Heritage Marker: Global Cooperation for Cultural Resilience</vt:lpstr>
      <vt:lpstr/>
    </vt:vector>
  </TitlesOfParts>
  <Manager/>
  <Company/>
  <LinksUpToDate>false</LinksUpToDate>
  <CharactersWithSpaces>46207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Marker: Global Cooperation for Cultural Resilience</dc:title>
  <dc:creator>Oleg Kunitsyn</dc:creator>
  <cp:keywords/>
  <cp:lastModifiedBy>Oleg Kunitsyn</cp:lastModifiedBy>
  <cp:revision>2</cp:revision>
  <dcterms:created xsi:type="dcterms:W3CDTF">2026-08-25T12:42:00Z</dcterms:created>
  <dcterms:modified xsi:type="dcterms:W3CDTF">2026-08-25T12:42:00Z</dcterms:modified>
  <cp:category/>
</cp:coreProperties>
</file>