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C806E" w14:textId="77777777" w:rsidR="001D3D28" w:rsidRDefault="001D3D28" w:rsidP="001D3D28">
      <w:pPr>
        <w:spacing w:after="160"/>
        <w:jc w:val="center"/>
        <w:rPr>
          <w:rFonts w:ascii="Calibri" w:eastAsia="Calibri" w:hAnsi="Calibri" w:cs="Calibri"/>
          <w:i/>
          <w:iCs/>
          <w:color w:val="F1591C"/>
          <w:sz w:val="22"/>
          <w:szCs w:val="22"/>
        </w:rPr>
      </w:pPr>
      <w:r>
        <w:rPr>
          <w:rFonts w:ascii="Bookman Old Style" w:eastAsia="Bookman Old Style" w:hAnsi="Bookman Old Style" w:cs="Bookman Old Style"/>
          <w:b/>
          <w:bCs/>
          <w:noProof/>
          <w:color w:val="1E2430"/>
          <w:sz w:val="52"/>
          <w:szCs w:val="52"/>
        </w:rPr>
        <w:drawing>
          <wp:inline distT="0" distB="0" distL="0" distR="0" wp14:anchorId="0C92A245" wp14:editId="2EC71AF6">
            <wp:extent cx="3154680" cy="922020"/>
            <wp:effectExtent l="0" t="0" r="7620" b="0"/>
            <wp:docPr id="2763102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4680" cy="922020"/>
                    </a:xfrm>
                    <a:prstGeom prst="rect">
                      <a:avLst/>
                    </a:prstGeom>
                    <a:noFill/>
                    <a:ln>
                      <a:noFill/>
                    </a:ln>
                  </pic:spPr>
                </pic:pic>
              </a:graphicData>
            </a:graphic>
          </wp:inline>
        </w:drawing>
      </w:r>
    </w:p>
    <w:p w14:paraId="032E18AC" w14:textId="77777777" w:rsidR="001D3D28" w:rsidRDefault="001D3D28">
      <w:pPr>
        <w:spacing w:after="220" w:line="280" w:lineRule="auto"/>
        <w:rPr>
          <w:rFonts w:ascii="Calibri" w:eastAsia="Calibri" w:hAnsi="Calibri" w:cs="Calibri"/>
          <w:i/>
          <w:iCs/>
          <w:color w:val="20232B"/>
          <w:sz w:val="21"/>
          <w:szCs w:val="21"/>
        </w:rPr>
      </w:pPr>
    </w:p>
    <w:p w14:paraId="332BD6EA" w14:textId="18FE80D6" w:rsidR="00213CA5" w:rsidRDefault="00000000">
      <w:pPr>
        <w:spacing w:after="220" w:line="280" w:lineRule="auto"/>
      </w:pPr>
      <w:r>
        <w:rPr>
          <w:rFonts w:ascii="Calibri" w:eastAsia="Calibri" w:hAnsi="Calibri" w:cs="Calibri"/>
          <w:i/>
          <w:iCs/>
          <w:color w:val="20232B"/>
          <w:sz w:val="21"/>
          <w:szCs w:val="21"/>
        </w:rPr>
        <w:t>M</w:t>
      </w:r>
      <w:r w:rsidR="001D3D28">
        <w:rPr>
          <w:rFonts w:ascii="Calibri" w:eastAsia="Calibri" w:hAnsi="Calibri" w:cs="Calibri"/>
          <w:i/>
          <w:iCs/>
          <w:color w:val="20232B"/>
          <w:sz w:val="21"/>
          <w:szCs w:val="21"/>
        </w:rPr>
        <w:t>ore</w:t>
      </w:r>
      <w:r>
        <w:rPr>
          <w:rFonts w:ascii="Calibri" w:eastAsia="Calibri" w:hAnsi="Calibri" w:cs="Calibri"/>
          <w:i/>
          <w:iCs/>
          <w:color w:val="20232B"/>
          <w:sz w:val="21"/>
          <w:szCs w:val="21"/>
        </w:rPr>
        <w:t xml:space="preserve"> Classifieds</w:t>
      </w:r>
      <w:r w:rsidR="001D3D28">
        <w:rPr>
          <w:rFonts w:ascii="Calibri" w:eastAsia="Calibri" w:hAnsi="Calibri" w:cs="Calibri"/>
          <w:i/>
          <w:iCs/>
          <w:color w:val="20232B"/>
          <w:sz w:val="21"/>
          <w:szCs w:val="21"/>
        </w:rPr>
        <w:t xml:space="preserve"> Agency </w:t>
      </w:r>
      <w:r>
        <w:rPr>
          <w:rFonts w:ascii="Calibri" w:eastAsia="Calibri" w:hAnsi="Calibri" w:cs="Calibri"/>
          <w:i/>
          <w:iCs/>
          <w:color w:val="20232B"/>
          <w:sz w:val="21"/>
          <w:szCs w:val="21"/>
        </w:rPr>
        <w:t xml:space="preserve"> is a Kenya-based digital </w:t>
      </w:r>
      <w:r w:rsidR="001D3D28">
        <w:rPr>
          <w:rFonts w:ascii="Calibri" w:eastAsia="Calibri" w:hAnsi="Calibri" w:cs="Calibri"/>
          <w:i/>
          <w:iCs/>
          <w:color w:val="20232B"/>
          <w:sz w:val="21"/>
          <w:szCs w:val="21"/>
        </w:rPr>
        <w:t>Marketing Firm  a powerful growth engine for business whose focus is ,</w:t>
      </w:r>
      <w:r>
        <w:rPr>
          <w:rFonts w:ascii="Calibri" w:eastAsia="Calibri" w:hAnsi="Calibri" w:cs="Calibri"/>
          <w:i/>
          <w:iCs/>
          <w:color w:val="20232B"/>
          <w:sz w:val="21"/>
          <w:szCs w:val="21"/>
        </w:rPr>
        <w:t xml:space="preserve">to unlock </w:t>
      </w:r>
      <w:r w:rsidR="001D3D28">
        <w:rPr>
          <w:rFonts w:ascii="Calibri" w:eastAsia="Calibri" w:hAnsi="Calibri" w:cs="Calibri"/>
          <w:i/>
          <w:iCs/>
          <w:color w:val="20232B"/>
          <w:sz w:val="21"/>
          <w:szCs w:val="21"/>
        </w:rPr>
        <w:t xml:space="preserve"> the gaps between businesses and customers by offering </w:t>
      </w:r>
      <w:r>
        <w:rPr>
          <w:rFonts w:ascii="Calibri" w:eastAsia="Calibri" w:hAnsi="Calibri" w:cs="Calibri"/>
          <w:i/>
          <w:iCs/>
          <w:color w:val="20232B"/>
          <w:sz w:val="21"/>
          <w:szCs w:val="21"/>
        </w:rPr>
        <w:t xml:space="preserve">verified listings, trusted agents, and opportunity across </w:t>
      </w:r>
      <w:r w:rsidR="001D3D28">
        <w:rPr>
          <w:rFonts w:ascii="Calibri" w:eastAsia="Calibri" w:hAnsi="Calibri" w:cs="Calibri"/>
          <w:i/>
          <w:iCs/>
          <w:color w:val="20232B"/>
          <w:sz w:val="21"/>
          <w:szCs w:val="21"/>
        </w:rPr>
        <w:t xml:space="preserve">all business sectors. </w:t>
      </w:r>
      <w:r>
        <w:rPr>
          <w:rFonts w:ascii="Calibri" w:eastAsia="Calibri" w:hAnsi="Calibri" w:cs="Calibri"/>
          <w:i/>
          <w:iCs/>
          <w:color w:val="20232B"/>
          <w:sz w:val="21"/>
          <w:szCs w:val="21"/>
        </w:rPr>
        <w:t xml:space="preserve">. An active, revenue-generating </w:t>
      </w:r>
      <w:r w:rsidR="001D3D28">
        <w:rPr>
          <w:rFonts w:ascii="Calibri" w:eastAsia="Calibri" w:hAnsi="Calibri" w:cs="Calibri"/>
          <w:i/>
          <w:iCs/>
          <w:color w:val="20232B"/>
          <w:sz w:val="21"/>
          <w:szCs w:val="21"/>
        </w:rPr>
        <w:t>business listing</w:t>
      </w:r>
      <w:r>
        <w:rPr>
          <w:rFonts w:ascii="Calibri" w:eastAsia="Calibri" w:hAnsi="Calibri" w:cs="Calibri"/>
          <w:i/>
          <w:iCs/>
          <w:color w:val="20232B"/>
          <w:sz w:val="21"/>
          <w:szCs w:val="21"/>
        </w:rPr>
        <w:t xml:space="preserve"> vertical gives the platform a live core from day </w:t>
      </w:r>
      <w:proofErr w:type="gramStart"/>
      <w:r>
        <w:rPr>
          <w:rFonts w:ascii="Calibri" w:eastAsia="Calibri" w:hAnsi="Calibri" w:cs="Calibri"/>
          <w:i/>
          <w:iCs/>
          <w:color w:val="20232B"/>
          <w:sz w:val="21"/>
          <w:szCs w:val="21"/>
        </w:rPr>
        <w:t>one  not</w:t>
      </w:r>
      <w:proofErr w:type="gramEnd"/>
      <w:r>
        <w:rPr>
          <w:rFonts w:ascii="Calibri" w:eastAsia="Calibri" w:hAnsi="Calibri" w:cs="Calibri"/>
          <w:i/>
          <w:iCs/>
          <w:color w:val="20232B"/>
          <w:sz w:val="21"/>
          <w:szCs w:val="21"/>
        </w:rPr>
        <w:t xml:space="preserve"> a cold-start marketplace.</w:t>
      </w:r>
    </w:p>
    <w:tbl>
      <w:tblPr>
        <w:tblW w:w="960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3200"/>
        <w:gridCol w:w="3200"/>
      </w:tblGrid>
      <w:tr w:rsidR="00213CA5" w14:paraId="172D1C15" w14:textId="77777777">
        <w:tblPrEx>
          <w:tblCellMar>
            <w:top w:w="0" w:type="dxa"/>
            <w:bottom w:w="0" w:type="dxa"/>
          </w:tblCellMar>
        </w:tblPrEx>
        <w:tc>
          <w:tcPr>
            <w:tcW w:w="3120" w:type="dxa"/>
            <w:shd w:val="clear" w:color="auto" w:fill="F0F1EE"/>
            <w:tcMar>
              <w:top w:w="160" w:type="dxa"/>
              <w:left w:w="180" w:type="dxa"/>
              <w:bottom w:w="160" w:type="dxa"/>
              <w:right w:w="180" w:type="dxa"/>
            </w:tcMar>
          </w:tcPr>
          <w:p w14:paraId="33E0AC12" w14:textId="5DD8CEE4" w:rsidR="00213CA5" w:rsidRDefault="00000000">
            <w:pPr>
              <w:spacing w:after="40"/>
            </w:pPr>
            <w:r>
              <w:rPr>
                <w:rFonts w:ascii="Bookman Old Style" w:eastAsia="Bookman Old Style" w:hAnsi="Bookman Old Style" w:cs="Bookman Old Style"/>
                <w:b/>
                <w:bCs/>
                <w:color w:val="F1591C"/>
                <w:sz w:val="32"/>
                <w:szCs w:val="32"/>
              </w:rPr>
              <w:t xml:space="preserve">USD </w:t>
            </w:r>
            <w:r w:rsidR="001D3D28">
              <w:rPr>
                <w:rFonts w:ascii="Bookman Old Style" w:eastAsia="Bookman Old Style" w:hAnsi="Bookman Old Style" w:cs="Bookman Old Style"/>
                <w:b/>
                <w:bCs/>
                <w:color w:val="F1591C"/>
                <w:sz w:val="32"/>
                <w:szCs w:val="32"/>
              </w:rPr>
              <w:t>2</w:t>
            </w:r>
            <w:r>
              <w:rPr>
                <w:rFonts w:ascii="Bookman Old Style" w:eastAsia="Bookman Old Style" w:hAnsi="Bookman Old Style" w:cs="Bookman Old Style"/>
                <w:b/>
                <w:bCs/>
                <w:color w:val="F1591C"/>
                <w:sz w:val="32"/>
                <w:szCs w:val="32"/>
              </w:rPr>
              <w:t>.5–3.0M</w:t>
            </w:r>
          </w:p>
          <w:p w14:paraId="4D35F8F1" w14:textId="77777777" w:rsidR="00213CA5" w:rsidRDefault="00000000">
            <w:r>
              <w:rPr>
                <w:rFonts w:ascii="Calibri" w:eastAsia="Calibri" w:hAnsi="Calibri" w:cs="Calibri"/>
                <w:color w:val="6B7078"/>
                <w:sz w:val="16"/>
                <w:szCs w:val="16"/>
              </w:rPr>
              <w:t>Raising</w:t>
            </w:r>
          </w:p>
        </w:tc>
        <w:tc>
          <w:tcPr>
            <w:tcW w:w="3120" w:type="dxa"/>
            <w:shd w:val="clear" w:color="auto" w:fill="F0F1EE"/>
            <w:tcMar>
              <w:top w:w="160" w:type="dxa"/>
              <w:left w:w="180" w:type="dxa"/>
              <w:bottom w:w="160" w:type="dxa"/>
              <w:right w:w="180" w:type="dxa"/>
            </w:tcMar>
          </w:tcPr>
          <w:p w14:paraId="2A9C1D8E" w14:textId="77777777" w:rsidR="00213CA5" w:rsidRDefault="00000000">
            <w:pPr>
              <w:spacing w:after="40"/>
            </w:pPr>
            <w:r>
              <w:rPr>
                <w:rFonts w:ascii="Bookman Old Style" w:eastAsia="Bookman Old Style" w:hAnsi="Bookman Old Style" w:cs="Bookman Old Style"/>
                <w:b/>
                <w:bCs/>
                <w:color w:val="1E2430"/>
                <w:sz w:val="32"/>
                <w:szCs w:val="32"/>
              </w:rPr>
              <w:t>5</w:t>
            </w:r>
          </w:p>
          <w:p w14:paraId="4226888F" w14:textId="15629DAA" w:rsidR="00213CA5" w:rsidRDefault="00000000">
            <w:r>
              <w:rPr>
                <w:rFonts w:ascii="Calibri" w:eastAsia="Calibri" w:hAnsi="Calibri" w:cs="Calibri"/>
                <w:color w:val="6B7078"/>
                <w:sz w:val="16"/>
                <w:szCs w:val="16"/>
              </w:rPr>
              <w:t xml:space="preserve">Integrated </w:t>
            </w:r>
            <w:r w:rsidR="001D3D28">
              <w:rPr>
                <w:rFonts w:ascii="Calibri" w:eastAsia="Calibri" w:hAnsi="Calibri" w:cs="Calibri"/>
                <w:color w:val="6B7078"/>
                <w:sz w:val="16"/>
                <w:szCs w:val="16"/>
              </w:rPr>
              <w:t xml:space="preserve">verticals </w:t>
            </w:r>
          </w:p>
        </w:tc>
        <w:tc>
          <w:tcPr>
            <w:tcW w:w="3120" w:type="dxa"/>
            <w:shd w:val="clear" w:color="auto" w:fill="F0F1EE"/>
            <w:tcMar>
              <w:top w:w="160" w:type="dxa"/>
              <w:left w:w="180" w:type="dxa"/>
              <w:bottom w:w="160" w:type="dxa"/>
              <w:right w:w="180" w:type="dxa"/>
            </w:tcMar>
          </w:tcPr>
          <w:p w14:paraId="5EED08C7" w14:textId="77777777" w:rsidR="00213CA5" w:rsidRDefault="001D3D28">
            <w:pPr>
              <w:rPr>
                <w:rFonts w:ascii="Bookman Old Style" w:eastAsia="Bookman Old Style" w:hAnsi="Bookman Old Style" w:cs="Bookman Old Style"/>
                <w:b/>
                <w:bCs/>
                <w:color w:val="5E9E97"/>
                <w:sz w:val="32"/>
                <w:szCs w:val="32"/>
              </w:rPr>
            </w:pPr>
            <w:r>
              <w:rPr>
                <w:rFonts w:ascii="Bookman Old Style" w:eastAsia="Bookman Old Style" w:hAnsi="Bookman Old Style" w:cs="Bookman Old Style"/>
                <w:b/>
                <w:bCs/>
                <w:color w:val="5E9E97"/>
                <w:sz w:val="32"/>
                <w:szCs w:val="32"/>
              </w:rPr>
              <w:t xml:space="preserve">15,000+ </w:t>
            </w:r>
          </w:p>
          <w:p w14:paraId="6602DEE0" w14:textId="2636643B" w:rsidR="001D3D28" w:rsidRDefault="001D3D28">
            <w:r>
              <w:t>Verified Business Listings</w:t>
            </w:r>
          </w:p>
        </w:tc>
      </w:tr>
    </w:tbl>
    <w:p w14:paraId="389B09E7" w14:textId="77777777" w:rsidR="00213CA5" w:rsidRDefault="00213CA5">
      <w:pPr>
        <w:spacing w:after="200"/>
      </w:pPr>
    </w:p>
    <w:p w14:paraId="2ED7A634" w14:textId="77777777" w:rsidR="00213CA5" w:rsidRDefault="00000000">
      <w:pPr>
        <w:spacing w:after="60"/>
      </w:pPr>
      <w:r>
        <w:rPr>
          <w:rFonts w:ascii="Calibri" w:eastAsia="Calibri" w:hAnsi="Calibri" w:cs="Calibri"/>
          <w:b/>
          <w:bCs/>
          <w:color w:val="F1591C"/>
          <w:spacing w:val="20"/>
          <w:sz w:val="17"/>
          <w:szCs w:val="17"/>
        </w:rPr>
        <w:t>INVESTMENT HIGHLIGHTS</w:t>
      </w:r>
    </w:p>
    <w:p w14:paraId="220FF714" w14:textId="77777777" w:rsidR="00213CA5" w:rsidRDefault="00000000">
      <w:pPr>
        <w:spacing w:before="200" w:after="100"/>
      </w:pPr>
      <w:r>
        <w:rPr>
          <w:rFonts w:ascii="Bookman Old Style" w:eastAsia="Bookman Old Style" w:hAnsi="Bookman Old Style" w:cs="Bookman Old Style"/>
          <w:b/>
          <w:bCs/>
          <w:color w:val="1E2430"/>
          <w:sz w:val="25"/>
          <w:szCs w:val="25"/>
        </w:rPr>
        <w:t>Why MORE Classifieds</w:t>
      </w:r>
    </w:p>
    <w:p w14:paraId="59867A1A" w14:textId="72752A78"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Live</w:t>
      </w:r>
      <w:proofErr w:type="gramEnd"/>
      <w:r>
        <w:rPr>
          <w:rFonts w:ascii="Calibri" w:eastAsia="Calibri" w:hAnsi="Calibri" w:cs="Calibri"/>
          <w:color w:val="20232B"/>
        </w:rPr>
        <w:t xml:space="preserve">, revenue-generating core — the </w:t>
      </w:r>
      <w:r w:rsidR="001D3D28">
        <w:rPr>
          <w:rFonts w:ascii="Calibri" w:eastAsia="Calibri" w:hAnsi="Calibri" w:cs="Calibri"/>
          <w:color w:val="20232B"/>
        </w:rPr>
        <w:t xml:space="preserve">Business listing </w:t>
      </w:r>
      <w:r>
        <w:rPr>
          <w:rFonts w:ascii="Calibri" w:eastAsia="Calibri" w:hAnsi="Calibri" w:cs="Calibri"/>
          <w:color w:val="20232B"/>
        </w:rPr>
        <w:t xml:space="preserve">vertical is already active in Kenya, with verified </w:t>
      </w:r>
      <w:r w:rsidR="001D3D28">
        <w:rPr>
          <w:rFonts w:ascii="Calibri" w:eastAsia="Calibri" w:hAnsi="Calibri" w:cs="Calibri"/>
          <w:color w:val="20232B"/>
        </w:rPr>
        <w:t xml:space="preserve">businesses </w:t>
      </w:r>
      <w:r>
        <w:rPr>
          <w:rFonts w:ascii="Calibri" w:eastAsia="Calibri" w:hAnsi="Calibri" w:cs="Calibri"/>
          <w:color w:val="20232B"/>
        </w:rPr>
        <w:t xml:space="preserve"> onboarding underway.</w:t>
      </w:r>
    </w:p>
    <w:p w14:paraId="17072E5C"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Verified</w:t>
      </w:r>
      <w:proofErr w:type="gramEnd"/>
      <w:r>
        <w:rPr>
          <w:rFonts w:ascii="Calibri" w:eastAsia="Calibri" w:hAnsi="Calibri" w:cs="Calibri"/>
          <w:color w:val="20232B"/>
        </w:rPr>
        <w:t xml:space="preserve"> network — every agent, listing, and business passes structured identity and business verification before going live.</w:t>
      </w:r>
    </w:p>
    <w:p w14:paraId="098A3D04"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Multi</w:t>
      </w:r>
      <w:proofErr w:type="gramEnd"/>
      <w:r>
        <w:rPr>
          <w:rFonts w:ascii="Calibri" w:eastAsia="Calibri" w:hAnsi="Calibri" w:cs="Calibri"/>
          <w:color w:val="20232B"/>
        </w:rPr>
        <w:t>-category growth path — vehicles, jobs, and services categories are next, expanding a proven playbook across a wider addressable market.</w:t>
      </w:r>
    </w:p>
    <w:p w14:paraId="175381C5"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Built</w:t>
      </w:r>
      <w:proofErr w:type="gramEnd"/>
      <w:r>
        <w:rPr>
          <w:rFonts w:ascii="Calibri" w:eastAsia="Calibri" w:hAnsi="Calibri" w:cs="Calibri"/>
          <w:color w:val="20232B"/>
        </w:rPr>
        <w:t>-in distribution — the More Business App is live on Google Play and the App Store, giving agents a direct channel to list, manage leads, and grow.</w:t>
      </w:r>
    </w:p>
    <w:p w14:paraId="79A628B2"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Diversified</w:t>
      </w:r>
      <w:proofErr w:type="gramEnd"/>
      <w:r>
        <w:rPr>
          <w:rFonts w:ascii="Calibri" w:eastAsia="Calibri" w:hAnsi="Calibri" w:cs="Calibri"/>
          <w:color w:val="20232B"/>
        </w:rPr>
        <w:t>, recurring revenue — featured listings and ads, agent subscriptions, lead-generation fees, and a growing SaaS/data layer.</w:t>
      </w:r>
    </w:p>
    <w:p w14:paraId="76743576"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Clear</w:t>
      </w:r>
      <w:proofErr w:type="gramEnd"/>
      <w:r>
        <w:rPr>
          <w:rFonts w:ascii="Calibri" w:eastAsia="Calibri" w:hAnsi="Calibri" w:cs="Calibri"/>
          <w:color w:val="20232B"/>
        </w:rPr>
        <w:t xml:space="preserve"> path to regional scale — Kenya-first approach with a defined roadmap to East African expansion.</w:t>
      </w:r>
    </w:p>
    <w:p w14:paraId="437D838B" w14:textId="77777777" w:rsidR="001D3D28" w:rsidRDefault="001D3D28">
      <w:pPr>
        <w:spacing w:after="60"/>
        <w:rPr>
          <w:rFonts w:ascii="Calibri" w:eastAsia="Calibri" w:hAnsi="Calibri" w:cs="Calibri"/>
          <w:b/>
          <w:bCs/>
          <w:color w:val="F1591C"/>
          <w:spacing w:val="20"/>
          <w:sz w:val="17"/>
          <w:szCs w:val="17"/>
        </w:rPr>
      </w:pPr>
    </w:p>
    <w:p w14:paraId="6333F95C" w14:textId="13EB4332" w:rsidR="00213CA5" w:rsidRDefault="00000000">
      <w:pPr>
        <w:spacing w:after="60"/>
      </w:pPr>
      <w:r>
        <w:rPr>
          <w:rFonts w:ascii="Calibri" w:eastAsia="Calibri" w:hAnsi="Calibri" w:cs="Calibri"/>
          <w:b/>
          <w:bCs/>
          <w:color w:val="F1591C"/>
          <w:spacing w:val="20"/>
          <w:sz w:val="17"/>
          <w:szCs w:val="17"/>
        </w:rPr>
        <w:t>THE OPPORTUNITY</w:t>
      </w:r>
    </w:p>
    <w:p w14:paraId="5BF2243F" w14:textId="77777777" w:rsidR="00213CA5" w:rsidRDefault="00000000">
      <w:pPr>
        <w:spacing w:before="200" w:after="100"/>
      </w:pPr>
      <w:r>
        <w:rPr>
          <w:rFonts w:ascii="Bookman Old Style" w:eastAsia="Bookman Old Style" w:hAnsi="Bookman Old Style" w:cs="Bookman Old Style"/>
          <w:b/>
          <w:bCs/>
          <w:color w:val="1E2430"/>
          <w:sz w:val="25"/>
          <w:szCs w:val="25"/>
        </w:rPr>
        <w:t>Kenya’s classifieds gap isn’t demand: it’s trust</w:t>
      </w:r>
    </w:p>
    <w:p w14:paraId="73657F51" w14:textId="77777777" w:rsidR="00213CA5" w:rsidRDefault="00000000">
      <w:pPr>
        <w:spacing w:after="100" w:line="264" w:lineRule="auto"/>
        <w:jc w:val="both"/>
      </w:pPr>
      <w:r>
        <w:rPr>
          <w:rFonts w:ascii="Calibri" w:eastAsia="Calibri" w:hAnsi="Calibri" w:cs="Calibri"/>
          <w:color w:val="20232B"/>
        </w:rPr>
        <w:t>Verified listings are hard to find. Credible sellers and trustworthy pricing are difficult to identify amid scattered social media groups and classifieds pages, and agent and listing verification across much of the market remains manual, slow, and inconsistent — raising fraud risk and cost for buyers and renters. Buyers typically lose visibility once a call or message is made, with no accountable platform for the transaction.</w:t>
      </w:r>
    </w:p>
    <w:p w14:paraId="17D23EFD" w14:textId="77777777" w:rsidR="00213CA5" w:rsidRDefault="00000000">
      <w:pPr>
        <w:spacing w:after="100" w:line="264" w:lineRule="auto"/>
        <w:jc w:val="both"/>
      </w:pPr>
      <w:r>
        <w:rPr>
          <w:rFonts w:ascii="Calibri" w:eastAsia="Calibri" w:hAnsi="Calibri" w:cs="Calibri"/>
          <w:color w:val="20232B"/>
        </w:rPr>
        <w:t>MORE Classifieds gives buyers a trusted, searchable home for real estate, vehicles, jobs and services — and gives agents and businesses a verified channel to reach ready buyers, from discovery through to a completed transaction.</w:t>
      </w:r>
    </w:p>
    <w:p w14:paraId="77C72D6C" w14:textId="77777777" w:rsidR="00213CA5" w:rsidRDefault="00000000">
      <w:pPr>
        <w:spacing w:after="60"/>
      </w:pPr>
      <w:r>
        <w:rPr>
          <w:rFonts w:ascii="Calibri" w:eastAsia="Calibri" w:hAnsi="Calibri" w:cs="Calibri"/>
          <w:b/>
          <w:bCs/>
          <w:color w:val="F1591C"/>
          <w:spacing w:val="20"/>
          <w:sz w:val="17"/>
          <w:szCs w:val="17"/>
        </w:rPr>
        <w:t>BUSINESS MODEL</w:t>
      </w:r>
    </w:p>
    <w:p w14:paraId="2F268D4F" w14:textId="77777777" w:rsidR="00213CA5" w:rsidRDefault="00000000">
      <w:pPr>
        <w:spacing w:before="200" w:after="100"/>
      </w:pPr>
      <w:r>
        <w:rPr>
          <w:rFonts w:ascii="Bookman Old Style" w:eastAsia="Bookman Old Style" w:hAnsi="Bookman Old Style" w:cs="Bookman Old Style"/>
          <w:b/>
          <w:bCs/>
          <w:color w:val="1E2430"/>
          <w:sz w:val="25"/>
          <w:szCs w:val="25"/>
        </w:rPr>
        <w:t>Revenue across every category</w:t>
      </w:r>
    </w:p>
    <w:tbl>
      <w:tblPr>
        <w:tblW w:w="960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6400"/>
      </w:tblGrid>
      <w:tr w:rsidR="00213CA5" w14:paraId="6735C31E" w14:textId="77777777">
        <w:tblPrEx>
          <w:tblCellMar>
            <w:top w:w="0" w:type="dxa"/>
            <w:bottom w:w="0" w:type="dxa"/>
          </w:tblCellMar>
        </w:tblPrEx>
        <w:trPr>
          <w:cantSplit/>
        </w:trPr>
        <w:tc>
          <w:tcPr>
            <w:tcW w:w="3200" w:type="dxa"/>
            <w:shd w:val="clear" w:color="auto" w:fill="F0F1EE"/>
            <w:tcMar>
              <w:top w:w="100" w:type="dxa"/>
              <w:left w:w="120" w:type="dxa"/>
              <w:bottom w:w="100" w:type="dxa"/>
              <w:right w:w="120" w:type="dxa"/>
            </w:tcMar>
          </w:tcPr>
          <w:p w14:paraId="7507D9F3" w14:textId="77777777" w:rsidR="00213CA5" w:rsidRDefault="00000000">
            <w:r>
              <w:rPr>
                <w:rFonts w:ascii="Calibri" w:eastAsia="Calibri" w:hAnsi="Calibri" w:cs="Calibri"/>
                <w:b/>
                <w:bCs/>
                <w:color w:val="20232B"/>
                <w:sz w:val="18"/>
                <w:szCs w:val="18"/>
              </w:rPr>
              <w:t>Featured Listings &amp; Ads</w:t>
            </w:r>
          </w:p>
        </w:tc>
        <w:tc>
          <w:tcPr>
            <w:tcW w:w="6400" w:type="dxa"/>
            <w:shd w:val="clear" w:color="auto" w:fill="F0F1EE"/>
            <w:tcMar>
              <w:top w:w="100" w:type="dxa"/>
              <w:left w:w="120" w:type="dxa"/>
              <w:bottom w:w="100" w:type="dxa"/>
              <w:right w:w="120" w:type="dxa"/>
            </w:tcMar>
          </w:tcPr>
          <w:p w14:paraId="49413FB4" w14:textId="77777777" w:rsidR="00213CA5" w:rsidRDefault="00000000">
            <w:r>
              <w:rPr>
                <w:rFonts w:ascii="Calibri" w:eastAsia="Calibri" w:hAnsi="Calibri" w:cs="Calibri"/>
                <w:color w:val="6B7078"/>
                <w:sz w:val="18"/>
                <w:szCs w:val="18"/>
              </w:rPr>
              <w:t>Promoted placements · category sponsorships · homepage banners</w:t>
            </w:r>
          </w:p>
        </w:tc>
      </w:tr>
      <w:tr w:rsidR="00213CA5" w14:paraId="7E7EC5A0" w14:textId="77777777">
        <w:tblPrEx>
          <w:tblCellMar>
            <w:top w:w="0" w:type="dxa"/>
            <w:bottom w:w="0" w:type="dxa"/>
          </w:tblCellMar>
        </w:tblPrEx>
        <w:trPr>
          <w:cantSplit/>
        </w:trPr>
        <w:tc>
          <w:tcPr>
            <w:tcW w:w="3200" w:type="dxa"/>
            <w:tcMar>
              <w:top w:w="100" w:type="dxa"/>
              <w:left w:w="120" w:type="dxa"/>
              <w:bottom w:w="100" w:type="dxa"/>
              <w:right w:w="120" w:type="dxa"/>
            </w:tcMar>
          </w:tcPr>
          <w:p w14:paraId="148B30DD" w14:textId="77777777" w:rsidR="00213CA5" w:rsidRDefault="00000000">
            <w:r>
              <w:rPr>
                <w:rFonts w:ascii="Calibri" w:eastAsia="Calibri" w:hAnsi="Calibri" w:cs="Calibri"/>
                <w:b/>
                <w:bCs/>
                <w:color w:val="20232B"/>
                <w:sz w:val="18"/>
                <w:szCs w:val="18"/>
              </w:rPr>
              <w:t>Agent Subscriptions</w:t>
            </w:r>
          </w:p>
        </w:tc>
        <w:tc>
          <w:tcPr>
            <w:tcW w:w="6400" w:type="dxa"/>
            <w:tcMar>
              <w:top w:w="100" w:type="dxa"/>
              <w:left w:w="120" w:type="dxa"/>
              <w:bottom w:w="100" w:type="dxa"/>
              <w:right w:w="120" w:type="dxa"/>
            </w:tcMar>
          </w:tcPr>
          <w:p w14:paraId="3ADE5565" w14:textId="77777777" w:rsidR="00213CA5" w:rsidRDefault="00000000">
            <w:r>
              <w:rPr>
                <w:rFonts w:ascii="Calibri" w:eastAsia="Calibri" w:hAnsi="Calibri" w:cs="Calibri"/>
                <w:color w:val="6B7078"/>
                <w:sz w:val="18"/>
                <w:szCs w:val="18"/>
              </w:rPr>
              <w:t>Monthly / annual plans for listing volume, leads &amp; analytics</w:t>
            </w:r>
          </w:p>
        </w:tc>
      </w:tr>
      <w:tr w:rsidR="00213CA5" w14:paraId="46BCBE72" w14:textId="77777777">
        <w:tblPrEx>
          <w:tblCellMar>
            <w:top w:w="0" w:type="dxa"/>
            <w:bottom w:w="0" w:type="dxa"/>
          </w:tblCellMar>
        </w:tblPrEx>
        <w:trPr>
          <w:cantSplit/>
        </w:trPr>
        <w:tc>
          <w:tcPr>
            <w:tcW w:w="3200" w:type="dxa"/>
            <w:shd w:val="clear" w:color="auto" w:fill="F0F1EE"/>
            <w:tcMar>
              <w:top w:w="100" w:type="dxa"/>
              <w:left w:w="120" w:type="dxa"/>
              <w:bottom w:w="100" w:type="dxa"/>
              <w:right w:w="120" w:type="dxa"/>
            </w:tcMar>
          </w:tcPr>
          <w:p w14:paraId="60708555" w14:textId="77777777" w:rsidR="00213CA5" w:rsidRDefault="00000000">
            <w:r>
              <w:rPr>
                <w:rFonts w:ascii="Calibri" w:eastAsia="Calibri" w:hAnsi="Calibri" w:cs="Calibri"/>
                <w:b/>
                <w:bCs/>
                <w:color w:val="20232B"/>
                <w:sz w:val="18"/>
                <w:szCs w:val="18"/>
              </w:rPr>
              <w:lastRenderedPageBreak/>
              <w:t>Lead Generation Fees</w:t>
            </w:r>
          </w:p>
        </w:tc>
        <w:tc>
          <w:tcPr>
            <w:tcW w:w="6400" w:type="dxa"/>
            <w:shd w:val="clear" w:color="auto" w:fill="F0F1EE"/>
            <w:tcMar>
              <w:top w:w="100" w:type="dxa"/>
              <w:left w:w="120" w:type="dxa"/>
              <w:bottom w:w="100" w:type="dxa"/>
              <w:right w:w="120" w:type="dxa"/>
            </w:tcMar>
          </w:tcPr>
          <w:p w14:paraId="57B7F19B" w14:textId="77777777" w:rsidR="00213CA5" w:rsidRDefault="00000000">
            <w:r>
              <w:rPr>
                <w:rFonts w:ascii="Calibri" w:eastAsia="Calibri" w:hAnsi="Calibri" w:cs="Calibri"/>
                <w:color w:val="6B7078"/>
                <w:sz w:val="18"/>
                <w:szCs w:val="18"/>
              </w:rPr>
              <w:t>Pay-per-lead for high-intent categories (real estate, autos)</w:t>
            </w:r>
          </w:p>
        </w:tc>
      </w:tr>
      <w:tr w:rsidR="00213CA5" w14:paraId="39A290A0" w14:textId="77777777">
        <w:tblPrEx>
          <w:tblCellMar>
            <w:top w:w="0" w:type="dxa"/>
            <w:bottom w:w="0" w:type="dxa"/>
          </w:tblCellMar>
        </w:tblPrEx>
        <w:trPr>
          <w:cantSplit/>
        </w:trPr>
        <w:tc>
          <w:tcPr>
            <w:tcW w:w="3200" w:type="dxa"/>
            <w:tcMar>
              <w:top w:w="100" w:type="dxa"/>
              <w:left w:w="120" w:type="dxa"/>
              <w:bottom w:w="100" w:type="dxa"/>
              <w:right w:w="120" w:type="dxa"/>
            </w:tcMar>
          </w:tcPr>
          <w:p w14:paraId="51E2EDE9" w14:textId="77777777" w:rsidR="00213CA5" w:rsidRDefault="00000000">
            <w:r>
              <w:rPr>
                <w:rFonts w:ascii="Calibri" w:eastAsia="Calibri" w:hAnsi="Calibri" w:cs="Calibri"/>
                <w:b/>
                <w:bCs/>
                <w:color w:val="20232B"/>
                <w:sz w:val="18"/>
                <w:szCs w:val="18"/>
              </w:rPr>
              <w:t>MORE Business App</w:t>
            </w:r>
          </w:p>
        </w:tc>
        <w:tc>
          <w:tcPr>
            <w:tcW w:w="6400" w:type="dxa"/>
            <w:tcMar>
              <w:top w:w="100" w:type="dxa"/>
              <w:left w:w="120" w:type="dxa"/>
              <w:bottom w:w="100" w:type="dxa"/>
              <w:right w:w="120" w:type="dxa"/>
            </w:tcMar>
          </w:tcPr>
          <w:p w14:paraId="09CDDCF6" w14:textId="77777777" w:rsidR="00213CA5" w:rsidRDefault="00000000">
            <w:r>
              <w:rPr>
                <w:rFonts w:ascii="Calibri" w:eastAsia="Calibri" w:hAnsi="Calibri" w:cs="Calibri"/>
                <w:color w:val="6B7078"/>
                <w:sz w:val="18"/>
                <w:szCs w:val="18"/>
              </w:rPr>
              <w:t>SaaS subscription and analytics-tier fees for agents &amp; SMEs</w:t>
            </w:r>
          </w:p>
        </w:tc>
      </w:tr>
      <w:tr w:rsidR="00213CA5" w14:paraId="549D2159" w14:textId="77777777">
        <w:tblPrEx>
          <w:tblCellMar>
            <w:top w:w="0" w:type="dxa"/>
            <w:bottom w:w="0" w:type="dxa"/>
          </w:tblCellMar>
        </w:tblPrEx>
        <w:trPr>
          <w:cantSplit/>
        </w:trPr>
        <w:tc>
          <w:tcPr>
            <w:tcW w:w="3200" w:type="dxa"/>
            <w:shd w:val="clear" w:color="auto" w:fill="F0F1EE"/>
            <w:tcMar>
              <w:top w:w="100" w:type="dxa"/>
              <w:left w:w="120" w:type="dxa"/>
              <w:bottom w:w="100" w:type="dxa"/>
              <w:right w:w="120" w:type="dxa"/>
            </w:tcMar>
          </w:tcPr>
          <w:p w14:paraId="2C931A00" w14:textId="77777777" w:rsidR="00213CA5" w:rsidRDefault="00000000">
            <w:r>
              <w:rPr>
                <w:rFonts w:ascii="Calibri" w:eastAsia="Calibri" w:hAnsi="Calibri" w:cs="Calibri"/>
                <w:b/>
                <w:bCs/>
                <w:color w:val="20232B"/>
                <w:sz w:val="18"/>
                <w:szCs w:val="18"/>
              </w:rPr>
              <w:t>Data &amp; Market Insights (future)</w:t>
            </w:r>
          </w:p>
        </w:tc>
        <w:tc>
          <w:tcPr>
            <w:tcW w:w="6400" w:type="dxa"/>
            <w:shd w:val="clear" w:color="auto" w:fill="F0F1EE"/>
            <w:tcMar>
              <w:top w:w="100" w:type="dxa"/>
              <w:left w:w="120" w:type="dxa"/>
              <w:bottom w:w="100" w:type="dxa"/>
              <w:right w:w="120" w:type="dxa"/>
            </w:tcMar>
          </w:tcPr>
          <w:p w14:paraId="22593D9B" w14:textId="77777777" w:rsidR="00213CA5" w:rsidRDefault="00000000">
            <w:r>
              <w:rPr>
                <w:rFonts w:ascii="Calibri" w:eastAsia="Calibri" w:hAnsi="Calibri" w:cs="Calibri"/>
                <w:color w:val="6B7078"/>
                <w:sz w:val="18"/>
                <w:szCs w:val="18"/>
              </w:rPr>
              <w:t>Pricing-trend reports and API access for banks &amp; developers</w:t>
            </w:r>
          </w:p>
        </w:tc>
      </w:tr>
    </w:tbl>
    <w:p w14:paraId="2B153C75" w14:textId="77777777" w:rsidR="00213CA5" w:rsidRDefault="00213CA5">
      <w:pPr>
        <w:spacing w:before="140"/>
      </w:pPr>
    </w:p>
    <w:p w14:paraId="68BD2846" w14:textId="77777777" w:rsidR="00213CA5" w:rsidRDefault="00000000">
      <w:pPr>
        <w:spacing w:after="60"/>
      </w:pPr>
      <w:r>
        <w:rPr>
          <w:rFonts w:ascii="Calibri" w:eastAsia="Calibri" w:hAnsi="Calibri" w:cs="Calibri"/>
          <w:b/>
          <w:bCs/>
          <w:color w:val="F1591C"/>
          <w:spacing w:val="20"/>
          <w:sz w:val="17"/>
          <w:szCs w:val="17"/>
        </w:rPr>
        <w:t>TRACTION &amp; MILESTONES</w:t>
      </w:r>
    </w:p>
    <w:p w14:paraId="3BBEE21E" w14:textId="77777777" w:rsidR="00213CA5" w:rsidRDefault="00000000">
      <w:pPr>
        <w:spacing w:before="200" w:after="100"/>
      </w:pPr>
      <w:r>
        <w:rPr>
          <w:rFonts w:ascii="Bookman Old Style" w:eastAsia="Bookman Old Style" w:hAnsi="Bookman Old Style" w:cs="Bookman Old Style"/>
          <w:b/>
          <w:bCs/>
          <w:color w:val="1E2430"/>
          <w:sz w:val="25"/>
          <w:szCs w:val="25"/>
        </w:rPr>
        <w:t>Where we stand today</w:t>
      </w:r>
    </w:p>
    <w:p w14:paraId="24F566D3" w14:textId="77777777" w:rsidR="00213CA5" w:rsidRDefault="00000000">
      <w:pPr>
        <w:spacing w:after="100" w:line="264" w:lineRule="auto"/>
        <w:jc w:val="both"/>
      </w:pPr>
      <w:r>
        <w:rPr>
          <w:rFonts w:ascii="Calibri" w:eastAsia="Calibri" w:hAnsi="Calibri" w:cs="Calibri"/>
          <w:color w:val="20232B"/>
        </w:rPr>
        <w:t>MORE Classifieds has an active, revenue-generating Real Estate &amp; Properties vertical live in Kenya, with verified agent onboarding and the More Business App live on Google Play and the App Store. Detailed metrics, active listings, verified agents, and revenue performance are available upon request and in diligence.</w:t>
      </w:r>
    </w:p>
    <w:p w14:paraId="757682E4" w14:textId="77777777" w:rsidR="00213CA5" w:rsidRDefault="00000000">
      <w:pPr>
        <w:spacing w:after="60"/>
      </w:pPr>
      <w:r>
        <w:rPr>
          <w:rFonts w:ascii="Calibri" w:eastAsia="Calibri" w:hAnsi="Calibri" w:cs="Calibri"/>
          <w:b/>
          <w:bCs/>
          <w:color w:val="F1591C"/>
          <w:spacing w:val="20"/>
          <w:sz w:val="17"/>
          <w:szCs w:val="17"/>
        </w:rPr>
        <w:t>NEXT 12–18 MONTHS</w:t>
      </w:r>
    </w:p>
    <w:p w14:paraId="5E8867A7"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Launch</w:t>
      </w:r>
      <w:proofErr w:type="gramEnd"/>
      <w:r>
        <w:rPr>
          <w:rFonts w:ascii="Calibri" w:eastAsia="Calibri" w:hAnsi="Calibri" w:cs="Calibri"/>
          <w:color w:val="20232B"/>
        </w:rPr>
        <w:t xml:space="preserve"> vehicles, jobs &amp; services classifieds categories.</w:t>
      </w:r>
    </w:p>
    <w:p w14:paraId="31FD5134"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Digitize</w:t>
      </w:r>
      <w:proofErr w:type="gramEnd"/>
      <w:r>
        <w:rPr>
          <w:rFonts w:ascii="Calibri" w:eastAsia="Calibri" w:hAnsi="Calibri" w:cs="Calibri"/>
          <w:color w:val="20232B"/>
        </w:rPr>
        <w:t xml:space="preserve"> agent verification and lead management.</w:t>
      </w:r>
    </w:p>
    <w:p w14:paraId="5E210211"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Expand</w:t>
      </w:r>
      <w:proofErr w:type="gramEnd"/>
      <w:r>
        <w:rPr>
          <w:rFonts w:ascii="Calibri" w:eastAsia="Calibri" w:hAnsi="Calibri" w:cs="Calibri"/>
          <w:color w:val="20232B"/>
        </w:rPr>
        <w:t xml:space="preserve"> verified listings and agent network across Kenya.</w:t>
      </w:r>
    </w:p>
    <w:p w14:paraId="33593FA3"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Strengthen</w:t>
      </w:r>
      <w:proofErr w:type="gramEnd"/>
      <w:r>
        <w:rPr>
          <w:rFonts w:ascii="Calibri" w:eastAsia="Calibri" w:hAnsi="Calibri" w:cs="Calibri"/>
          <w:color w:val="20232B"/>
        </w:rPr>
        <w:t xml:space="preserve"> data governance, security, and compliance readiness.</w:t>
      </w:r>
    </w:p>
    <w:p w14:paraId="01EB148E" w14:textId="77777777" w:rsidR="00213CA5" w:rsidRDefault="00000000">
      <w:pPr>
        <w:spacing w:after="70" w:line="250" w:lineRule="auto"/>
        <w:ind w:left="260" w:hanging="260"/>
      </w:pPr>
      <w:proofErr w:type="gramStart"/>
      <w:r>
        <w:rPr>
          <w:rFonts w:ascii="Calibri" w:eastAsia="Calibri" w:hAnsi="Calibri" w:cs="Calibri"/>
          <w:b/>
          <w:bCs/>
          <w:color w:val="F1591C"/>
        </w:rPr>
        <w:t xml:space="preserve">✓  </w:t>
      </w:r>
      <w:r>
        <w:rPr>
          <w:rFonts w:ascii="Calibri" w:eastAsia="Calibri" w:hAnsi="Calibri" w:cs="Calibri"/>
          <w:color w:val="20232B"/>
        </w:rPr>
        <w:t>Build</w:t>
      </w:r>
      <w:proofErr w:type="gramEnd"/>
      <w:r>
        <w:rPr>
          <w:rFonts w:ascii="Calibri" w:eastAsia="Calibri" w:hAnsi="Calibri" w:cs="Calibri"/>
          <w:color w:val="20232B"/>
        </w:rPr>
        <w:t xml:space="preserve"> out technology and product capability through key hires.</w:t>
      </w:r>
    </w:p>
    <w:p w14:paraId="328031E0" w14:textId="77777777" w:rsidR="00213CA5" w:rsidRDefault="00000000">
      <w:pPr>
        <w:spacing w:after="60"/>
      </w:pPr>
      <w:r>
        <w:rPr>
          <w:rFonts w:ascii="Calibri" w:eastAsia="Calibri" w:hAnsi="Calibri" w:cs="Calibri"/>
          <w:b/>
          <w:bCs/>
          <w:color w:val="F1591C"/>
          <w:spacing w:val="20"/>
          <w:sz w:val="17"/>
          <w:szCs w:val="17"/>
        </w:rPr>
        <w:t>MARKET OPPORTUNITY</w:t>
      </w:r>
    </w:p>
    <w:p w14:paraId="7B06313F" w14:textId="77777777" w:rsidR="00213CA5" w:rsidRDefault="00000000">
      <w:pPr>
        <w:spacing w:before="200" w:after="100"/>
      </w:pPr>
      <w:r>
        <w:rPr>
          <w:rFonts w:ascii="Bookman Old Style" w:eastAsia="Bookman Old Style" w:hAnsi="Bookman Old Style" w:cs="Bookman Old Style"/>
          <w:b/>
          <w:bCs/>
          <w:color w:val="1E2430"/>
          <w:sz w:val="25"/>
          <w:szCs w:val="25"/>
        </w:rPr>
        <w:t>Six customer segments, one trusted entry point</w:t>
      </w:r>
    </w:p>
    <w:p w14:paraId="379C2AAF" w14:textId="77777777" w:rsidR="00213CA5" w:rsidRDefault="00000000">
      <w:pPr>
        <w:spacing w:after="100" w:line="264" w:lineRule="auto"/>
        <w:jc w:val="both"/>
      </w:pPr>
      <w:r>
        <w:rPr>
          <w:rFonts w:ascii="Calibri" w:eastAsia="Calibri" w:hAnsi="Calibri" w:cs="Calibri"/>
          <w:color w:val="20232B"/>
        </w:rPr>
        <w:t>Kenya continues to see growing digital and mobile adoption, but fragmented, unverified listings remain the persistent barrier to a trusted classifieds transaction. MORE Classifieds serves home buyers and renters, property developers and agencies, SMEs and side-hustle sellers, diaspora investors, job seekers and employers, and hotel and short-stay operators — through one trusted entry point.</w:t>
      </w:r>
    </w:p>
    <w:p w14:paraId="7D1E4B85" w14:textId="77777777" w:rsidR="00213CA5" w:rsidRDefault="00000000">
      <w:pPr>
        <w:spacing w:after="60"/>
      </w:pPr>
      <w:r>
        <w:rPr>
          <w:rFonts w:ascii="Calibri" w:eastAsia="Calibri" w:hAnsi="Calibri" w:cs="Calibri"/>
          <w:b/>
          <w:bCs/>
          <w:color w:val="F1591C"/>
          <w:spacing w:val="20"/>
          <w:sz w:val="17"/>
          <w:szCs w:val="17"/>
        </w:rPr>
        <w:t>THE ASK</w:t>
      </w:r>
    </w:p>
    <w:p w14:paraId="0E442641" w14:textId="5B9D8DBD" w:rsidR="00213CA5" w:rsidRDefault="00000000">
      <w:pPr>
        <w:spacing w:before="200" w:after="100"/>
      </w:pPr>
      <w:r>
        <w:rPr>
          <w:rFonts w:ascii="Bookman Old Style" w:eastAsia="Bookman Old Style" w:hAnsi="Bookman Old Style" w:cs="Bookman Old Style"/>
          <w:b/>
          <w:bCs/>
          <w:color w:val="1E2430"/>
          <w:sz w:val="25"/>
          <w:szCs w:val="25"/>
        </w:rPr>
        <w:t xml:space="preserve">USD </w:t>
      </w:r>
      <w:r w:rsidR="00DC67F8">
        <w:rPr>
          <w:rFonts w:ascii="Bookman Old Style" w:eastAsia="Bookman Old Style" w:hAnsi="Bookman Old Style" w:cs="Bookman Old Style"/>
          <w:b/>
          <w:bCs/>
          <w:color w:val="1E2430"/>
          <w:sz w:val="25"/>
          <w:szCs w:val="25"/>
        </w:rPr>
        <w:t>2</w:t>
      </w:r>
      <w:r>
        <w:rPr>
          <w:rFonts w:ascii="Bookman Old Style" w:eastAsia="Bookman Old Style" w:hAnsi="Bookman Old Style" w:cs="Bookman Old Style"/>
          <w:b/>
          <w:bCs/>
          <w:color w:val="1E2430"/>
          <w:sz w:val="25"/>
          <w:szCs w:val="25"/>
        </w:rPr>
        <w:t>.5 – 3.0 million to build the platform</w:t>
      </w:r>
    </w:p>
    <w:p w14:paraId="677C45AE" w14:textId="77777777" w:rsidR="00213CA5" w:rsidRDefault="00000000">
      <w:pPr>
        <w:spacing w:after="100" w:line="264" w:lineRule="auto"/>
        <w:jc w:val="both"/>
      </w:pPr>
      <w:r>
        <w:rPr>
          <w:rFonts w:ascii="Calibri" w:eastAsia="Calibri" w:hAnsi="Calibri" w:cs="Calibri"/>
          <w:color w:val="20232B"/>
        </w:rPr>
        <w:t>Instrument and valuation terms to be agreed with investors. Indicative allocation of proceeds:</w:t>
      </w:r>
    </w:p>
    <w:tbl>
      <w:tblPr>
        <w:tblW w:w="960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8200"/>
      </w:tblGrid>
      <w:tr w:rsidR="00213CA5" w14:paraId="231500E5" w14:textId="77777777">
        <w:tblPrEx>
          <w:tblCellMar>
            <w:top w:w="0" w:type="dxa"/>
            <w:bottom w:w="0" w:type="dxa"/>
          </w:tblCellMar>
        </w:tblPrEx>
        <w:trPr>
          <w:cantSplit/>
        </w:trPr>
        <w:tc>
          <w:tcPr>
            <w:tcW w:w="1400" w:type="dxa"/>
            <w:shd w:val="clear" w:color="auto" w:fill="F0F1EE"/>
            <w:tcMar>
              <w:top w:w="70" w:type="dxa"/>
              <w:left w:w="120" w:type="dxa"/>
              <w:bottom w:w="70" w:type="dxa"/>
              <w:right w:w="60" w:type="dxa"/>
            </w:tcMar>
            <w:vAlign w:val="center"/>
          </w:tcPr>
          <w:p w14:paraId="258A1BA6" w14:textId="77777777" w:rsidR="00213CA5" w:rsidRDefault="00000000">
            <w:r>
              <w:rPr>
                <w:rFonts w:ascii="Bookman Old Style" w:eastAsia="Bookman Old Style" w:hAnsi="Bookman Old Style" w:cs="Bookman Old Style"/>
                <w:b/>
                <w:bCs/>
                <w:color w:val="F1591C"/>
                <w:sz w:val="22"/>
                <w:szCs w:val="22"/>
              </w:rPr>
              <w:t>45%</w:t>
            </w:r>
          </w:p>
        </w:tc>
        <w:tc>
          <w:tcPr>
            <w:tcW w:w="8200" w:type="dxa"/>
            <w:shd w:val="clear" w:color="auto" w:fill="F0F1EE"/>
            <w:tcMar>
              <w:top w:w="70" w:type="dxa"/>
              <w:left w:w="120" w:type="dxa"/>
              <w:bottom w:w="70" w:type="dxa"/>
              <w:right w:w="120" w:type="dxa"/>
            </w:tcMar>
            <w:vAlign w:val="center"/>
          </w:tcPr>
          <w:p w14:paraId="3E537750" w14:textId="3E7A7DDE" w:rsidR="00213CA5" w:rsidRDefault="00DC67F8">
            <w:r>
              <w:rPr>
                <w:rFonts w:ascii="Calibri" w:eastAsia="Calibri" w:hAnsi="Calibri" w:cs="Calibri"/>
                <w:b/>
                <w:bCs/>
                <w:color w:val="20232B"/>
                <w:sz w:val="18"/>
                <w:szCs w:val="18"/>
              </w:rPr>
              <w:t>Market Expansion —</w:t>
            </w:r>
            <w:r w:rsidR="00000000">
              <w:rPr>
                <w:rFonts w:ascii="Calibri" w:eastAsia="Calibri" w:hAnsi="Calibri" w:cs="Calibri"/>
                <w:b/>
                <w:bCs/>
                <w:color w:val="20232B"/>
                <w:sz w:val="18"/>
                <w:szCs w:val="18"/>
              </w:rPr>
              <w:t xml:space="preserve"> </w:t>
            </w:r>
            <w:r>
              <w:rPr>
                <w:rFonts w:ascii="Calibri" w:eastAsia="Calibri" w:hAnsi="Calibri" w:cs="Calibri"/>
                <w:color w:val="6B7078"/>
                <w:sz w:val="18"/>
                <w:szCs w:val="18"/>
              </w:rPr>
              <w:t>Scale operations to the whole of Kenya</w:t>
            </w:r>
          </w:p>
        </w:tc>
      </w:tr>
      <w:tr w:rsidR="00213CA5" w14:paraId="244CEF3C" w14:textId="77777777">
        <w:tblPrEx>
          <w:tblCellMar>
            <w:top w:w="0" w:type="dxa"/>
            <w:bottom w:w="0" w:type="dxa"/>
          </w:tblCellMar>
        </w:tblPrEx>
        <w:trPr>
          <w:cantSplit/>
        </w:trPr>
        <w:tc>
          <w:tcPr>
            <w:tcW w:w="1400" w:type="dxa"/>
            <w:tcMar>
              <w:top w:w="70" w:type="dxa"/>
              <w:left w:w="120" w:type="dxa"/>
              <w:bottom w:w="70" w:type="dxa"/>
              <w:right w:w="60" w:type="dxa"/>
            </w:tcMar>
            <w:vAlign w:val="center"/>
          </w:tcPr>
          <w:p w14:paraId="77D019F2" w14:textId="77777777" w:rsidR="00213CA5" w:rsidRDefault="00000000">
            <w:r>
              <w:rPr>
                <w:rFonts w:ascii="Bookman Old Style" w:eastAsia="Bookman Old Style" w:hAnsi="Bookman Old Style" w:cs="Bookman Old Style"/>
                <w:b/>
                <w:bCs/>
                <w:color w:val="F1591C"/>
                <w:sz w:val="22"/>
                <w:szCs w:val="22"/>
              </w:rPr>
              <w:t>20%</w:t>
            </w:r>
          </w:p>
        </w:tc>
        <w:tc>
          <w:tcPr>
            <w:tcW w:w="8200" w:type="dxa"/>
            <w:tcMar>
              <w:top w:w="70" w:type="dxa"/>
              <w:left w:w="120" w:type="dxa"/>
              <w:bottom w:w="70" w:type="dxa"/>
              <w:right w:w="120" w:type="dxa"/>
            </w:tcMar>
            <w:vAlign w:val="center"/>
          </w:tcPr>
          <w:p w14:paraId="05804111" w14:textId="77777777" w:rsidR="00213CA5" w:rsidRDefault="00000000">
            <w:r>
              <w:rPr>
                <w:rFonts w:ascii="Calibri" w:eastAsia="Calibri" w:hAnsi="Calibri" w:cs="Calibri"/>
                <w:b/>
                <w:bCs/>
                <w:color w:val="20232B"/>
                <w:sz w:val="18"/>
                <w:szCs w:val="18"/>
              </w:rPr>
              <w:t xml:space="preserve">Talent &amp; Key Hires — </w:t>
            </w:r>
            <w:r>
              <w:rPr>
                <w:rFonts w:ascii="Calibri" w:eastAsia="Calibri" w:hAnsi="Calibri" w:cs="Calibri"/>
                <w:color w:val="6B7078"/>
                <w:sz w:val="18"/>
                <w:szCs w:val="18"/>
              </w:rPr>
              <w:t>Technology/Product Lead, Business Development Lead, Operations &amp; Compliance Lead</w:t>
            </w:r>
          </w:p>
        </w:tc>
      </w:tr>
      <w:tr w:rsidR="00213CA5" w14:paraId="7BA2B525" w14:textId="77777777">
        <w:tblPrEx>
          <w:tblCellMar>
            <w:top w:w="0" w:type="dxa"/>
            <w:bottom w:w="0" w:type="dxa"/>
          </w:tblCellMar>
        </w:tblPrEx>
        <w:trPr>
          <w:cantSplit/>
        </w:trPr>
        <w:tc>
          <w:tcPr>
            <w:tcW w:w="1400" w:type="dxa"/>
            <w:shd w:val="clear" w:color="auto" w:fill="F0F1EE"/>
            <w:tcMar>
              <w:top w:w="70" w:type="dxa"/>
              <w:left w:w="120" w:type="dxa"/>
              <w:bottom w:w="70" w:type="dxa"/>
              <w:right w:w="60" w:type="dxa"/>
            </w:tcMar>
            <w:vAlign w:val="center"/>
          </w:tcPr>
          <w:p w14:paraId="3682A445" w14:textId="77777777" w:rsidR="00213CA5" w:rsidRDefault="00000000">
            <w:r>
              <w:rPr>
                <w:rFonts w:ascii="Bookman Old Style" w:eastAsia="Bookman Old Style" w:hAnsi="Bookman Old Style" w:cs="Bookman Old Style"/>
                <w:b/>
                <w:bCs/>
                <w:color w:val="F1591C"/>
                <w:sz w:val="22"/>
                <w:szCs w:val="22"/>
              </w:rPr>
              <w:t>15%</w:t>
            </w:r>
          </w:p>
        </w:tc>
        <w:tc>
          <w:tcPr>
            <w:tcW w:w="8200" w:type="dxa"/>
            <w:shd w:val="clear" w:color="auto" w:fill="F0F1EE"/>
            <w:tcMar>
              <w:top w:w="70" w:type="dxa"/>
              <w:left w:w="120" w:type="dxa"/>
              <w:bottom w:w="70" w:type="dxa"/>
              <w:right w:w="120" w:type="dxa"/>
            </w:tcMar>
            <w:vAlign w:val="center"/>
          </w:tcPr>
          <w:p w14:paraId="4CE4ABE1" w14:textId="77777777" w:rsidR="00213CA5" w:rsidRDefault="00000000">
            <w:r>
              <w:rPr>
                <w:rFonts w:ascii="Calibri" w:eastAsia="Calibri" w:hAnsi="Calibri" w:cs="Calibri"/>
                <w:b/>
                <w:bCs/>
                <w:color w:val="20232B"/>
                <w:sz w:val="18"/>
                <w:szCs w:val="18"/>
              </w:rPr>
              <w:t xml:space="preserve">Business Development — </w:t>
            </w:r>
            <w:r>
              <w:rPr>
                <w:rFonts w:ascii="Calibri" w:eastAsia="Calibri" w:hAnsi="Calibri" w:cs="Calibri"/>
                <w:color w:val="6B7078"/>
                <w:sz w:val="18"/>
                <w:szCs w:val="18"/>
              </w:rPr>
              <w:t>agent, developer, and partner acquisition</w:t>
            </w:r>
          </w:p>
        </w:tc>
      </w:tr>
      <w:tr w:rsidR="00213CA5" w14:paraId="1D7C4ABC" w14:textId="77777777">
        <w:tblPrEx>
          <w:tblCellMar>
            <w:top w:w="0" w:type="dxa"/>
            <w:bottom w:w="0" w:type="dxa"/>
          </w:tblCellMar>
        </w:tblPrEx>
        <w:trPr>
          <w:cantSplit/>
        </w:trPr>
        <w:tc>
          <w:tcPr>
            <w:tcW w:w="1400" w:type="dxa"/>
            <w:tcMar>
              <w:top w:w="70" w:type="dxa"/>
              <w:left w:w="120" w:type="dxa"/>
              <w:bottom w:w="70" w:type="dxa"/>
              <w:right w:w="60" w:type="dxa"/>
            </w:tcMar>
            <w:vAlign w:val="center"/>
          </w:tcPr>
          <w:p w14:paraId="2C0C478D" w14:textId="77777777" w:rsidR="00213CA5" w:rsidRDefault="00000000">
            <w:r>
              <w:rPr>
                <w:rFonts w:ascii="Bookman Old Style" w:eastAsia="Bookman Old Style" w:hAnsi="Bookman Old Style" w:cs="Bookman Old Style"/>
                <w:b/>
                <w:bCs/>
                <w:color w:val="F1591C"/>
                <w:sz w:val="22"/>
                <w:szCs w:val="22"/>
              </w:rPr>
              <w:t>12%</w:t>
            </w:r>
          </w:p>
        </w:tc>
        <w:tc>
          <w:tcPr>
            <w:tcW w:w="8200" w:type="dxa"/>
            <w:tcMar>
              <w:top w:w="70" w:type="dxa"/>
              <w:left w:w="120" w:type="dxa"/>
              <w:bottom w:w="70" w:type="dxa"/>
              <w:right w:w="120" w:type="dxa"/>
            </w:tcMar>
            <w:vAlign w:val="center"/>
          </w:tcPr>
          <w:p w14:paraId="6E21B07B" w14:textId="77777777" w:rsidR="00213CA5" w:rsidRDefault="00000000">
            <w:r>
              <w:rPr>
                <w:rFonts w:ascii="Calibri" w:eastAsia="Calibri" w:hAnsi="Calibri" w:cs="Calibri"/>
                <w:b/>
                <w:bCs/>
                <w:color w:val="20232B"/>
                <w:sz w:val="18"/>
                <w:szCs w:val="18"/>
              </w:rPr>
              <w:t xml:space="preserve">Operations &amp; Working Capital — </w:t>
            </w:r>
            <w:r>
              <w:rPr>
                <w:rFonts w:ascii="Calibri" w:eastAsia="Calibri" w:hAnsi="Calibri" w:cs="Calibri"/>
                <w:color w:val="6B7078"/>
                <w:sz w:val="18"/>
                <w:szCs w:val="18"/>
              </w:rPr>
              <w:t>day-to-day operating runway</w:t>
            </w:r>
          </w:p>
        </w:tc>
      </w:tr>
      <w:tr w:rsidR="00213CA5" w14:paraId="5231FB45" w14:textId="77777777">
        <w:tblPrEx>
          <w:tblCellMar>
            <w:top w:w="0" w:type="dxa"/>
            <w:bottom w:w="0" w:type="dxa"/>
          </w:tblCellMar>
        </w:tblPrEx>
        <w:trPr>
          <w:cantSplit/>
        </w:trPr>
        <w:tc>
          <w:tcPr>
            <w:tcW w:w="1400" w:type="dxa"/>
            <w:shd w:val="clear" w:color="auto" w:fill="F0F1EE"/>
            <w:tcMar>
              <w:top w:w="70" w:type="dxa"/>
              <w:left w:w="120" w:type="dxa"/>
              <w:bottom w:w="70" w:type="dxa"/>
              <w:right w:w="60" w:type="dxa"/>
            </w:tcMar>
            <w:vAlign w:val="center"/>
          </w:tcPr>
          <w:p w14:paraId="444BBF13" w14:textId="77777777" w:rsidR="00213CA5" w:rsidRDefault="00000000">
            <w:r>
              <w:rPr>
                <w:rFonts w:ascii="Bookman Old Style" w:eastAsia="Bookman Old Style" w:hAnsi="Bookman Old Style" w:cs="Bookman Old Style"/>
                <w:b/>
                <w:bCs/>
                <w:color w:val="F1591C"/>
                <w:sz w:val="22"/>
                <w:szCs w:val="22"/>
              </w:rPr>
              <w:t>8%</w:t>
            </w:r>
          </w:p>
        </w:tc>
        <w:tc>
          <w:tcPr>
            <w:tcW w:w="8200" w:type="dxa"/>
            <w:shd w:val="clear" w:color="auto" w:fill="F0F1EE"/>
            <w:tcMar>
              <w:top w:w="70" w:type="dxa"/>
              <w:left w:w="120" w:type="dxa"/>
              <w:bottom w:w="70" w:type="dxa"/>
              <w:right w:w="120" w:type="dxa"/>
            </w:tcMar>
            <w:vAlign w:val="center"/>
          </w:tcPr>
          <w:p w14:paraId="28EE1F42" w14:textId="77777777" w:rsidR="00213CA5" w:rsidRDefault="00000000">
            <w:r>
              <w:rPr>
                <w:rFonts w:ascii="Calibri" w:eastAsia="Calibri" w:hAnsi="Calibri" w:cs="Calibri"/>
                <w:b/>
                <w:bCs/>
                <w:color w:val="20232B"/>
                <w:sz w:val="18"/>
                <w:szCs w:val="18"/>
              </w:rPr>
              <w:t xml:space="preserve">Legal, Compliance &amp; Governance — </w:t>
            </w:r>
            <w:r>
              <w:rPr>
                <w:rFonts w:ascii="Calibri" w:eastAsia="Calibri" w:hAnsi="Calibri" w:cs="Calibri"/>
                <w:color w:val="6B7078"/>
                <w:sz w:val="18"/>
                <w:szCs w:val="18"/>
              </w:rPr>
              <w:t>data protection, verification/KYC processes, contracts</w:t>
            </w:r>
          </w:p>
        </w:tc>
      </w:tr>
    </w:tbl>
    <w:p w14:paraId="62816D2A" w14:textId="77777777" w:rsidR="00213CA5" w:rsidRDefault="00000000">
      <w:pPr>
        <w:spacing w:before="100" w:after="140"/>
      </w:pPr>
      <w:r>
        <w:rPr>
          <w:rFonts w:ascii="Calibri" w:eastAsia="Calibri" w:hAnsi="Calibri" w:cs="Calibri"/>
          <w:b/>
          <w:bCs/>
          <w:color w:val="20232B"/>
        </w:rPr>
        <w:t xml:space="preserve">Target outcomes from the round: </w:t>
      </w:r>
      <w:r>
        <w:rPr>
          <w:rFonts w:ascii="Calibri" w:eastAsia="Calibri" w:hAnsi="Calibri" w:cs="Calibri"/>
          <w:color w:val="20232B"/>
        </w:rPr>
        <w:t>launch a functioning classifieds verification &amp; matching platform MVP within 12 months; increase verified listings, agent, and transaction throughput across all categories; establish repeatable, scalable revenue from platform-enabled subscriptions and ads; and position MORE Classifieds for a larger institutional or strategic round for regional expansion.</w:t>
      </w:r>
    </w:p>
    <w:tbl>
      <w:tblPr>
        <w:tblW w:w="9600" w:type="dxa"/>
        <w:tblBorders>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00"/>
      </w:tblGrid>
      <w:tr w:rsidR="00213CA5" w14:paraId="5FBEDB6A" w14:textId="77777777">
        <w:tblPrEx>
          <w:tblCellMar>
            <w:top w:w="0" w:type="dxa"/>
            <w:bottom w:w="0" w:type="dxa"/>
          </w:tblCellMar>
        </w:tblPrEx>
        <w:trPr>
          <w:cantSplit/>
        </w:trPr>
        <w:tc>
          <w:tcPr>
            <w:tcW w:w="9600" w:type="dxa"/>
            <w:shd w:val="clear" w:color="auto" w:fill="1E2430"/>
            <w:tcMar>
              <w:top w:w="220" w:type="dxa"/>
              <w:left w:w="260" w:type="dxa"/>
              <w:bottom w:w="220" w:type="dxa"/>
              <w:right w:w="260" w:type="dxa"/>
            </w:tcMar>
          </w:tcPr>
          <w:p w14:paraId="1A45E211" w14:textId="77777777" w:rsidR="00213CA5" w:rsidRDefault="00000000">
            <w:pPr>
              <w:spacing w:after="60"/>
            </w:pPr>
            <w:r>
              <w:rPr>
                <w:rFonts w:ascii="Calibri" w:eastAsia="Calibri" w:hAnsi="Calibri" w:cs="Calibri"/>
                <w:b/>
                <w:bCs/>
                <w:color w:val="F1591C"/>
                <w:spacing w:val="12"/>
                <w:sz w:val="16"/>
                <w:szCs w:val="16"/>
              </w:rPr>
              <w:t>LET’S CONTINUE THE CONVERSATION</w:t>
            </w:r>
          </w:p>
          <w:p w14:paraId="05FE58AE" w14:textId="2EB065BF" w:rsidR="00213CA5" w:rsidRDefault="00DC67F8">
            <w:pPr>
              <w:spacing w:after="40"/>
            </w:pPr>
            <w:r>
              <w:rPr>
                <w:rFonts w:ascii="Calibri" w:eastAsia="Calibri" w:hAnsi="Calibri" w:cs="Calibri"/>
                <w:b/>
                <w:bCs/>
                <w:color w:val="FFFFFF"/>
              </w:rPr>
              <w:t xml:space="preserve">Willice </w:t>
            </w:r>
            <w:proofErr w:type="gramStart"/>
            <w:r>
              <w:rPr>
                <w:rFonts w:ascii="Calibri" w:eastAsia="Calibri" w:hAnsi="Calibri" w:cs="Calibri"/>
                <w:b/>
                <w:bCs/>
                <w:color w:val="FFFFFF"/>
              </w:rPr>
              <w:t>Onyango</w:t>
            </w:r>
            <w:r w:rsidR="00000000">
              <w:rPr>
                <w:rFonts w:ascii="Calibri" w:eastAsia="Calibri" w:hAnsi="Calibri" w:cs="Calibri"/>
                <w:b/>
                <w:bCs/>
                <w:color w:val="FFFFFF"/>
              </w:rPr>
              <w:t xml:space="preserve">  ·</w:t>
            </w:r>
            <w:proofErr w:type="gramEnd"/>
            <w:r w:rsidR="00000000">
              <w:rPr>
                <w:rFonts w:ascii="Calibri" w:eastAsia="Calibri" w:hAnsi="Calibri" w:cs="Calibri"/>
                <w:b/>
                <w:bCs/>
                <w:color w:val="FFFFFF"/>
              </w:rPr>
              <w:t xml:space="preserve">  Founder &amp; Chief Executive Officer</w:t>
            </w:r>
          </w:p>
          <w:p w14:paraId="099CCF06" w14:textId="77777777" w:rsidR="00213CA5" w:rsidRDefault="00000000">
            <w:r>
              <w:rPr>
                <w:rFonts w:ascii="Calibri" w:eastAsia="Calibri" w:hAnsi="Calibri" w:cs="Calibri"/>
                <w:color w:val="D8DAE2"/>
                <w:sz w:val="19"/>
                <w:szCs w:val="19"/>
              </w:rPr>
              <w:t>info@more.co.ke   ·   0716 404 040   ·   www.more.co.ke</w:t>
            </w:r>
          </w:p>
        </w:tc>
      </w:tr>
    </w:tbl>
    <w:p w14:paraId="37F4613A" w14:textId="77777777" w:rsidR="00F70488" w:rsidRDefault="00F70488"/>
    <w:sectPr w:rsidR="00F70488">
      <w:headerReference w:type="default" r:id="rId8"/>
      <w:footerReference w:type="default" r:id="rId9"/>
      <w:pgSz w:w="12240" w:h="15840"/>
      <w:pgMar w:top="720" w:right="900" w:bottom="72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9B631" w14:textId="77777777" w:rsidR="00F70488" w:rsidRDefault="00F70488">
      <w:r>
        <w:separator/>
      </w:r>
    </w:p>
  </w:endnote>
  <w:endnote w:type="continuationSeparator" w:id="0">
    <w:p w14:paraId="2AC42A07" w14:textId="77777777" w:rsidR="00F70488" w:rsidRDefault="00F70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65C4" w14:textId="77777777" w:rsidR="00213CA5" w:rsidRDefault="00000000">
    <w:pPr>
      <w:pBdr>
        <w:top w:val="single" w:sz="4" w:space="6" w:color="D8D9D5"/>
      </w:pBdr>
    </w:pPr>
    <w:r>
      <w:rPr>
        <w:rFonts w:ascii="Calibri" w:eastAsia="Calibri" w:hAnsi="Calibri" w:cs="Calibri"/>
        <w:i/>
        <w:iCs/>
        <w:color w:val="6B7078"/>
        <w:sz w:val="13"/>
        <w:szCs w:val="13"/>
      </w:rPr>
      <w:t>CONFIDENTIAL — for discussion purposes only. Not an offer to sell or a solicitation to buy securities. Figures are indicative and subject to change.</w:t>
    </w:r>
  </w:p>
  <w:p w14:paraId="5194DCC7" w14:textId="77777777" w:rsidR="00213CA5" w:rsidRDefault="00000000">
    <w:pPr>
      <w:jc w:val="right"/>
    </w:pPr>
    <w:r>
      <w:rPr>
        <w:rFonts w:ascii="Calibri" w:eastAsia="Calibri" w:hAnsi="Calibri" w:cs="Calibri"/>
        <w:color w:val="6B7078"/>
        <w:sz w:val="14"/>
        <w:szCs w:val="14"/>
      </w:rPr>
      <w:t xml:space="preserve">Page </w:t>
    </w:r>
    <w:r>
      <w:rPr>
        <w:rFonts w:ascii="Calibri" w:eastAsia="Calibri" w:hAnsi="Calibri" w:cs="Calibri"/>
        <w:color w:val="6B7078"/>
        <w:sz w:val="14"/>
        <w:szCs w:val="14"/>
      </w:rPr>
      <w:fldChar w:fldCharType="begin"/>
    </w:r>
    <w:r>
      <w:rPr>
        <w:rFonts w:ascii="Calibri" w:eastAsia="Calibri" w:hAnsi="Calibri" w:cs="Calibri"/>
        <w:color w:val="6B7078"/>
        <w:sz w:val="14"/>
        <w:szCs w:val="14"/>
      </w:rPr>
      <w:instrText>PAGE</w:instrText>
    </w:r>
    <w:r>
      <w:rPr>
        <w:rFonts w:ascii="Calibri" w:eastAsia="Calibri" w:hAnsi="Calibri" w:cs="Calibri"/>
        <w:color w:val="6B7078"/>
        <w:sz w:val="14"/>
        <w:szCs w:val="14"/>
      </w:rPr>
      <w:fldChar w:fldCharType="separate"/>
    </w:r>
    <w:r w:rsidR="00DC67F8">
      <w:rPr>
        <w:rFonts w:ascii="Calibri" w:eastAsia="Calibri" w:hAnsi="Calibri" w:cs="Calibri"/>
        <w:noProof/>
        <w:color w:val="6B7078"/>
        <w:sz w:val="14"/>
        <w:szCs w:val="14"/>
      </w:rPr>
      <w:t>1</w:t>
    </w:r>
    <w:r>
      <w:rPr>
        <w:rFonts w:ascii="Calibri" w:eastAsia="Calibri" w:hAnsi="Calibri" w:cs="Calibri"/>
        <w:color w:val="6B7078"/>
        <w:sz w:val="14"/>
        <w:szCs w:val="14"/>
      </w:rPr>
      <w:fldChar w:fldCharType="end"/>
    </w:r>
    <w:r>
      <w:rPr>
        <w:rFonts w:ascii="Calibri" w:eastAsia="Calibri" w:hAnsi="Calibri" w:cs="Calibri"/>
        <w:color w:val="6B7078"/>
        <w:sz w:val="14"/>
        <w:szCs w:val="14"/>
      </w:rPr>
      <w:t xml:space="preserve"> of </w:t>
    </w:r>
    <w:r>
      <w:rPr>
        <w:rFonts w:ascii="Calibri" w:eastAsia="Calibri" w:hAnsi="Calibri" w:cs="Calibri"/>
        <w:color w:val="6B7078"/>
        <w:sz w:val="14"/>
        <w:szCs w:val="14"/>
      </w:rPr>
      <w:fldChar w:fldCharType="begin"/>
    </w:r>
    <w:r>
      <w:rPr>
        <w:rFonts w:ascii="Calibri" w:eastAsia="Calibri" w:hAnsi="Calibri" w:cs="Calibri"/>
        <w:color w:val="6B7078"/>
        <w:sz w:val="14"/>
        <w:szCs w:val="14"/>
      </w:rPr>
      <w:instrText>NUMPAGES</w:instrText>
    </w:r>
    <w:r>
      <w:rPr>
        <w:rFonts w:ascii="Calibri" w:eastAsia="Calibri" w:hAnsi="Calibri" w:cs="Calibri"/>
        <w:color w:val="6B7078"/>
        <w:sz w:val="14"/>
        <w:szCs w:val="14"/>
      </w:rPr>
      <w:fldChar w:fldCharType="separate"/>
    </w:r>
    <w:r w:rsidR="00DC67F8">
      <w:rPr>
        <w:rFonts w:ascii="Calibri" w:eastAsia="Calibri" w:hAnsi="Calibri" w:cs="Calibri"/>
        <w:noProof/>
        <w:color w:val="6B7078"/>
        <w:sz w:val="14"/>
        <w:szCs w:val="14"/>
      </w:rPr>
      <w:t>2</w:t>
    </w:r>
    <w:r>
      <w:rPr>
        <w:rFonts w:ascii="Calibri" w:eastAsia="Calibri" w:hAnsi="Calibri" w:cs="Calibri"/>
        <w:color w:val="6B7078"/>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04E32" w14:textId="77777777" w:rsidR="00F70488" w:rsidRDefault="00F70488">
      <w:r>
        <w:separator/>
      </w:r>
    </w:p>
  </w:footnote>
  <w:footnote w:type="continuationSeparator" w:id="0">
    <w:p w14:paraId="4E8C1FC2" w14:textId="77777777" w:rsidR="00F70488" w:rsidRDefault="00F70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29BD7" w14:textId="77777777" w:rsidR="00213CA5" w:rsidRDefault="00000000">
    <w:pPr>
      <w:pBdr>
        <w:bottom w:val="single" w:sz="6" w:space="6" w:color="F1591C"/>
      </w:pBdr>
    </w:pPr>
    <w:r>
      <w:rPr>
        <w:rFonts w:ascii="Bookman Old Style" w:eastAsia="Bookman Old Style" w:hAnsi="Bookman Old Style" w:cs="Bookman Old Style"/>
        <w:b/>
        <w:bCs/>
        <w:color w:val="1E2430"/>
        <w:sz w:val="18"/>
        <w:szCs w:val="18"/>
      </w:rPr>
      <w:t>MORE CLASSIFIEDS</w:t>
    </w:r>
    <w:r>
      <w:rPr>
        <w:rFonts w:ascii="Calibri" w:eastAsia="Calibri" w:hAnsi="Calibri" w:cs="Calibri"/>
        <w:i/>
        <w:iCs/>
        <w:color w:val="6B7078"/>
        <w:sz w:val="16"/>
        <w:szCs w:val="16"/>
      </w:rPr>
      <w:t xml:space="preserve">   ·   Confidential Investment Teaser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768A3"/>
    <w:multiLevelType w:val="hybridMultilevel"/>
    <w:tmpl w:val="191EF9DA"/>
    <w:lvl w:ilvl="0" w:tplc="C382E336">
      <w:start w:val="1"/>
      <w:numFmt w:val="bullet"/>
      <w:lvlText w:val="●"/>
      <w:lvlJc w:val="left"/>
      <w:pPr>
        <w:ind w:left="720" w:hanging="360"/>
      </w:pPr>
    </w:lvl>
    <w:lvl w:ilvl="1" w:tplc="24FC2FB2">
      <w:start w:val="1"/>
      <w:numFmt w:val="bullet"/>
      <w:lvlText w:val="○"/>
      <w:lvlJc w:val="left"/>
      <w:pPr>
        <w:ind w:left="1440" w:hanging="360"/>
      </w:pPr>
    </w:lvl>
    <w:lvl w:ilvl="2" w:tplc="0994BE4E">
      <w:start w:val="1"/>
      <w:numFmt w:val="bullet"/>
      <w:lvlText w:val="■"/>
      <w:lvlJc w:val="left"/>
      <w:pPr>
        <w:ind w:left="2160" w:hanging="360"/>
      </w:pPr>
    </w:lvl>
    <w:lvl w:ilvl="3" w:tplc="69984240">
      <w:start w:val="1"/>
      <w:numFmt w:val="bullet"/>
      <w:lvlText w:val="●"/>
      <w:lvlJc w:val="left"/>
      <w:pPr>
        <w:ind w:left="2880" w:hanging="360"/>
      </w:pPr>
    </w:lvl>
    <w:lvl w:ilvl="4" w:tplc="069CEEBA">
      <w:start w:val="1"/>
      <w:numFmt w:val="bullet"/>
      <w:lvlText w:val="○"/>
      <w:lvlJc w:val="left"/>
      <w:pPr>
        <w:ind w:left="3600" w:hanging="360"/>
      </w:pPr>
    </w:lvl>
    <w:lvl w:ilvl="5" w:tplc="F7D442E2">
      <w:start w:val="1"/>
      <w:numFmt w:val="bullet"/>
      <w:lvlText w:val="■"/>
      <w:lvlJc w:val="left"/>
      <w:pPr>
        <w:ind w:left="4320" w:hanging="360"/>
      </w:pPr>
    </w:lvl>
    <w:lvl w:ilvl="6" w:tplc="46604966">
      <w:start w:val="1"/>
      <w:numFmt w:val="bullet"/>
      <w:lvlText w:val="●"/>
      <w:lvlJc w:val="left"/>
      <w:pPr>
        <w:ind w:left="5040" w:hanging="360"/>
      </w:pPr>
    </w:lvl>
    <w:lvl w:ilvl="7" w:tplc="6128A9E8">
      <w:start w:val="1"/>
      <w:numFmt w:val="bullet"/>
      <w:lvlText w:val="●"/>
      <w:lvlJc w:val="left"/>
      <w:pPr>
        <w:ind w:left="5760" w:hanging="360"/>
      </w:pPr>
    </w:lvl>
    <w:lvl w:ilvl="8" w:tplc="A07C459A">
      <w:start w:val="1"/>
      <w:numFmt w:val="bullet"/>
      <w:lvlText w:val="●"/>
      <w:lvlJc w:val="left"/>
      <w:pPr>
        <w:ind w:left="6480" w:hanging="360"/>
      </w:pPr>
    </w:lvl>
  </w:abstractNum>
  <w:num w:numId="1" w16cid:durableId="7380973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CA5"/>
    <w:rsid w:val="001D3D28"/>
    <w:rsid w:val="00213CA5"/>
    <w:rsid w:val="00DC67F8"/>
    <w:rsid w:val="00F70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CE670"/>
  <w15:docId w15:val="{14DB9D66-48D7-4AAA-937A-04CF4673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DC67F8"/>
    <w:pPr>
      <w:tabs>
        <w:tab w:val="center" w:pos="4680"/>
        <w:tab w:val="right" w:pos="9360"/>
      </w:tabs>
    </w:pPr>
  </w:style>
  <w:style w:type="character" w:customStyle="1" w:styleId="HeaderChar">
    <w:name w:val="Header Char"/>
    <w:basedOn w:val="DefaultParagraphFont"/>
    <w:link w:val="Header"/>
    <w:uiPriority w:val="99"/>
    <w:rsid w:val="00DC67F8"/>
  </w:style>
  <w:style w:type="paragraph" w:styleId="Footer">
    <w:name w:val="footer"/>
    <w:basedOn w:val="Normal"/>
    <w:link w:val="FooterChar"/>
    <w:uiPriority w:val="99"/>
    <w:unhideWhenUsed/>
    <w:rsid w:val="00DC67F8"/>
    <w:pPr>
      <w:tabs>
        <w:tab w:val="center" w:pos="4680"/>
        <w:tab w:val="right" w:pos="9360"/>
      </w:tabs>
    </w:pPr>
  </w:style>
  <w:style w:type="character" w:customStyle="1" w:styleId="FooterChar">
    <w:name w:val="Footer Char"/>
    <w:basedOn w:val="DefaultParagraphFont"/>
    <w:link w:val="Footer"/>
    <w:uiPriority w:val="99"/>
    <w:rsid w:val="00DC6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709</Words>
  <Characters>4044</Characters>
  <Application>Microsoft Office Word</Application>
  <DocSecurity>0</DocSecurity>
  <Lines>33</Lines>
  <Paragraphs>9</Paragraphs>
  <ScaleCrop>false</ScaleCrop>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kevin watsiaya</cp:lastModifiedBy>
  <cp:revision>3</cp:revision>
  <dcterms:created xsi:type="dcterms:W3CDTF">2026-08-11T09:23:00Z</dcterms:created>
  <dcterms:modified xsi:type="dcterms:W3CDTF">2026-08-11T10:14:00Z</dcterms:modified>
</cp:coreProperties>
</file>