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D152" w14:textId="77777777" w:rsidR="00D2185F" w:rsidRPr="00A7247F" w:rsidRDefault="00D2185F" w:rsidP="00D2185F">
      <w:pPr>
        <w:rPr>
          <w:b/>
          <w:bCs/>
          <w:lang w:val="en-GB"/>
        </w:rPr>
      </w:pPr>
      <w:bookmarkStart w:id="0" w:name="_Hlk206515570"/>
      <w:r w:rsidRPr="00A7247F">
        <w:rPr>
          <w:b/>
          <w:bCs/>
          <w:lang w:val="en-GB"/>
        </w:rPr>
        <w:t>Project Title</w:t>
      </w:r>
    </w:p>
    <w:p w14:paraId="4BC6FDAC" w14:textId="509A98A6" w:rsidR="00D2185F" w:rsidRPr="00A7247F" w:rsidRDefault="00D2185F" w:rsidP="00D2185F">
      <w:pPr>
        <w:rPr>
          <w:b/>
          <w:bCs/>
          <w:lang w:val="en-GB"/>
        </w:rPr>
      </w:pPr>
      <w:r w:rsidRPr="00A7247F">
        <w:rPr>
          <w:b/>
          <w:bCs/>
          <w:lang w:val="en-GB"/>
        </w:rPr>
        <w:t xml:space="preserve">LLM4CVC – </w:t>
      </w:r>
      <w:r w:rsidR="007549F7" w:rsidRPr="00A7247F">
        <w:rPr>
          <w:b/>
          <w:bCs/>
          <w:lang w:val="en-GB"/>
        </w:rPr>
        <w:t>Large Language Models for Circular Value Creation</w:t>
      </w:r>
    </w:p>
    <w:p w14:paraId="2BFE82E2" w14:textId="4692BE1C" w:rsidR="00D2185F" w:rsidRPr="005F24CB" w:rsidRDefault="007549F7" w:rsidP="00D2185F">
      <w:pPr>
        <w:rPr>
          <w:lang w:val="en-GB"/>
        </w:rPr>
      </w:pPr>
      <w:r w:rsidRPr="00A7247F">
        <w:rPr>
          <w:b/>
          <w:bCs/>
          <w:lang w:val="en-GB"/>
        </w:rPr>
        <w:t>AI-driven Adaptive Disassembly Planning for Circular Value Creation</w:t>
      </w:r>
      <w:r w:rsidRPr="00A7247F">
        <w:rPr>
          <w:lang w:val="en-GB"/>
        </w:rPr>
        <w:br/>
      </w:r>
      <w:r w:rsidRPr="00A7247F">
        <w:rPr>
          <w:b/>
          <w:bCs/>
          <w:lang w:val="en-GB"/>
        </w:rPr>
        <w:t>Project Duration</w:t>
      </w:r>
      <w:r w:rsidRPr="00A7247F">
        <w:rPr>
          <w:lang w:val="en-GB"/>
        </w:rPr>
        <w:t>: 36 months (2026–2029)</w:t>
      </w:r>
      <w:r w:rsidRPr="00A7247F">
        <w:rPr>
          <w:lang w:val="en-GB"/>
        </w:rPr>
        <w:br/>
      </w:r>
      <w:r w:rsidRPr="00A7247F">
        <w:rPr>
          <w:b/>
          <w:bCs/>
          <w:lang w:val="en-GB"/>
        </w:rPr>
        <w:t>Funding Instrument</w:t>
      </w:r>
      <w:r w:rsidRPr="00A7247F">
        <w:rPr>
          <w:lang w:val="en-GB"/>
        </w:rPr>
        <w:t>: Eureka Call 2025 – Circular Value Creation</w:t>
      </w:r>
    </w:p>
    <w:p w14:paraId="5DEFD1F2" w14:textId="77777777" w:rsidR="00D2185F" w:rsidRPr="00A7247F" w:rsidRDefault="00D2185F" w:rsidP="00D2185F">
      <w:pPr>
        <w:rPr>
          <w:b/>
          <w:bCs/>
          <w:lang w:val="en-GB"/>
        </w:rPr>
      </w:pPr>
      <w:r w:rsidRPr="00A7247F">
        <w:rPr>
          <w:b/>
          <w:bCs/>
          <w:lang w:val="en-GB"/>
        </w:rPr>
        <w:t>Project Summary</w:t>
      </w:r>
    </w:p>
    <w:p w14:paraId="6C1DF67B" w14:textId="0737089F" w:rsidR="00B64A0A" w:rsidRPr="00A7247F" w:rsidRDefault="00D2185F" w:rsidP="00B64A0A">
      <w:pPr>
        <w:rPr>
          <w:lang w:val="en-GB"/>
        </w:rPr>
      </w:pPr>
      <w:r w:rsidRPr="00A7247F">
        <w:rPr>
          <w:bCs/>
          <w:lang w:val="en-GB"/>
        </w:rPr>
        <w:t>Circular value creation requires that products and components can be efficiently dismantled and reused. However, disassembly processes are still largely manual, undocumented, and cost-intensive — especially in high-variance product environments.</w:t>
      </w:r>
      <w:r w:rsidR="00AB0C73" w:rsidRPr="00A7247F">
        <w:rPr>
          <w:bCs/>
          <w:lang w:val="en-GB"/>
        </w:rPr>
        <w:t xml:space="preserve"> </w:t>
      </w:r>
      <w:r w:rsidRPr="00A7247F">
        <w:rPr>
          <w:bCs/>
          <w:lang w:val="en-GB"/>
        </w:rPr>
        <w:t xml:space="preserve">LLM4CVC addresses this gap by developing an AI-based system that generates structured disassembly instructions from existing product documentation. </w:t>
      </w:r>
      <w:r w:rsidR="00B64A0A" w:rsidRPr="00A7247F">
        <w:rPr>
          <w:lang w:val="en-GB"/>
        </w:rPr>
        <w:t xml:space="preserve">By combining </w:t>
      </w:r>
      <w:r w:rsidR="00B64A0A" w:rsidRPr="00A7247F">
        <w:rPr>
          <w:b/>
          <w:bCs/>
          <w:lang w:val="en-GB"/>
        </w:rPr>
        <w:t>Large Language Models (LLMs)</w:t>
      </w:r>
      <w:r w:rsidR="00B64A0A" w:rsidRPr="00A7247F">
        <w:rPr>
          <w:lang w:val="en-GB"/>
        </w:rPr>
        <w:t xml:space="preserve"> and </w:t>
      </w:r>
      <w:r w:rsidR="00B64A0A" w:rsidRPr="00A7247F">
        <w:rPr>
          <w:b/>
          <w:bCs/>
          <w:lang w:val="en-GB"/>
        </w:rPr>
        <w:t>Graph Neural Networks (GNNs)</w:t>
      </w:r>
      <w:r w:rsidR="00B64A0A" w:rsidRPr="00A7247F">
        <w:rPr>
          <w:lang w:val="en-GB"/>
        </w:rPr>
        <w:t xml:space="preserve">, the project transforms </w:t>
      </w:r>
      <w:r w:rsidR="00B64A0A" w:rsidRPr="00A7247F">
        <w:rPr>
          <w:b/>
          <w:bCs/>
          <w:lang w:val="en-GB"/>
        </w:rPr>
        <w:t>unstructured product information</w:t>
      </w:r>
      <w:r w:rsidR="00B64A0A" w:rsidRPr="00A7247F">
        <w:rPr>
          <w:lang w:val="en-GB"/>
        </w:rPr>
        <w:t xml:space="preserve"> (manuals, digital product passports, engineering data, online sources) into </w:t>
      </w:r>
      <w:r w:rsidR="00B64A0A" w:rsidRPr="00A7247F">
        <w:rPr>
          <w:b/>
          <w:bCs/>
          <w:lang w:val="en-GB"/>
        </w:rPr>
        <w:t>structured, executable disassembly instructions</w:t>
      </w:r>
      <w:r w:rsidR="00B64A0A" w:rsidRPr="00A7247F">
        <w:rPr>
          <w:lang w:val="en-GB"/>
        </w:rPr>
        <w:t xml:space="preserve">. A </w:t>
      </w:r>
      <w:r w:rsidR="00B64A0A" w:rsidRPr="00A7247F">
        <w:rPr>
          <w:b/>
          <w:bCs/>
          <w:lang w:val="en-GB"/>
        </w:rPr>
        <w:t>scheduler</w:t>
      </w:r>
      <w:r w:rsidR="00B64A0A" w:rsidRPr="00A7247F">
        <w:rPr>
          <w:lang w:val="en-GB"/>
        </w:rPr>
        <w:t xml:space="preserve"> integrates these instructions with </w:t>
      </w:r>
      <w:r w:rsidR="00B64A0A" w:rsidRPr="00A7247F">
        <w:rPr>
          <w:b/>
          <w:bCs/>
          <w:lang w:val="en-GB"/>
        </w:rPr>
        <w:t>automatability assessments, condition monitoring</w:t>
      </w:r>
      <w:r w:rsidR="00B64A0A" w:rsidRPr="00A7247F">
        <w:rPr>
          <w:lang w:val="en-GB"/>
        </w:rPr>
        <w:t xml:space="preserve">, and </w:t>
      </w:r>
      <w:r w:rsidR="00B64A0A" w:rsidRPr="00A7247F">
        <w:rPr>
          <w:b/>
          <w:bCs/>
          <w:lang w:val="en-GB"/>
        </w:rPr>
        <w:t>expert knowledge</w:t>
      </w:r>
      <w:r w:rsidR="00B64A0A" w:rsidRPr="00A7247F">
        <w:rPr>
          <w:lang w:val="en-GB"/>
        </w:rPr>
        <w:t xml:space="preserve">, resulting in </w:t>
      </w:r>
      <w:r w:rsidR="00B64A0A" w:rsidRPr="00A7247F">
        <w:rPr>
          <w:b/>
          <w:bCs/>
          <w:lang w:val="en-GB"/>
        </w:rPr>
        <w:t>optimized disassembly strategies</w:t>
      </w:r>
      <w:r w:rsidR="00B64A0A" w:rsidRPr="00A7247F">
        <w:rPr>
          <w:lang w:val="en-GB"/>
        </w:rPr>
        <w:t>.</w:t>
      </w:r>
    </w:p>
    <w:p w14:paraId="563A76BA" w14:textId="62B6B66F" w:rsidR="00D2185F" w:rsidRPr="00A7247F" w:rsidRDefault="00B64A0A" w:rsidP="00D2185F">
      <w:pPr>
        <w:rPr>
          <w:bCs/>
          <w:lang w:val="en-GB"/>
        </w:rPr>
      </w:pPr>
      <w:r w:rsidRPr="00A7247F">
        <w:rPr>
          <w:lang w:val="en-GB"/>
        </w:rPr>
        <w:t xml:space="preserve">These strategies will be validated by </w:t>
      </w:r>
      <w:r w:rsidRPr="00A7247F">
        <w:rPr>
          <w:b/>
          <w:bCs/>
          <w:lang w:val="en-GB"/>
        </w:rPr>
        <w:t>real-world industrial demonstrators</w:t>
      </w:r>
      <w:r w:rsidRPr="00A7247F">
        <w:rPr>
          <w:lang w:val="en-GB"/>
        </w:rPr>
        <w:t xml:space="preserve"> provided by partners</w:t>
      </w:r>
      <w:r w:rsidR="00D2185F" w:rsidRPr="00A7247F">
        <w:rPr>
          <w:bCs/>
          <w:lang w:val="en-GB"/>
        </w:rPr>
        <w:t>.</w:t>
      </w:r>
    </w:p>
    <w:p w14:paraId="7E76B6A5" w14:textId="77777777" w:rsidR="00B64A0A" w:rsidRPr="00A7247F" w:rsidRDefault="00B64A0A" w:rsidP="00B64A0A">
      <w:pPr>
        <w:rPr>
          <w:lang w:val="en-GB"/>
        </w:rPr>
      </w:pPr>
      <w:r w:rsidRPr="00A7247F">
        <w:rPr>
          <w:lang w:val="en-GB"/>
        </w:rPr>
        <w:t>The Project aims to enable manufacturers and recyclers alike to leverage automated disassembly to remove targeted parts and subassemblies for reuse or repair or recycling. This will create significant progress towards achieving sustainability goals for manufacturers as well as remanufacturing and recycling operations.</w:t>
      </w:r>
    </w:p>
    <w:p w14:paraId="1BE990E5" w14:textId="77777777" w:rsidR="00D2185F" w:rsidRPr="00A7247F" w:rsidRDefault="00000000" w:rsidP="00D2185F">
      <w:pPr>
        <w:rPr>
          <w:b/>
          <w:bCs/>
          <w:lang w:val="en-GB"/>
        </w:rPr>
      </w:pPr>
      <w:r>
        <w:rPr>
          <w:b/>
          <w:bCs/>
          <w:lang w:val="en-GB"/>
        </w:rPr>
        <w:pict w14:anchorId="50294A9E">
          <v:rect id="_x0000_i1025" style="width:0;height:1.5pt" o:hralign="center" o:hrstd="t" o:hr="t" fillcolor="#a0a0a0" stroked="f"/>
        </w:pict>
      </w:r>
    </w:p>
    <w:p w14:paraId="6A685411" w14:textId="77777777" w:rsidR="00D2185F" w:rsidRPr="00A7247F" w:rsidRDefault="00D2185F" w:rsidP="00D2185F">
      <w:pPr>
        <w:rPr>
          <w:b/>
          <w:bCs/>
          <w:lang w:val="en-GB"/>
        </w:rPr>
      </w:pPr>
      <w:r w:rsidRPr="00A7247F">
        <w:rPr>
          <w:b/>
          <w:bCs/>
          <w:lang w:val="en-GB"/>
        </w:rPr>
        <w:t>Key Innovations</w:t>
      </w:r>
    </w:p>
    <w:p w14:paraId="60F1FDEE" w14:textId="77777777" w:rsidR="00E24A96" w:rsidRPr="00A7247F" w:rsidRDefault="00E24A96" w:rsidP="00E24A96">
      <w:pPr>
        <w:rPr>
          <w:b/>
          <w:bCs/>
          <w:lang w:val="en-GB"/>
        </w:rPr>
      </w:pPr>
      <w:r w:rsidRPr="00A7247F">
        <w:rPr>
          <w:b/>
          <w:bCs/>
          <w:lang w:val="en-GB"/>
        </w:rPr>
        <w:t>Automated Knowledge Extraction</w:t>
      </w:r>
    </w:p>
    <w:p w14:paraId="382A33DF" w14:textId="7D6D6BB1" w:rsidR="00E24A96" w:rsidRPr="00A7247F" w:rsidRDefault="00E24A96" w:rsidP="00E24A96">
      <w:pPr>
        <w:rPr>
          <w:lang w:val="en-GB"/>
        </w:rPr>
      </w:pPr>
      <w:r w:rsidRPr="00A7247F">
        <w:rPr>
          <w:lang w:val="en-GB"/>
        </w:rPr>
        <w:t>The project develops advanced pre-processing pipelines and retrieval-augmented generation (RAG) methods to automatically extract relevant disassembly knowledge from unstructured sources such as PDFs, manuals, and CAD metadata. This ensures that previously unused or fragmented information becomes accessible for circular value creation processes.</w:t>
      </w:r>
    </w:p>
    <w:p w14:paraId="4614B2AD" w14:textId="77777777" w:rsidR="00E24A96" w:rsidRPr="00A7247F" w:rsidRDefault="00E24A96" w:rsidP="00E24A96">
      <w:pPr>
        <w:rPr>
          <w:b/>
          <w:bCs/>
          <w:lang w:val="en-GB"/>
        </w:rPr>
      </w:pPr>
      <w:r w:rsidRPr="00A7247F">
        <w:rPr>
          <w:b/>
          <w:bCs/>
          <w:lang w:val="en-GB"/>
        </w:rPr>
        <w:t>Hybrid AI Pipeline (LLM + GNN Fusion)</w:t>
      </w:r>
    </w:p>
    <w:p w14:paraId="53E391C6" w14:textId="4549CC42" w:rsidR="00E24A96" w:rsidRPr="00A7247F" w:rsidRDefault="00E24A96" w:rsidP="00E24A96">
      <w:pPr>
        <w:rPr>
          <w:lang w:val="en-GB"/>
        </w:rPr>
      </w:pPr>
      <w:r w:rsidRPr="00A7247F">
        <w:rPr>
          <w:lang w:val="en-GB"/>
        </w:rPr>
        <w:t>By combining the semantic reasoning power of Large Language Models (LLMs) with the structural analysis capabilities of Graph Neural Networks (GNNs), LLM4CVC generates both human-readable and machine-executable disassembly workflows. These workflows contain step-by-step instructions, safety hints, and task classifications for operators, while at the same time providing structured, automation-ready commands for the control of future fully automated disassembly lines and robotic systems.</w:t>
      </w:r>
    </w:p>
    <w:p w14:paraId="5C5C42BA" w14:textId="77777777" w:rsidR="00E24A96" w:rsidRPr="00A7247F" w:rsidRDefault="00E24A96" w:rsidP="00E24A96">
      <w:pPr>
        <w:rPr>
          <w:b/>
          <w:bCs/>
          <w:lang w:val="en-GB"/>
        </w:rPr>
      </w:pPr>
      <w:r w:rsidRPr="00A7247F">
        <w:rPr>
          <w:b/>
          <w:bCs/>
          <w:lang w:val="en-GB"/>
        </w:rPr>
        <w:t>Plug &amp; Play Integration for Circular Value Creation Workflows</w:t>
      </w:r>
    </w:p>
    <w:p w14:paraId="5A78C5B1" w14:textId="2BD54E7C" w:rsidR="00E24A96" w:rsidRPr="00A7247F" w:rsidRDefault="00E24A96" w:rsidP="00E24A96">
      <w:pPr>
        <w:rPr>
          <w:lang w:val="en-GB"/>
        </w:rPr>
      </w:pPr>
      <w:r w:rsidRPr="00A7247F">
        <w:rPr>
          <w:lang w:val="en-GB"/>
        </w:rPr>
        <w:t xml:space="preserve">The generated disassembly instructions are exported in </w:t>
      </w:r>
      <w:r w:rsidR="00A7247F" w:rsidRPr="00A7247F">
        <w:rPr>
          <w:lang w:val="en-GB"/>
        </w:rPr>
        <w:t>standardized</w:t>
      </w:r>
      <w:r w:rsidRPr="00A7247F">
        <w:rPr>
          <w:lang w:val="en-GB"/>
        </w:rPr>
        <w:t>, machine-readable formats (e.g. JSON, XML), making them directly usable in repair planning tools, manufacturing execution systems (MES), or semi-automated disassembly stations. This plug &amp; play approach allows seamless integration into existing industrial environments and sets the foundation for scaling towards autonomous disassembly facilities.</w:t>
      </w:r>
    </w:p>
    <w:p w14:paraId="7E81DCA2" w14:textId="77777777" w:rsidR="00E24A96" w:rsidRPr="00A7247F" w:rsidRDefault="00E24A96" w:rsidP="00E24A96">
      <w:pPr>
        <w:rPr>
          <w:b/>
          <w:bCs/>
          <w:lang w:val="en-GB"/>
        </w:rPr>
      </w:pPr>
      <w:r w:rsidRPr="00A7247F">
        <w:rPr>
          <w:b/>
          <w:bCs/>
          <w:lang w:val="en-GB"/>
        </w:rPr>
        <w:t>Business Case and Circular Value Creation Assessment</w:t>
      </w:r>
    </w:p>
    <w:p w14:paraId="5B6658B5" w14:textId="1347BB98" w:rsidR="00A416E5" w:rsidRPr="00A7247F" w:rsidRDefault="00E24A96" w:rsidP="00A416E5">
      <w:pPr>
        <w:rPr>
          <w:lang w:val="en-GB"/>
        </w:rPr>
      </w:pPr>
      <w:r w:rsidRPr="00A7247F">
        <w:rPr>
          <w:lang w:val="en-GB"/>
        </w:rPr>
        <w:lastRenderedPageBreak/>
        <w:t>Beyond technical outputs, the project enriches disassembly steps with quantified economic and sustainability metrics, such as estimated carbon savings from component reuse compared to replacement. These assessments provide an added layer of value for companies, enabling them to evaluate the return on investment (ROI), product carbon footprint (PCF), and strategic benefits of adopting circular value creation practices</w:t>
      </w:r>
      <w:r w:rsidRPr="00A7247F">
        <w:rPr>
          <w:b/>
          <w:bCs/>
          <w:lang w:val="en-GB"/>
        </w:rPr>
        <w:t>.</w:t>
      </w:r>
      <w:r w:rsidR="00A416E5" w:rsidRPr="00A7247F">
        <w:rPr>
          <w:lang w:val="en-GB"/>
        </w:rPr>
        <w:t xml:space="preserve"> </w:t>
      </w:r>
      <w:r w:rsidR="00000000">
        <w:rPr>
          <w:lang w:val="en-GB"/>
        </w:rPr>
        <w:pict w14:anchorId="22060123">
          <v:rect id="_x0000_i1026" style="width:0;height:1.5pt" o:hralign="center" o:hrstd="t" o:hr="t" fillcolor="#a0a0a0" stroked="f"/>
        </w:pict>
      </w:r>
    </w:p>
    <w:p w14:paraId="4F3315F3" w14:textId="45245049" w:rsidR="00F93D5C" w:rsidRPr="00A7247F" w:rsidRDefault="00A416E5" w:rsidP="00A416E5">
      <w:pPr>
        <w:rPr>
          <w:b/>
          <w:bCs/>
          <w:lang w:val="en-GB"/>
        </w:rPr>
      </w:pPr>
      <w:r w:rsidRPr="00A7247F">
        <w:rPr>
          <w:b/>
          <w:bCs/>
          <w:lang w:val="en-GB"/>
        </w:rPr>
        <w:t>Project Framework</w:t>
      </w:r>
    </w:p>
    <w:p w14:paraId="08652C8F" w14:textId="7E708DD5" w:rsidR="00F93D5C" w:rsidRPr="00A7247F" w:rsidRDefault="00AB0C73" w:rsidP="00A416E5">
      <w:pPr>
        <w:rPr>
          <w:b/>
          <w:bCs/>
          <w:lang w:val="en-GB"/>
        </w:rPr>
      </w:pPr>
      <w:r w:rsidRPr="00A7247F">
        <w:rPr>
          <w:b/>
          <w:bCs/>
          <w:noProof/>
          <w:lang w:val="en-GB"/>
        </w:rPr>
        <w:drawing>
          <wp:inline distT="0" distB="0" distL="0" distR="0" wp14:anchorId="56A6856E" wp14:editId="3EFE0F01">
            <wp:extent cx="5762625" cy="2676525"/>
            <wp:effectExtent l="0" t="0" r="9525" b="9525"/>
            <wp:docPr id="3710429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676525"/>
                    </a:xfrm>
                    <a:prstGeom prst="rect">
                      <a:avLst/>
                    </a:prstGeom>
                    <a:noFill/>
                    <a:ln>
                      <a:noFill/>
                    </a:ln>
                  </pic:spPr>
                </pic:pic>
              </a:graphicData>
            </a:graphic>
          </wp:inline>
        </w:drawing>
      </w:r>
    </w:p>
    <w:p w14:paraId="18EF06CE" w14:textId="77777777" w:rsidR="00A416E5" w:rsidRPr="00A7247F" w:rsidRDefault="00A416E5" w:rsidP="00A416E5">
      <w:pPr>
        <w:rPr>
          <w:b/>
          <w:bCs/>
          <w:lang w:val="en-GB"/>
        </w:rPr>
      </w:pPr>
    </w:p>
    <w:p w14:paraId="611D6F76" w14:textId="77777777" w:rsidR="00A416E5" w:rsidRPr="00A7247F" w:rsidRDefault="00A416E5" w:rsidP="00A416E5">
      <w:pPr>
        <w:rPr>
          <w:lang w:val="en-GB"/>
        </w:rPr>
      </w:pPr>
      <w:r w:rsidRPr="00A7247F">
        <w:rPr>
          <w:lang w:val="en-GB"/>
        </w:rPr>
        <w:t xml:space="preserve">The project is submitted under the </w:t>
      </w:r>
      <w:r w:rsidRPr="00A7247F">
        <w:rPr>
          <w:b/>
          <w:bCs/>
          <w:lang w:val="en-GB"/>
        </w:rPr>
        <w:t>Circular Value Creation (CVC) Call</w:t>
      </w:r>
      <w:r w:rsidRPr="00A7247F">
        <w:rPr>
          <w:lang w:val="en-GB"/>
        </w:rPr>
        <w:t xml:space="preserve"> and focuses on:</w:t>
      </w:r>
    </w:p>
    <w:p w14:paraId="4149D94F" w14:textId="77777777" w:rsidR="00A416E5" w:rsidRPr="00A7247F" w:rsidRDefault="00A416E5" w:rsidP="00A416E5">
      <w:pPr>
        <w:numPr>
          <w:ilvl w:val="0"/>
          <w:numId w:val="4"/>
        </w:numPr>
        <w:rPr>
          <w:lang w:val="en-GB"/>
        </w:rPr>
      </w:pPr>
      <w:r w:rsidRPr="00A7247F">
        <w:rPr>
          <w:lang w:val="en-GB"/>
        </w:rPr>
        <w:t>AI and automation to scale reuse and repair</w:t>
      </w:r>
    </w:p>
    <w:p w14:paraId="492292F3" w14:textId="77777777" w:rsidR="00A416E5" w:rsidRPr="00A7247F" w:rsidRDefault="00A416E5" w:rsidP="00A416E5">
      <w:pPr>
        <w:numPr>
          <w:ilvl w:val="0"/>
          <w:numId w:val="4"/>
        </w:numPr>
        <w:rPr>
          <w:lang w:val="en-GB"/>
        </w:rPr>
      </w:pPr>
      <w:r w:rsidRPr="00A7247F">
        <w:rPr>
          <w:lang w:val="en-GB"/>
        </w:rPr>
        <w:t>Cross-system data integration (e.g. DPP, PCDS, CAD)</w:t>
      </w:r>
    </w:p>
    <w:p w14:paraId="4E6C59A8" w14:textId="77777777" w:rsidR="00A416E5" w:rsidRPr="00A7247F" w:rsidRDefault="00A416E5" w:rsidP="00A416E5">
      <w:pPr>
        <w:numPr>
          <w:ilvl w:val="0"/>
          <w:numId w:val="4"/>
        </w:numPr>
        <w:rPr>
          <w:lang w:val="en-GB"/>
        </w:rPr>
      </w:pPr>
      <w:r w:rsidRPr="00A7247F">
        <w:rPr>
          <w:lang w:val="en-GB"/>
        </w:rPr>
        <w:t>Practical, industry-validated tools to support circularity</w:t>
      </w:r>
    </w:p>
    <w:p w14:paraId="3227D410" w14:textId="2FC81359" w:rsidR="00D2185F" w:rsidRPr="00A7247F" w:rsidRDefault="00000000" w:rsidP="00D2185F">
      <w:pPr>
        <w:rPr>
          <w:b/>
          <w:bCs/>
          <w:lang w:val="en-GB"/>
        </w:rPr>
      </w:pPr>
      <w:r>
        <w:rPr>
          <w:b/>
          <w:bCs/>
          <w:lang w:val="en-GB"/>
        </w:rPr>
        <w:pict w14:anchorId="00893089">
          <v:rect id="_x0000_i1027" style="width:0;height:1.5pt" o:hralign="center" o:hrstd="t" o:hr="t" fillcolor="#a0a0a0" stroked="f"/>
        </w:pict>
      </w:r>
    </w:p>
    <w:p w14:paraId="3CFF3BB6" w14:textId="77777777" w:rsidR="00D2185F" w:rsidRPr="00A7247F" w:rsidRDefault="00D2185F" w:rsidP="00D2185F">
      <w:pPr>
        <w:rPr>
          <w:b/>
          <w:bCs/>
          <w:lang w:val="en-GB"/>
        </w:rPr>
      </w:pPr>
      <w:r w:rsidRPr="00A7247F">
        <w:rPr>
          <w:b/>
          <w:bCs/>
          <w:lang w:val="en-GB"/>
        </w:rPr>
        <w:t>What We Offer to Industry Partners</w:t>
      </w:r>
    </w:p>
    <w:p w14:paraId="26A27D0D" w14:textId="77777777" w:rsidR="00D2185F" w:rsidRPr="00A7247F" w:rsidRDefault="00D2185F" w:rsidP="00D2185F">
      <w:pPr>
        <w:rPr>
          <w:bCs/>
          <w:lang w:val="en-GB"/>
        </w:rPr>
      </w:pPr>
      <w:r w:rsidRPr="00A7247F">
        <w:rPr>
          <w:bCs/>
          <w:lang w:val="en-GB"/>
        </w:rPr>
        <w:t>We are inviting industrial companies and solution providers to co-develop and validate the approach with real-world use cases.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7"/>
        <w:gridCol w:w="5583"/>
      </w:tblGrid>
      <w:tr w:rsidR="00D2185F" w:rsidRPr="00A7247F" w14:paraId="52B98DEC" w14:textId="77777777" w:rsidTr="00D2185F">
        <w:trPr>
          <w:tblHeader/>
          <w:tblCellSpacing w:w="15" w:type="dxa"/>
        </w:trPr>
        <w:tc>
          <w:tcPr>
            <w:tcW w:w="0" w:type="auto"/>
            <w:vAlign w:val="center"/>
            <w:hideMark/>
          </w:tcPr>
          <w:p w14:paraId="42A41D96" w14:textId="77777777" w:rsidR="00D2185F" w:rsidRPr="00A7247F" w:rsidRDefault="00D2185F" w:rsidP="00D2185F">
            <w:pPr>
              <w:rPr>
                <w:b/>
                <w:bCs/>
                <w:lang w:val="en-GB"/>
              </w:rPr>
            </w:pPr>
            <w:r w:rsidRPr="00A7247F">
              <w:rPr>
                <w:b/>
                <w:bCs/>
                <w:lang w:val="en-GB"/>
              </w:rPr>
              <w:t>Company Type</w:t>
            </w:r>
          </w:p>
        </w:tc>
        <w:tc>
          <w:tcPr>
            <w:tcW w:w="0" w:type="auto"/>
            <w:vAlign w:val="center"/>
            <w:hideMark/>
          </w:tcPr>
          <w:p w14:paraId="2D0FD05F" w14:textId="77777777" w:rsidR="00D2185F" w:rsidRPr="00A7247F" w:rsidRDefault="00D2185F" w:rsidP="00D2185F">
            <w:pPr>
              <w:rPr>
                <w:b/>
                <w:bCs/>
                <w:lang w:val="en-GB"/>
              </w:rPr>
            </w:pPr>
            <w:r w:rsidRPr="00A7247F">
              <w:rPr>
                <w:b/>
                <w:bCs/>
                <w:lang w:val="en-GB"/>
              </w:rPr>
              <w:t>Contribution &amp; Benefit</w:t>
            </w:r>
          </w:p>
        </w:tc>
      </w:tr>
      <w:tr w:rsidR="00D2185F" w:rsidRPr="008414DA" w14:paraId="1EC3A942" w14:textId="77777777" w:rsidTr="00D2185F">
        <w:trPr>
          <w:tblCellSpacing w:w="15" w:type="dxa"/>
        </w:trPr>
        <w:tc>
          <w:tcPr>
            <w:tcW w:w="0" w:type="auto"/>
            <w:vAlign w:val="center"/>
            <w:hideMark/>
          </w:tcPr>
          <w:p w14:paraId="33868687" w14:textId="77777777" w:rsidR="00D2185F" w:rsidRPr="00A7247F" w:rsidRDefault="00D2185F" w:rsidP="00D2185F">
            <w:pPr>
              <w:rPr>
                <w:bCs/>
                <w:lang w:val="en-GB"/>
              </w:rPr>
            </w:pPr>
            <w:r w:rsidRPr="00A7247F">
              <w:rPr>
                <w:bCs/>
                <w:lang w:val="en-GB"/>
              </w:rPr>
              <w:t>OEMs / Manufacturers</w:t>
            </w:r>
          </w:p>
        </w:tc>
        <w:tc>
          <w:tcPr>
            <w:tcW w:w="0" w:type="auto"/>
            <w:vAlign w:val="center"/>
            <w:hideMark/>
          </w:tcPr>
          <w:p w14:paraId="4AE3C32E" w14:textId="77777777" w:rsidR="00D2185F" w:rsidRPr="00A7247F" w:rsidRDefault="00D2185F" w:rsidP="00D2185F">
            <w:pPr>
              <w:rPr>
                <w:bCs/>
                <w:lang w:val="en-GB"/>
              </w:rPr>
            </w:pPr>
            <w:r w:rsidRPr="00A7247F">
              <w:rPr>
                <w:bCs/>
                <w:lang w:val="en-GB"/>
              </w:rPr>
              <w:t>Provide product data; test generated instructions</w:t>
            </w:r>
          </w:p>
        </w:tc>
      </w:tr>
      <w:tr w:rsidR="00D2185F" w:rsidRPr="008414DA" w14:paraId="7F72B4AE" w14:textId="77777777" w:rsidTr="00D2185F">
        <w:trPr>
          <w:tblCellSpacing w:w="15" w:type="dxa"/>
        </w:trPr>
        <w:tc>
          <w:tcPr>
            <w:tcW w:w="0" w:type="auto"/>
            <w:vAlign w:val="center"/>
            <w:hideMark/>
          </w:tcPr>
          <w:p w14:paraId="534111E2" w14:textId="77777777" w:rsidR="00D2185F" w:rsidRPr="00A7247F" w:rsidRDefault="00D2185F" w:rsidP="00D2185F">
            <w:pPr>
              <w:rPr>
                <w:bCs/>
                <w:lang w:val="en-GB"/>
              </w:rPr>
            </w:pPr>
            <w:r w:rsidRPr="00A7247F">
              <w:rPr>
                <w:bCs/>
                <w:lang w:val="en-GB"/>
              </w:rPr>
              <w:t>Service / Repair Operators</w:t>
            </w:r>
          </w:p>
        </w:tc>
        <w:tc>
          <w:tcPr>
            <w:tcW w:w="0" w:type="auto"/>
            <w:vAlign w:val="center"/>
            <w:hideMark/>
          </w:tcPr>
          <w:p w14:paraId="0257DAD4" w14:textId="77777777" w:rsidR="00D2185F" w:rsidRPr="00A7247F" w:rsidRDefault="00D2185F" w:rsidP="00D2185F">
            <w:pPr>
              <w:rPr>
                <w:bCs/>
                <w:lang w:val="en-GB"/>
              </w:rPr>
            </w:pPr>
            <w:r w:rsidRPr="00A7247F">
              <w:rPr>
                <w:bCs/>
                <w:lang w:val="en-GB"/>
              </w:rPr>
              <w:t>Pilot the solution in live workflows</w:t>
            </w:r>
          </w:p>
        </w:tc>
      </w:tr>
      <w:tr w:rsidR="00D2185F" w:rsidRPr="00A7247F" w14:paraId="1A76F3E2" w14:textId="77777777" w:rsidTr="00D2185F">
        <w:trPr>
          <w:tblCellSpacing w:w="15" w:type="dxa"/>
        </w:trPr>
        <w:tc>
          <w:tcPr>
            <w:tcW w:w="0" w:type="auto"/>
            <w:vAlign w:val="center"/>
            <w:hideMark/>
          </w:tcPr>
          <w:p w14:paraId="6E8A63DB" w14:textId="77777777" w:rsidR="00D2185F" w:rsidRPr="00A7247F" w:rsidRDefault="00D2185F" w:rsidP="00D2185F">
            <w:pPr>
              <w:rPr>
                <w:bCs/>
                <w:lang w:val="en-GB"/>
              </w:rPr>
            </w:pPr>
            <w:r w:rsidRPr="00A7247F">
              <w:rPr>
                <w:bCs/>
                <w:lang w:val="en-GB"/>
              </w:rPr>
              <w:t>Automation Providers</w:t>
            </w:r>
          </w:p>
        </w:tc>
        <w:tc>
          <w:tcPr>
            <w:tcW w:w="0" w:type="auto"/>
            <w:vAlign w:val="center"/>
            <w:hideMark/>
          </w:tcPr>
          <w:p w14:paraId="4E25C803" w14:textId="062C9B90" w:rsidR="005D4699" w:rsidRPr="00A7247F" w:rsidRDefault="00D2185F" w:rsidP="00D2185F">
            <w:pPr>
              <w:rPr>
                <w:bCs/>
                <w:lang w:val="en-GB"/>
              </w:rPr>
            </w:pPr>
            <w:r w:rsidRPr="00A7247F">
              <w:rPr>
                <w:bCs/>
                <w:lang w:val="en-GB"/>
              </w:rPr>
              <w:t>Explore downstream automation opportunities</w:t>
            </w:r>
          </w:p>
        </w:tc>
      </w:tr>
      <w:tr w:rsidR="00D2185F" w:rsidRPr="008414DA" w14:paraId="23D79169" w14:textId="77777777" w:rsidTr="00D2185F">
        <w:trPr>
          <w:tblCellSpacing w:w="15" w:type="dxa"/>
        </w:trPr>
        <w:tc>
          <w:tcPr>
            <w:tcW w:w="0" w:type="auto"/>
            <w:vAlign w:val="center"/>
            <w:hideMark/>
          </w:tcPr>
          <w:p w14:paraId="6076E1F1" w14:textId="77777777" w:rsidR="00D2185F" w:rsidRPr="00A7247F" w:rsidRDefault="00D2185F" w:rsidP="00D2185F">
            <w:pPr>
              <w:rPr>
                <w:bCs/>
                <w:lang w:val="en-GB"/>
              </w:rPr>
            </w:pPr>
            <w:r w:rsidRPr="00A7247F">
              <w:rPr>
                <w:bCs/>
                <w:lang w:val="en-GB"/>
              </w:rPr>
              <w:t>Data Platform / MES Vendors</w:t>
            </w:r>
          </w:p>
        </w:tc>
        <w:tc>
          <w:tcPr>
            <w:tcW w:w="0" w:type="auto"/>
            <w:vAlign w:val="center"/>
            <w:hideMark/>
          </w:tcPr>
          <w:p w14:paraId="4BC6C745" w14:textId="77777777" w:rsidR="00D2185F" w:rsidRPr="00A7247F" w:rsidRDefault="00D2185F" w:rsidP="00D2185F">
            <w:pPr>
              <w:rPr>
                <w:bCs/>
                <w:lang w:val="en-GB"/>
              </w:rPr>
            </w:pPr>
            <w:r w:rsidRPr="00A7247F">
              <w:rPr>
                <w:bCs/>
                <w:lang w:val="en-GB"/>
              </w:rPr>
              <w:t>Interface for data exchange and integration</w:t>
            </w:r>
          </w:p>
        </w:tc>
      </w:tr>
      <w:tr w:rsidR="00D2185F" w:rsidRPr="008414DA" w14:paraId="14F5D154" w14:textId="77777777" w:rsidTr="00D2185F">
        <w:trPr>
          <w:tblCellSpacing w:w="15" w:type="dxa"/>
        </w:trPr>
        <w:tc>
          <w:tcPr>
            <w:tcW w:w="0" w:type="auto"/>
            <w:vAlign w:val="center"/>
            <w:hideMark/>
          </w:tcPr>
          <w:p w14:paraId="1FF23FD7" w14:textId="77777777" w:rsidR="00D2185F" w:rsidRPr="00A7247F" w:rsidRDefault="00D2185F" w:rsidP="00D2185F">
            <w:pPr>
              <w:rPr>
                <w:bCs/>
                <w:lang w:val="en-GB"/>
              </w:rPr>
            </w:pPr>
            <w:r w:rsidRPr="00A7247F">
              <w:rPr>
                <w:bCs/>
                <w:lang w:val="en-GB"/>
              </w:rPr>
              <w:t>Sustainability Units (optional)</w:t>
            </w:r>
          </w:p>
        </w:tc>
        <w:tc>
          <w:tcPr>
            <w:tcW w:w="0" w:type="auto"/>
            <w:vAlign w:val="center"/>
            <w:hideMark/>
          </w:tcPr>
          <w:p w14:paraId="2B87D4A7" w14:textId="77777777" w:rsidR="00D2185F" w:rsidRPr="00A7247F" w:rsidRDefault="00D2185F" w:rsidP="00D2185F">
            <w:pPr>
              <w:rPr>
                <w:bCs/>
                <w:lang w:val="en-GB"/>
              </w:rPr>
            </w:pPr>
            <w:r w:rsidRPr="00A7247F">
              <w:rPr>
                <w:bCs/>
                <w:lang w:val="en-GB"/>
              </w:rPr>
              <w:t>Help validate PCF annotations (if applicable)</w:t>
            </w:r>
          </w:p>
        </w:tc>
      </w:tr>
      <w:tr w:rsidR="005D4699" w:rsidRPr="008414DA" w14:paraId="1101D5A0" w14:textId="77777777" w:rsidTr="00D2185F">
        <w:trPr>
          <w:tblCellSpacing w:w="15" w:type="dxa"/>
        </w:trPr>
        <w:tc>
          <w:tcPr>
            <w:tcW w:w="0" w:type="auto"/>
            <w:vAlign w:val="center"/>
          </w:tcPr>
          <w:p w14:paraId="7F247482" w14:textId="7F0095BD" w:rsidR="005D4699" w:rsidRPr="00A7247F" w:rsidRDefault="005D4699" w:rsidP="00D2185F">
            <w:pPr>
              <w:rPr>
                <w:bCs/>
                <w:lang w:val="en-GB"/>
              </w:rPr>
            </w:pPr>
            <w:r w:rsidRPr="00A7247F">
              <w:rPr>
                <w:bCs/>
                <w:lang w:val="en-GB"/>
              </w:rPr>
              <w:t>LLM Startups</w:t>
            </w:r>
          </w:p>
        </w:tc>
        <w:tc>
          <w:tcPr>
            <w:tcW w:w="0" w:type="auto"/>
            <w:vAlign w:val="center"/>
          </w:tcPr>
          <w:p w14:paraId="34969C95" w14:textId="6127FD55" w:rsidR="005D4699" w:rsidRPr="00A7247F" w:rsidRDefault="005D4699" w:rsidP="00D2185F">
            <w:pPr>
              <w:rPr>
                <w:bCs/>
                <w:lang w:val="en-GB"/>
              </w:rPr>
            </w:pPr>
            <w:r w:rsidRPr="00A7247F">
              <w:rPr>
                <w:bCs/>
                <w:lang w:val="en-GB"/>
              </w:rPr>
              <w:t>Support in multimodal processing and generation for LLMs</w:t>
            </w:r>
          </w:p>
        </w:tc>
      </w:tr>
    </w:tbl>
    <w:p w14:paraId="415D366E" w14:textId="5AB722D0" w:rsidR="000111DE" w:rsidRPr="00A7247F" w:rsidRDefault="00000000" w:rsidP="00D2185F">
      <w:pPr>
        <w:rPr>
          <w:b/>
          <w:bCs/>
          <w:lang w:val="en-GB"/>
        </w:rPr>
      </w:pPr>
      <w:r>
        <w:rPr>
          <w:b/>
          <w:bCs/>
          <w:lang w:val="en-GB"/>
        </w:rPr>
        <w:lastRenderedPageBreak/>
        <w:pict w14:anchorId="3684346C">
          <v:rect id="_x0000_i1028" style="width:0;height:1.5pt" o:hralign="center" o:hrstd="t" o:hr="t" fillcolor="#a0a0a0" stroked="f"/>
        </w:pict>
      </w:r>
    </w:p>
    <w:p w14:paraId="00D7D3C7" w14:textId="7146BA12" w:rsidR="00D2185F" w:rsidRPr="00A7247F" w:rsidRDefault="00D2185F" w:rsidP="00D2185F">
      <w:pPr>
        <w:rPr>
          <w:b/>
          <w:bCs/>
          <w:lang w:val="en-GB"/>
        </w:rPr>
      </w:pPr>
      <w:r w:rsidRPr="00A7247F">
        <w:rPr>
          <w:b/>
          <w:bCs/>
          <w:lang w:val="en-GB"/>
        </w:rPr>
        <w:t>Why Participate?</w:t>
      </w:r>
    </w:p>
    <w:p w14:paraId="72E43AA1" w14:textId="34C0BFE6" w:rsidR="00D2185F" w:rsidRPr="00A7247F" w:rsidRDefault="00D2185F" w:rsidP="00D2185F">
      <w:pPr>
        <w:numPr>
          <w:ilvl w:val="0"/>
          <w:numId w:val="3"/>
        </w:numPr>
        <w:rPr>
          <w:lang w:val="en-GB"/>
        </w:rPr>
      </w:pPr>
      <w:r w:rsidRPr="00A7247F">
        <w:rPr>
          <w:lang w:val="en-GB"/>
        </w:rPr>
        <w:t xml:space="preserve">Shape a practical and scalable approach for </w:t>
      </w:r>
      <w:r w:rsidRPr="00A7247F">
        <w:rPr>
          <w:b/>
          <w:bCs/>
          <w:lang w:val="en-GB"/>
        </w:rPr>
        <w:t>automated disassembly planning</w:t>
      </w:r>
    </w:p>
    <w:p w14:paraId="38AA1B51" w14:textId="3A9A1924" w:rsidR="00D2185F" w:rsidRPr="00A7247F" w:rsidRDefault="00D2185F" w:rsidP="00D2185F">
      <w:pPr>
        <w:numPr>
          <w:ilvl w:val="0"/>
          <w:numId w:val="3"/>
        </w:numPr>
        <w:rPr>
          <w:lang w:val="en-GB"/>
        </w:rPr>
      </w:pPr>
      <w:r w:rsidRPr="00A7247F">
        <w:rPr>
          <w:lang w:val="en-GB"/>
        </w:rPr>
        <w:t xml:space="preserve">Access cutting-edge </w:t>
      </w:r>
      <w:r w:rsidRPr="00A7247F">
        <w:rPr>
          <w:b/>
          <w:bCs/>
          <w:lang w:val="en-GB"/>
        </w:rPr>
        <w:t>LLM-based instruction generation</w:t>
      </w:r>
    </w:p>
    <w:p w14:paraId="70E6B5EF" w14:textId="125AC85C" w:rsidR="00D2185F" w:rsidRPr="00A7247F" w:rsidRDefault="00D2185F" w:rsidP="00D2185F">
      <w:pPr>
        <w:numPr>
          <w:ilvl w:val="0"/>
          <w:numId w:val="3"/>
        </w:numPr>
        <w:rPr>
          <w:lang w:val="en-GB"/>
        </w:rPr>
      </w:pPr>
      <w:r w:rsidRPr="00A7247F">
        <w:rPr>
          <w:lang w:val="en-GB"/>
        </w:rPr>
        <w:t xml:space="preserve">Evaluate real-world benefits for </w:t>
      </w:r>
      <w:r w:rsidRPr="00A7247F">
        <w:rPr>
          <w:b/>
          <w:bCs/>
          <w:lang w:val="en-GB"/>
        </w:rPr>
        <w:t>your products and systems</w:t>
      </w:r>
    </w:p>
    <w:p w14:paraId="5DDE84EA" w14:textId="0A339113" w:rsidR="00D2185F" w:rsidRPr="00A7247F" w:rsidRDefault="00D2185F" w:rsidP="00D2185F">
      <w:pPr>
        <w:numPr>
          <w:ilvl w:val="0"/>
          <w:numId w:val="3"/>
        </w:numPr>
        <w:rPr>
          <w:lang w:val="en-GB"/>
        </w:rPr>
      </w:pPr>
      <w:r w:rsidRPr="00A7247F">
        <w:rPr>
          <w:lang w:val="en-GB"/>
        </w:rPr>
        <w:t xml:space="preserve">Contribute to emerging standards for </w:t>
      </w:r>
      <w:r w:rsidRPr="00A7247F">
        <w:rPr>
          <w:b/>
          <w:bCs/>
          <w:lang w:val="en-GB"/>
        </w:rPr>
        <w:t>CVC-ready data integration</w:t>
      </w:r>
    </w:p>
    <w:p w14:paraId="3C9DDED9" w14:textId="01721728" w:rsidR="00D2185F" w:rsidRPr="00A7247F" w:rsidRDefault="00D2185F" w:rsidP="00D2185F">
      <w:pPr>
        <w:numPr>
          <w:ilvl w:val="0"/>
          <w:numId w:val="3"/>
        </w:numPr>
        <w:rPr>
          <w:lang w:val="en-GB"/>
        </w:rPr>
      </w:pPr>
      <w:r w:rsidRPr="00A7247F">
        <w:rPr>
          <w:lang w:val="en-GB"/>
        </w:rPr>
        <w:t xml:space="preserve">Leverage </w:t>
      </w:r>
      <w:r w:rsidRPr="00A7247F">
        <w:rPr>
          <w:b/>
          <w:bCs/>
          <w:lang w:val="en-GB"/>
        </w:rPr>
        <w:t>European R&amp;D funding</w:t>
      </w:r>
      <w:r w:rsidRPr="00A7247F">
        <w:rPr>
          <w:lang w:val="en-GB"/>
        </w:rPr>
        <w:t xml:space="preserve"> to support your participation</w:t>
      </w:r>
    </w:p>
    <w:p w14:paraId="38286C48" w14:textId="77777777" w:rsidR="00D2185F" w:rsidRPr="00A7247F" w:rsidRDefault="00000000" w:rsidP="00D2185F">
      <w:pPr>
        <w:rPr>
          <w:lang w:val="en-GB"/>
        </w:rPr>
      </w:pPr>
      <w:r>
        <w:rPr>
          <w:lang w:val="en-GB"/>
        </w:rPr>
        <w:pict w14:anchorId="2F3E372F">
          <v:rect id="_x0000_i1029" style="width:0;height:1.5pt" o:hralign="center" o:hrstd="t" o:hr="t" fillcolor="#a0a0a0" stroked="f"/>
        </w:pict>
      </w:r>
    </w:p>
    <w:p w14:paraId="302C8F1A" w14:textId="77777777" w:rsidR="00E24A96" w:rsidRPr="00A7247F" w:rsidRDefault="00E24A96" w:rsidP="00E24A96">
      <w:pPr>
        <w:rPr>
          <w:b/>
          <w:bCs/>
          <w:lang w:val="en-GB"/>
        </w:rPr>
      </w:pPr>
      <w:r w:rsidRPr="00A7247F">
        <w:rPr>
          <w:b/>
          <w:bCs/>
          <w:lang w:val="en-GB"/>
        </w:rPr>
        <w:t>Potential Use Case Examples</w:t>
      </w:r>
    </w:p>
    <w:p w14:paraId="387AA15A" w14:textId="77777777" w:rsidR="00E24A96" w:rsidRPr="00A7247F" w:rsidRDefault="00E24A96" w:rsidP="00E24A96">
      <w:pPr>
        <w:numPr>
          <w:ilvl w:val="0"/>
          <w:numId w:val="9"/>
        </w:numPr>
        <w:rPr>
          <w:lang w:val="en-GB"/>
        </w:rPr>
      </w:pPr>
      <w:r w:rsidRPr="00A7247F">
        <w:rPr>
          <w:b/>
          <w:bCs/>
          <w:lang w:val="en-GB"/>
        </w:rPr>
        <w:t>Automotive</w:t>
      </w:r>
      <w:r w:rsidRPr="00A7247F">
        <w:rPr>
          <w:lang w:val="en-GB"/>
        </w:rPr>
        <w:t>: Recovery of batteries, electronic control units, or complex mechatronic modules.</w:t>
      </w:r>
    </w:p>
    <w:p w14:paraId="538CC96B" w14:textId="77777777" w:rsidR="00E24A96" w:rsidRPr="00A7247F" w:rsidRDefault="00E24A96" w:rsidP="00E24A96">
      <w:pPr>
        <w:numPr>
          <w:ilvl w:val="0"/>
          <w:numId w:val="9"/>
        </w:numPr>
        <w:rPr>
          <w:lang w:val="en-GB"/>
        </w:rPr>
      </w:pPr>
      <w:r w:rsidRPr="00A7247F">
        <w:rPr>
          <w:b/>
          <w:bCs/>
          <w:lang w:val="en-GB"/>
        </w:rPr>
        <w:t>Consumer Electronics</w:t>
      </w:r>
      <w:r w:rsidRPr="00A7247F">
        <w:rPr>
          <w:lang w:val="en-GB"/>
        </w:rPr>
        <w:t>: Smartphones, laptops, or white goods with high variance and miniaturized components.</w:t>
      </w:r>
    </w:p>
    <w:p w14:paraId="5B17F1E6" w14:textId="77777777" w:rsidR="00E24A96" w:rsidRPr="00A7247F" w:rsidRDefault="00E24A96" w:rsidP="00E24A96">
      <w:pPr>
        <w:numPr>
          <w:ilvl w:val="0"/>
          <w:numId w:val="9"/>
        </w:numPr>
        <w:rPr>
          <w:lang w:val="en-GB"/>
        </w:rPr>
      </w:pPr>
      <w:r w:rsidRPr="00A7247F">
        <w:rPr>
          <w:b/>
          <w:bCs/>
          <w:lang w:val="en-GB"/>
        </w:rPr>
        <w:t>Industrial Equipment</w:t>
      </w:r>
      <w:r w:rsidRPr="00A7247F">
        <w:rPr>
          <w:lang w:val="en-GB"/>
        </w:rPr>
        <w:t>: Motors, pumps, or machine modules with long life cycles and high reuse potential.</w:t>
      </w:r>
    </w:p>
    <w:bookmarkEnd w:id="0"/>
    <w:p w14:paraId="7DD23811" w14:textId="77777777" w:rsidR="009D164B" w:rsidRPr="00A7247F" w:rsidRDefault="009D164B" w:rsidP="009D164B">
      <w:pPr>
        <w:rPr>
          <w:lang w:val="en-GB"/>
        </w:rPr>
      </w:pPr>
    </w:p>
    <w:p w14:paraId="7D855215" w14:textId="52724EDA" w:rsidR="008414DA" w:rsidRDefault="00D2185F" w:rsidP="00D2185F">
      <w:pPr>
        <w:rPr>
          <w:lang w:val="en-GB"/>
        </w:rPr>
      </w:pPr>
      <w:r w:rsidRPr="00A7247F">
        <w:rPr>
          <w:b/>
          <w:bCs/>
          <w:lang w:val="en-GB"/>
        </w:rPr>
        <w:t>Contact</w:t>
      </w:r>
      <w:r w:rsidR="005C6F1E">
        <w:rPr>
          <w:b/>
          <w:bCs/>
          <w:lang w:val="en-GB"/>
        </w:rPr>
        <w:t>s:</w:t>
      </w:r>
      <w:r w:rsidRPr="00A7247F">
        <w:rPr>
          <w:lang w:val="en-GB"/>
        </w:rPr>
        <w:br/>
      </w:r>
      <w:r w:rsidR="008414DA">
        <w:rPr>
          <w:lang w:val="en-GB"/>
        </w:rPr>
        <w:t>Tim Schnieders</w:t>
      </w:r>
      <w:r w:rsidRPr="00A7247F">
        <w:rPr>
          <w:lang w:val="en-GB"/>
        </w:rPr>
        <w:br/>
      </w:r>
      <w:r w:rsidR="008414DA">
        <w:rPr>
          <w:lang w:val="en-GB"/>
        </w:rPr>
        <w:t xml:space="preserve">WZL </w:t>
      </w:r>
      <w:r w:rsidR="005C6F1E">
        <w:rPr>
          <w:lang w:val="en-GB"/>
        </w:rPr>
        <w:t xml:space="preserve">WM-AUT </w:t>
      </w:r>
      <w:r w:rsidR="008414DA">
        <w:rPr>
          <w:lang w:val="en-GB"/>
        </w:rPr>
        <w:t>RWTH Aachen</w:t>
      </w:r>
      <w:r w:rsidR="008414DA">
        <w:rPr>
          <w:lang w:val="en-GB"/>
        </w:rPr>
        <w:br/>
      </w:r>
      <w:hyperlink r:id="rId10" w:history="1">
        <w:r w:rsidR="008414DA" w:rsidRPr="00A97CAA">
          <w:rPr>
            <w:rStyle w:val="Hyperlink"/>
            <w:lang w:val="en-GB"/>
          </w:rPr>
          <w:t>t.schnieders@wzl.rwth-aachen.de</w:t>
        </w:r>
      </w:hyperlink>
      <w:r w:rsidR="008414DA">
        <w:rPr>
          <w:lang w:val="en-GB"/>
        </w:rPr>
        <w:br/>
      </w:r>
      <w:r w:rsidR="005C6F1E" w:rsidRPr="005C6F1E">
        <w:rPr>
          <w:lang w:val="en-GB"/>
        </w:rPr>
        <w:t xml:space="preserve">+49 (0) 241 80 </w:t>
      </w:r>
      <w:r w:rsidR="005C6F1E">
        <w:rPr>
          <w:lang w:val="en-GB"/>
        </w:rPr>
        <w:t xml:space="preserve">– </w:t>
      </w:r>
      <w:r w:rsidR="008414DA" w:rsidRPr="008414DA">
        <w:rPr>
          <w:lang w:val="en-GB"/>
        </w:rPr>
        <w:t>25434</w:t>
      </w:r>
    </w:p>
    <w:p w14:paraId="743AC42A" w14:textId="77777777" w:rsidR="005C6F1E" w:rsidRDefault="005C6F1E" w:rsidP="00D2185F">
      <w:pPr>
        <w:rPr>
          <w:lang w:val="en-GB"/>
        </w:rPr>
      </w:pPr>
    </w:p>
    <w:p w14:paraId="4C2FF26D" w14:textId="7572AEBE" w:rsidR="005C6F1E" w:rsidRDefault="005C6F1E" w:rsidP="00D2185F">
      <w:r w:rsidRPr="005C6F1E">
        <w:rPr>
          <w:lang w:val="en-GB"/>
        </w:rPr>
        <w:t>Carolin Weckendrup</w:t>
      </w:r>
      <w:r w:rsidRPr="005C6F1E">
        <w:rPr>
          <w:lang w:val="en-GB"/>
        </w:rPr>
        <w:br/>
      </w:r>
      <w:r w:rsidRPr="005C6F1E">
        <w:t xml:space="preserve">WZL </w:t>
      </w:r>
      <w:r>
        <w:t xml:space="preserve">IQS </w:t>
      </w:r>
      <w:r w:rsidRPr="005C6F1E">
        <w:t>RWTH Aachen</w:t>
      </w:r>
      <w:r w:rsidRPr="005C6F1E">
        <w:br/>
      </w:r>
      <w:hyperlink r:id="rId11" w:history="1">
        <w:r w:rsidRPr="00A97CAA">
          <w:rPr>
            <w:rStyle w:val="Hyperlink"/>
          </w:rPr>
          <w:t xml:space="preserve"> carolin.weckendrup@wzl-iqs.rwth-aachen.de</w:t>
        </w:r>
      </w:hyperlink>
      <w:r w:rsidRPr="005C6F1E">
        <w:br/>
        <w:t xml:space="preserve">+49 (0) 241 80 </w:t>
      </w:r>
      <w:r>
        <w:t>–</w:t>
      </w:r>
      <w:r>
        <w:t xml:space="preserve"> </w:t>
      </w:r>
      <w:r w:rsidRPr="005C6F1E">
        <w:t>25877</w:t>
      </w:r>
    </w:p>
    <w:p w14:paraId="63D696D9" w14:textId="77777777" w:rsidR="005C6F1E" w:rsidRPr="005C6F1E" w:rsidRDefault="005C6F1E" w:rsidP="00D2185F"/>
    <w:p w14:paraId="72AF0C46" w14:textId="77777777" w:rsidR="005C6F1E" w:rsidRPr="005C6F1E" w:rsidRDefault="005C6F1E" w:rsidP="005C6F1E">
      <w:r w:rsidRPr="005C6F1E">
        <w:t>Steffen</w:t>
      </w:r>
      <w:r>
        <w:t xml:space="preserve"> Wurm</w:t>
      </w:r>
      <w:r w:rsidRPr="005C6F1E">
        <w:br/>
        <w:t>WZL RWTH Aachen</w:t>
      </w:r>
      <w:r w:rsidRPr="005C6F1E">
        <w:br/>
      </w:r>
      <w:hyperlink r:id="rId12" w:history="1">
        <w:r w:rsidRPr="00A97CAA">
          <w:rPr>
            <w:rStyle w:val="Hyperlink"/>
          </w:rPr>
          <w:t>s</w:t>
        </w:r>
        <w:r w:rsidRPr="00A97CAA">
          <w:rPr>
            <w:rStyle w:val="Hyperlink"/>
          </w:rPr>
          <w:t>.</w:t>
        </w:r>
        <w:r w:rsidRPr="00A97CAA">
          <w:rPr>
            <w:rStyle w:val="Hyperlink"/>
          </w:rPr>
          <w:t>wurm</w:t>
        </w:r>
        <w:r w:rsidRPr="00A97CAA">
          <w:rPr>
            <w:rStyle w:val="Hyperlink"/>
          </w:rPr>
          <w:t>@wzl.rwth-aachen.de</w:t>
        </w:r>
      </w:hyperlink>
      <w:r w:rsidRPr="005C6F1E">
        <w:br/>
        <w:t>+49 (0) 241 80 - 26801</w:t>
      </w:r>
    </w:p>
    <w:p w14:paraId="5317BECC" w14:textId="4076D5BC" w:rsidR="005C6F1E" w:rsidRDefault="005C6F1E" w:rsidP="00D2185F"/>
    <w:sectPr w:rsidR="005C6F1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1063"/>
    <w:multiLevelType w:val="multilevel"/>
    <w:tmpl w:val="AFF8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31C4E"/>
    <w:multiLevelType w:val="multilevel"/>
    <w:tmpl w:val="3AB2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E3A60"/>
    <w:multiLevelType w:val="multilevel"/>
    <w:tmpl w:val="5284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2A48A9"/>
    <w:multiLevelType w:val="multilevel"/>
    <w:tmpl w:val="5C3E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32561F"/>
    <w:multiLevelType w:val="multilevel"/>
    <w:tmpl w:val="7CEE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436A8"/>
    <w:multiLevelType w:val="multilevel"/>
    <w:tmpl w:val="126E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D5276F"/>
    <w:multiLevelType w:val="multilevel"/>
    <w:tmpl w:val="F736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841AB"/>
    <w:multiLevelType w:val="multilevel"/>
    <w:tmpl w:val="D89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457E8"/>
    <w:multiLevelType w:val="multilevel"/>
    <w:tmpl w:val="719E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659492">
    <w:abstractNumId w:val="3"/>
  </w:num>
  <w:num w:numId="2" w16cid:durableId="2029914555">
    <w:abstractNumId w:val="4"/>
  </w:num>
  <w:num w:numId="3" w16cid:durableId="2009474972">
    <w:abstractNumId w:val="0"/>
  </w:num>
  <w:num w:numId="4" w16cid:durableId="2075271001">
    <w:abstractNumId w:val="5"/>
  </w:num>
  <w:num w:numId="5" w16cid:durableId="402530241">
    <w:abstractNumId w:val="7"/>
  </w:num>
  <w:num w:numId="6" w16cid:durableId="1549075318">
    <w:abstractNumId w:val="2"/>
  </w:num>
  <w:num w:numId="7" w16cid:durableId="92357714">
    <w:abstractNumId w:val="8"/>
  </w:num>
  <w:num w:numId="8" w16cid:durableId="147524445">
    <w:abstractNumId w:val="6"/>
  </w:num>
  <w:num w:numId="9" w16cid:durableId="224536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5F"/>
    <w:rsid w:val="000111DE"/>
    <w:rsid w:val="00040185"/>
    <w:rsid w:val="00140396"/>
    <w:rsid w:val="00297A6D"/>
    <w:rsid w:val="002B2E40"/>
    <w:rsid w:val="0031772E"/>
    <w:rsid w:val="003617CC"/>
    <w:rsid w:val="0043499B"/>
    <w:rsid w:val="00462379"/>
    <w:rsid w:val="004C5A01"/>
    <w:rsid w:val="005C6F1E"/>
    <w:rsid w:val="005D4699"/>
    <w:rsid w:val="005F24CB"/>
    <w:rsid w:val="00650C41"/>
    <w:rsid w:val="0066700F"/>
    <w:rsid w:val="006B3CFC"/>
    <w:rsid w:val="00711169"/>
    <w:rsid w:val="007549F7"/>
    <w:rsid w:val="007877F2"/>
    <w:rsid w:val="008414DA"/>
    <w:rsid w:val="00894BF3"/>
    <w:rsid w:val="00991E68"/>
    <w:rsid w:val="009D164B"/>
    <w:rsid w:val="00A26B57"/>
    <w:rsid w:val="00A416E5"/>
    <w:rsid w:val="00A7247F"/>
    <w:rsid w:val="00AB0C73"/>
    <w:rsid w:val="00B061AD"/>
    <w:rsid w:val="00B316CF"/>
    <w:rsid w:val="00B64A0A"/>
    <w:rsid w:val="00BD76D6"/>
    <w:rsid w:val="00D2185F"/>
    <w:rsid w:val="00D77781"/>
    <w:rsid w:val="00E24A96"/>
    <w:rsid w:val="00E32A4C"/>
    <w:rsid w:val="00F93D5C"/>
    <w:rsid w:val="00FF72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4046"/>
  <w15:chartTrackingRefBased/>
  <w15:docId w15:val="{D5130973-73FB-4629-8CD4-62A41402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6F1E"/>
  </w:style>
  <w:style w:type="paragraph" w:styleId="berschrift1">
    <w:name w:val="heading 1"/>
    <w:basedOn w:val="Standard"/>
    <w:next w:val="Standard"/>
    <w:link w:val="berschrift1Zchn"/>
    <w:uiPriority w:val="9"/>
    <w:qFormat/>
    <w:rsid w:val="00D218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218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2185F"/>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2185F"/>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2185F"/>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2185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2185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2185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2185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2185F"/>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2185F"/>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2185F"/>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2185F"/>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2185F"/>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2185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2185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2185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2185F"/>
    <w:rPr>
      <w:rFonts w:eastAsiaTheme="majorEastAsia" w:cstheme="majorBidi"/>
      <w:color w:val="272727" w:themeColor="text1" w:themeTint="D8"/>
    </w:rPr>
  </w:style>
  <w:style w:type="paragraph" w:styleId="Titel">
    <w:name w:val="Title"/>
    <w:basedOn w:val="Standard"/>
    <w:next w:val="Standard"/>
    <w:link w:val="TitelZchn"/>
    <w:uiPriority w:val="10"/>
    <w:qFormat/>
    <w:rsid w:val="00D21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2185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2185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2185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2185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2185F"/>
    <w:rPr>
      <w:i/>
      <w:iCs/>
      <w:color w:val="404040" w:themeColor="text1" w:themeTint="BF"/>
    </w:rPr>
  </w:style>
  <w:style w:type="paragraph" w:styleId="Listenabsatz">
    <w:name w:val="List Paragraph"/>
    <w:basedOn w:val="Standard"/>
    <w:uiPriority w:val="34"/>
    <w:qFormat/>
    <w:rsid w:val="00D2185F"/>
    <w:pPr>
      <w:ind w:left="720"/>
      <w:contextualSpacing/>
    </w:pPr>
  </w:style>
  <w:style w:type="character" w:styleId="IntensiveHervorhebung">
    <w:name w:val="Intense Emphasis"/>
    <w:basedOn w:val="Absatz-Standardschriftart"/>
    <w:uiPriority w:val="21"/>
    <w:qFormat/>
    <w:rsid w:val="00D2185F"/>
    <w:rPr>
      <w:i/>
      <w:iCs/>
      <w:color w:val="2E74B5" w:themeColor="accent1" w:themeShade="BF"/>
    </w:rPr>
  </w:style>
  <w:style w:type="paragraph" w:styleId="IntensivesZitat">
    <w:name w:val="Intense Quote"/>
    <w:basedOn w:val="Standard"/>
    <w:next w:val="Standard"/>
    <w:link w:val="IntensivesZitatZchn"/>
    <w:uiPriority w:val="30"/>
    <w:qFormat/>
    <w:rsid w:val="00D218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2185F"/>
    <w:rPr>
      <w:i/>
      <w:iCs/>
      <w:color w:val="2E74B5" w:themeColor="accent1" w:themeShade="BF"/>
    </w:rPr>
  </w:style>
  <w:style w:type="character" w:styleId="IntensiverVerweis">
    <w:name w:val="Intense Reference"/>
    <w:basedOn w:val="Absatz-Standardschriftart"/>
    <w:uiPriority w:val="32"/>
    <w:qFormat/>
    <w:rsid w:val="00D2185F"/>
    <w:rPr>
      <w:b/>
      <w:bCs/>
      <w:smallCaps/>
      <w:color w:val="2E74B5" w:themeColor="accent1" w:themeShade="BF"/>
      <w:spacing w:val="5"/>
    </w:rPr>
  </w:style>
  <w:style w:type="paragraph" w:styleId="berarbeitung">
    <w:name w:val="Revision"/>
    <w:hidden/>
    <w:uiPriority w:val="99"/>
    <w:semiHidden/>
    <w:rsid w:val="005D4699"/>
    <w:pPr>
      <w:spacing w:after="0" w:line="240" w:lineRule="auto"/>
    </w:pPr>
  </w:style>
  <w:style w:type="character" w:styleId="Kommentarzeichen">
    <w:name w:val="annotation reference"/>
    <w:basedOn w:val="Absatz-Standardschriftart"/>
    <w:uiPriority w:val="99"/>
    <w:semiHidden/>
    <w:unhideWhenUsed/>
    <w:rsid w:val="0043499B"/>
    <w:rPr>
      <w:sz w:val="16"/>
      <w:szCs w:val="16"/>
    </w:rPr>
  </w:style>
  <w:style w:type="paragraph" w:styleId="Kommentartext">
    <w:name w:val="annotation text"/>
    <w:basedOn w:val="Standard"/>
    <w:link w:val="KommentartextZchn"/>
    <w:uiPriority w:val="99"/>
    <w:unhideWhenUsed/>
    <w:rsid w:val="0043499B"/>
    <w:pPr>
      <w:spacing w:line="240" w:lineRule="auto"/>
    </w:pPr>
    <w:rPr>
      <w:sz w:val="20"/>
      <w:szCs w:val="20"/>
    </w:rPr>
  </w:style>
  <w:style w:type="character" w:customStyle="1" w:styleId="KommentartextZchn">
    <w:name w:val="Kommentartext Zchn"/>
    <w:basedOn w:val="Absatz-Standardschriftart"/>
    <w:link w:val="Kommentartext"/>
    <w:uiPriority w:val="99"/>
    <w:rsid w:val="0043499B"/>
    <w:rPr>
      <w:sz w:val="20"/>
      <w:szCs w:val="20"/>
    </w:rPr>
  </w:style>
  <w:style w:type="paragraph" w:styleId="Kommentarthema">
    <w:name w:val="annotation subject"/>
    <w:basedOn w:val="Kommentartext"/>
    <w:next w:val="Kommentartext"/>
    <w:link w:val="KommentarthemaZchn"/>
    <w:uiPriority w:val="99"/>
    <w:semiHidden/>
    <w:unhideWhenUsed/>
    <w:rsid w:val="0043499B"/>
    <w:rPr>
      <w:b/>
      <w:bCs/>
    </w:rPr>
  </w:style>
  <w:style w:type="character" w:customStyle="1" w:styleId="KommentarthemaZchn">
    <w:name w:val="Kommentarthema Zchn"/>
    <w:basedOn w:val="KommentartextZchn"/>
    <w:link w:val="Kommentarthema"/>
    <w:uiPriority w:val="99"/>
    <w:semiHidden/>
    <w:rsid w:val="0043499B"/>
    <w:rPr>
      <w:b/>
      <w:bCs/>
      <w:sz w:val="20"/>
      <w:szCs w:val="20"/>
    </w:rPr>
  </w:style>
  <w:style w:type="character" w:styleId="Hyperlink">
    <w:name w:val="Hyperlink"/>
    <w:basedOn w:val="Absatz-Standardschriftart"/>
    <w:uiPriority w:val="99"/>
    <w:unhideWhenUsed/>
    <w:rsid w:val="008414DA"/>
    <w:rPr>
      <w:color w:val="0563C1" w:themeColor="hyperlink"/>
      <w:u w:val="single"/>
    </w:rPr>
  </w:style>
  <w:style w:type="character" w:styleId="NichtaufgelsteErwhnung">
    <w:name w:val="Unresolved Mention"/>
    <w:basedOn w:val="Absatz-Standardschriftart"/>
    <w:uiPriority w:val="99"/>
    <w:semiHidden/>
    <w:unhideWhenUsed/>
    <w:rsid w:val="008414DA"/>
    <w:rPr>
      <w:color w:val="605E5C"/>
      <w:shd w:val="clear" w:color="auto" w:fill="E1DFDD"/>
    </w:rPr>
  </w:style>
  <w:style w:type="paragraph" w:styleId="StandardWeb">
    <w:name w:val="Normal (Web)"/>
    <w:basedOn w:val="Standard"/>
    <w:uiPriority w:val="99"/>
    <w:semiHidden/>
    <w:unhideWhenUsed/>
    <w:rsid w:val="005C6F1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1655">
      <w:bodyDiv w:val="1"/>
      <w:marLeft w:val="0"/>
      <w:marRight w:val="0"/>
      <w:marTop w:val="0"/>
      <w:marBottom w:val="0"/>
      <w:divBdr>
        <w:top w:val="none" w:sz="0" w:space="0" w:color="auto"/>
        <w:left w:val="none" w:sz="0" w:space="0" w:color="auto"/>
        <w:bottom w:val="none" w:sz="0" w:space="0" w:color="auto"/>
        <w:right w:val="none" w:sz="0" w:space="0" w:color="auto"/>
      </w:divBdr>
    </w:div>
    <w:div w:id="262566923">
      <w:bodyDiv w:val="1"/>
      <w:marLeft w:val="0"/>
      <w:marRight w:val="0"/>
      <w:marTop w:val="0"/>
      <w:marBottom w:val="0"/>
      <w:divBdr>
        <w:top w:val="none" w:sz="0" w:space="0" w:color="auto"/>
        <w:left w:val="none" w:sz="0" w:space="0" w:color="auto"/>
        <w:bottom w:val="none" w:sz="0" w:space="0" w:color="auto"/>
        <w:right w:val="none" w:sz="0" w:space="0" w:color="auto"/>
      </w:divBdr>
    </w:div>
    <w:div w:id="319309094">
      <w:bodyDiv w:val="1"/>
      <w:marLeft w:val="0"/>
      <w:marRight w:val="0"/>
      <w:marTop w:val="0"/>
      <w:marBottom w:val="0"/>
      <w:divBdr>
        <w:top w:val="none" w:sz="0" w:space="0" w:color="auto"/>
        <w:left w:val="none" w:sz="0" w:space="0" w:color="auto"/>
        <w:bottom w:val="none" w:sz="0" w:space="0" w:color="auto"/>
        <w:right w:val="none" w:sz="0" w:space="0" w:color="auto"/>
      </w:divBdr>
    </w:div>
    <w:div w:id="484854127">
      <w:bodyDiv w:val="1"/>
      <w:marLeft w:val="0"/>
      <w:marRight w:val="0"/>
      <w:marTop w:val="0"/>
      <w:marBottom w:val="0"/>
      <w:divBdr>
        <w:top w:val="none" w:sz="0" w:space="0" w:color="auto"/>
        <w:left w:val="none" w:sz="0" w:space="0" w:color="auto"/>
        <w:bottom w:val="none" w:sz="0" w:space="0" w:color="auto"/>
        <w:right w:val="none" w:sz="0" w:space="0" w:color="auto"/>
      </w:divBdr>
      <w:divsChild>
        <w:div w:id="226844496">
          <w:marLeft w:val="0"/>
          <w:marRight w:val="0"/>
          <w:marTop w:val="0"/>
          <w:marBottom w:val="0"/>
          <w:divBdr>
            <w:top w:val="none" w:sz="0" w:space="0" w:color="auto"/>
            <w:left w:val="none" w:sz="0" w:space="0" w:color="auto"/>
            <w:bottom w:val="none" w:sz="0" w:space="0" w:color="auto"/>
            <w:right w:val="none" w:sz="0" w:space="0" w:color="auto"/>
          </w:divBdr>
          <w:divsChild>
            <w:div w:id="1737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14968">
      <w:bodyDiv w:val="1"/>
      <w:marLeft w:val="0"/>
      <w:marRight w:val="0"/>
      <w:marTop w:val="0"/>
      <w:marBottom w:val="0"/>
      <w:divBdr>
        <w:top w:val="none" w:sz="0" w:space="0" w:color="auto"/>
        <w:left w:val="none" w:sz="0" w:space="0" w:color="auto"/>
        <w:bottom w:val="none" w:sz="0" w:space="0" w:color="auto"/>
        <w:right w:val="none" w:sz="0" w:space="0" w:color="auto"/>
      </w:divBdr>
      <w:divsChild>
        <w:div w:id="522592269">
          <w:marLeft w:val="0"/>
          <w:marRight w:val="0"/>
          <w:marTop w:val="0"/>
          <w:marBottom w:val="0"/>
          <w:divBdr>
            <w:top w:val="none" w:sz="0" w:space="0" w:color="auto"/>
            <w:left w:val="none" w:sz="0" w:space="0" w:color="auto"/>
            <w:bottom w:val="none" w:sz="0" w:space="0" w:color="auto"/>
            <w:right w:val="none" w:sz="0" w:space="0" w:color="auto"/>
          </w:divBdr>
          <w:divsChild>
            <w:div w:id="8207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706">
      <w:bodyDiv w:val="1"/>
      <w:marLeft w:val="0"/>
      <w:marRight w:val="0"/>
      <w:marTop w:val="0"/>
      <w:marBottom w:val="0"/>
      <w:divBdr>
        <w:top w:val="none" w:sz="0" w:space="0" w:color="auto"/>
        <w:left w:val="none" w:sz="0" w:space="0" w:color="auto"/>
        <w:bottom w:val="none" w:sz="0" w:space="0" w:color="auto"/>
        <w:right w:val="none" w:sz="0" w:space="0" w:color="auto"/>
      </w:divBdr>
    </w:div>
    <w:div w:id="730887339">
      <w:bodyDiv w:val="1"/>
      <w:marLeft w:val="0"/>
      <w:marRight w:val="0"/>
      <w:marTop w:val="0"/>
      <w:marBottom w:val="0"/>
      <w:divBdr>
        <w:top w:val="none" w:sz="0" w:space="0" w:color="auto"/>
        <w:left w:val="none" w:sz="0" w:space="0" w:color="auto"/>
        <w:bottom w:val="none" w:sz="0" w:space="0" w:color="auto"/>
        <w:right w:val="none" w:sz="0" w:space="0" w:color="auto"/>
      </w:divBdr>
      <w:divsChild>
        <w:div w:id="668018622">
          <w:marLeft w:val="0"/>
          <w:marRight w:val="0"/>
          <w:marTop w:val="0"/>
          <w:marBottom w:val="0"/>
          <w:divBdr>
            <w:top w:val="none" w:sz="0" w:space="0" w:color="auto"/>
            <w:left w:val="none" w:sz="0" w:space="0" w:color="auto"/>
            <w:bottom w:val="none" w:sz="0" w:space="0" w:color="auto"/>
            <w:right w:val="none" w:sz="0" w:space="0" w:color="auto"/>
          </w:divBdr>
          <w:divsChild>
            <w:div w:id="12499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9479">
      <w:bodyDiv w:val="1"/>
      <w:marLeft w:val="0"/>
      <w:marRight w:val="0"/>
      <w:marTop w:val="0"/>
      <w:marBottom w:val="0"/>
      <w:divBdr>
        <w:top w:val="none" w:sz="0" w:space="0" w:color="auto"/>
        <w:left w:val="none" w:sz="0" w:space="0" w:color="auto"/>
        <w:bottom w:val="none" w:sz="0" w:space="0" w:color="auto"/>
        <w:right w:val="none" w:sz="0" w:space="0" w:color="auto"/>
      </w:divBdr>
    </w:div>
    <w:div w:id="1099905507">
      <w:bodyDiv w:val="1"/>
      <w:marLeft w:val="0"/>
      <w:marRight w:val="0"/>
      <w:marTop w:val="0"/>
      <w:marBottom w:val="0"/>
      <w:divBdr>
        <w:top w:val="none" w:sz="0" w:space="0" w:color="auto"/>
        <w:left w:val="none" w:sz="0" w:space="0" w:color="auto"/>
        <w:bottom w:val="none" w:sz="0" w:space="0" w:color="auto"/>
        <w:right w:val="none" w:sz="0" w:space="0" w:color="auto"/>
      </w:divBdr>
    </w:div>
    <w:div w:id="1187325146">
      <w:bodyDiv w:val="1"/>
      <w:marLeft w:val="0"/>
      <w:marRight w:val="0"/>
      <w:marTop w:val="0"/>
      <w:marBottom w:val="0"/>
      <w:divBdr>
        <w:top w:val="none" w:sz="0" w:space="0" w:color="auto"/>
        <w:left w:val="none" w:sz="0" w:space="0" w:color="auto"/>
        <w:bottom w:val="none" w:sz="0" w:space="0" w:color="auto"/>
        <w:right w:val="none" w:sz="0" w:space="0" w:color="auto"/>
      </w:divBdr>
    </w:div>
    <w:div w:id="1316684435">
      <w:bodyDiv w:val="1"/>
      <w:marLeft w:val="0"/>
      <w:marRight w:val="0"/>
      <w:marTop w:val="0"/>
      <w:marBottom w:val="0"/>
      <w:divBdr>
        <w:top w:val="none" w:sz="0" w:space="0" w:color="auto"/>
        <w:left w:val="none" w:sz="0" w:space="0" w:color="auto"/>
        <w:bottom w:val="none" w:sz="0" w:space="0" w:color="auto"/>
        <w:right w:val="none" w:sz="0" w:space="0" w:color="auto"/>
      </w:divBdr>
    </w:div>
    <w:div w:id="1981416977">
      <w:bodyDiv w:val="1"/>
      <w:marLeft w:val="0"/>
      <w:marRight w:val="0"/>
      <w:marTop w:val="0"/>
      <w:marBottom w:val="0"/>
      <w:divBdr>
        <w:top w:val="none" w:sz="0" w:space="0" w:color="auto"/>
        <w:left w:val="none" w:sz="0" w:space="0" w:color="auto"/>
        <w:bottom w:val="none" w:sz="0" w:space="0" w:color="auto"/>
        <w:right w:val="none" w:sz="0" w:space="0" w:color="auto"/>
      </w:divBdr>
    </w:div>
    <w:div w:id="2023436149">
      <w:bodyDiv w:val="1"/>
      <w:marLeft w:val="0"/>
      <w:marRight w:val="0"/>
      <w:marTop w:val="0"/>
      <w:marBottom w:val="0"/>
      <w:divBdr>
        <w:top w:val="none" w:sz="0" w:space="0" w:color="auto"/>
        <w:left w:val="none" w:sz="0" w:space="0" w:color="auto"/>
        <w:bottom w:val="none" w:sz="0" w:space="0" w:color="auto"/>
        <w:right w:val="none" w:sz="0" w:space="0" w:color="auto"/>
      </w:divBdr>
      <w:divsChild>
        <w:div w:id="1948345614">
          <w:marLeft w:val="0"/>
          <w:marRight w:val="0"/>
          <w:marTop w:val="0"/>
          <w:marBottom w:val="0"/>
          <w:divBdr>
            <w:top w:val="none" w:sz="0" w:space="0" w:color="auto"/>
            <w:left w:val="none" w:sz="0" w:space="0" w:color="auto"/>
            <w:bottom w:val="none" w:sz="0" w:space="0" w:color="auto"/>
            <w:right w:val="none" w:sz="0" w:space="0" w:color="auto"/>
          </w:divBdr>
          <w:divsChild>
            <w:div w:id="13016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6915">
      <w:bodyDiv w:val="1"/>
      <w:marLeft w:val="0"/>
      <w:marRight w:val="0"/>
      <w:marTop w:val="0"/>
      <w:marBottom w:val="0"/>
      <w:divBdr>
        <w:top w:val="none" w:sz="0" w:space="0" w:color="auto"/>
        <w:left w:val="none" w:sz="0" w:space="0" w:color="auto"/>
        <w:bottom w:val="none" w:sz="0" w:space="0" w:color="auto"/>
        <w:right w:val="none" w:sz="0" w:space="0" w:color="auto"/>
      </w:divBdr>
    </w:div>
    <w:div w:id="207808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urm@wzl.rwth-aachen.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arolin.weckendrup@wzl-iqs.rwth-aachen.de" TargetMode="External"/><Relationship Id="rId5" Type="http://schemas.openxmlformats.org/officeDocument/2006/relationships/numbering" Target="numbering.xml"/><Relationship Id="rId10" Type="http://schemas.openxmlformats.org/officeDocument/2006/relationships/hyperlink" Target="mailto:t.schnieders@wzl.rwth-aachen.d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CE40A6A90ECF849BF3ABF0E1576BCBD" ma:contentTypeVersion="3" ma:contentTypeDescription="Ein neues Dokument erstellen." ma:contentTypeScope="" ma:versionID="ab46e1a65b6bef779059f51507f7f0f2">
  <xsd:schema xmlns:xsd="http://www.w3.org/2001/XMLSchema" xmlns:xs="http://www.w3.org/2001/XMLSchema" xmlns:p="http://schemas.microsoft.com/office/2006/metadata/properties" xmlns:ns2="96ebc297-b279-49c3-ae3a-8cb603fb4fa0" targetNamespace="http://schemas.microsoft.com/office/2006/metadata/properties" ma:root="true" ma:fieldsID="1d9cc9d127b791eb9d062ba6c2bf2bda" ns2:_="">
    <xsd:import namespace="96ebc297-b279-49c3-ae3a-8cb603fb4fa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bc297-b279-49c3-ae3a-8cb603fb4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B97D0-02C7-46AB-A686-A01A53A41995}">
  <ds:schemaRefs>
    <ds:schemaRef ds:uri="http://schemas.openxmlformats.org/officeDocument/2006/bibliography"/>
  </ds:schemaRefs>
</ds:datastoreItem>
</file>

<file path=customXml/itemProps2.xml><?xml version="1.0" encoding="utf-8"?>
<ds:datastoreItem xmlns:ds="http://schemas.openxmlformats.org/officeDocument/2006/customXml" ds:itemID="{19E56328-F220-4886-A095-E023CA54AC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DE7921-39C2-49A0-A7CC-F6F9B77D0C4E}">
  <ds:schemaRefs>
    <ds:schemaRef ds:uri="http://schemas.microsoft.com/sharepoint/v3/contenttype/forms"/>
  </ds:schemaRefs>
</ds:datastoreItem>
</file>

<file path=customXml/itemProps4.xml><?xml version="1.0" encoding="utf-8"?>
<ds:datastoreItem xmlns:ds="http://schemas.openxmlformats.org/officeDocument/2006/customXml" ds:itemID="{E37D2E7A-BD0C-470A-BCAD-AF41B543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bc297-b279-49c3-ae3a-8cb603fb4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4644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Werkzeugmaschinenlabor WZL der RWTH Aachen</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Wurm</dc:creator>
  <cp:keywords/>
  <dc:description/>
  <cp:lastModifiedBy>Tim Schnieders</cp:lastModifiedBy>
  <cp:revision>3</cp:revision>
  <dcterms:created xsi:type="dcterms:W3CDTF">2025-09-01T06:20:00Z</dcterms:created>
  <dcterms:modified xsi:type="dcterms:W3CDTF">2025-09-04T09:29:00Z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0x010100FCE40A6A90ECF849BF3ABF0E1576BCBD</vt:lpwstr>
  </property>
</Properties>
</file>