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F6CC" w14:textId="1A1BA759" w:rsidR="00D845A9" w:rsidRDefault="008E2F60" w:rsidP="008E2F60">
      <w:pPr>
        <w:jc w:val="center"/>
        <w:rPr>
          <w:b/>
          <w:bCs/>
        </w:rPr>
      </w:pPr>
      <w:r w:rsidRPr="00EB1353">
        <w:rPr>
          <w:b/>
          <w:bCs/>
        </w:rPr>
        <w:t>Horizon Europe Research G</w:t>
      </w:r>
      <w:r>
        <w:rPr>
          <w:b/>
          <w:bCs/>
        </w:rPr>
        <w:t>ro</w:t>
      </w:r>
      <w:r w:rsidRPr="00EB1353">
        <w:rPr>
          <w:b/>
          <w:bCs/>
        </w:rPr>
        <w:t>up Profile</w:t>
      </w:r>
    </w:p>
    <w:p w14:paraId="1762DB58" w14:textId="5CED91E5" w:rsidR="008E2F60" w:rsidRDefault="008E2F60" w:rsidP="001A3113">
      <w:pPr>
        <w:spacing w:after="0"/>
        <w:rPr>
          <w:b/>
          <w:bCs/>
        </w:rPr>
      </w:pPr>
      <w:r>
        <w:rPr>
          <w:b/>
          <w:bCs/>
        </w:rPr>
        <w:t>Research Group Focus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E2F60" w14:paraId="68558371" w14:textId="77777777" w:rsidTr="08C61663">
        <w:tc>
          <w:tcPr>
            <w:tcW w:w="9493" w:type="dxa"/>
          </w:tcPr>
          <w:p w14:paraId="4B88D4A8" w14:textId="77777777" w:rsidR="008E2F60" w:rsidRDefault="00D42616">
            <w:r>
              <w:t>Summary of the aim/mission/focus of the research group</w:t>
            </w:r>
          </w:p>
          <w:p w14:paraId="49416B40" w14:textId="77777777" w:rsidR="00622FC3" w:rsidRDefault="00622FC3"/>
          <w:p w14:paraId="3CA87785" w14:textId="3606A946" w:rsidR="007D1C9B" w:rsidRPr="00F844FC" w:rsidRDefault="00DA32AF" w:rsidP="00003500">
            <w:pPr>
              <w:jc w:val="both"/>
            </w:pPr>
            <w:r w:rsidRPr="00F844FC">
              <w:t>Our</w:t>
            </w:r>
            <w:r w:rsidR="007D1C9B" w:rsidRPr="00F844FC">
              <w:t xml:space="preserve"> research group aims to advance equitable health and wellbeing by connecting education systems, communities, and health promotion through implementation research.</w:t>
            </w:r>
            <w:r w:rsidR="007D1C9B" w:rsidRPr="00F844FC">
              <w:br/>
              <w:t>Our mission is to generate and apply evidence on how learning environments</w:t>
            </w:r>
            <w:r w:rsidR="518D44D4" w:rsidRPr="00F844FC">
              <w:t xml:space="preserve">, </w:t>
            </w:r>
            <w:r w:rsidR="007D1C9B" w:rsidRPr="00F844FC">
              <w:t xml:space="preserve">particularly </w:t>
            </w:r>
            <w:r w:rsidR="0F70A517" w:rsidRPr="00F844FC">
              <w:t xml:space="preserve">using </w:t>
            </w:r>
            <w:r w:rsidR="007D1C9B" w:rsidRPr="00F844FC">
              <w:t>schools as community hub</w:t>
            </w:r>
            <w:r w:rsidR="60210473" w:rsidRPr="00F844FC">
              <w:t xml:space="preserve">s, </w:t>
            </w:r>
            <w:r w:rsidR="007D1C9B" w:rsidRPr="00F844FC">
              <w:t xml:space="preserve">can act as multisectoral settings for </w:t>
            </w:r>
            <w:r w:rsidR="63ABA515" w:rsidRPr="00F844FC">
              <w:t xml:space="preserve">reducing risk and </w:t>
            </w:r>
            <w:r w:rsidR="007D1C9B" w:rsidRPr="00F844FC">
              <w:t xml:space="preserve">preventing </w:t>
            </w:r>
            <w:r w:rsidR="35F11601" w:rsidRPr="00F844FC">
              <w:t xml:space="preserve">development of </w:t>
            </w:r>
            <w:r w:rsidR="007D1C9B" w:rsidRPr="00F844FC">
              <w:t>non-communicable diseases (NCDs)</w:t>
            </w:r>
            <w:r w:rsidR="3814171A" w:rsidRPr="00F844FC">
              <w:t xml:space="preserve"> across the life</w:t>
            </w:r>
            <w:r w:rsidR="00F844FC" w:rsidRPr="00F844FC">
              <w:t xml:space="preserve"> </w:t>
            </w:r>
            <w:r w:rsidR="3814171A" w:rsidRPr="00F844FC">
              <w:t>course.</w:t>
            </w:r>
          </w:p>
          <w:p w14:paraId="2DF06A87" w14:textId="0123EC78" w:rsidR="00003500" w:rsidRPr="00F844FC" w:rsidRDefault="007D1C9B" w:rsidP="00003500">
            <w:pPr>
              <w:jc w:val="both"/>
            </w:pPr>
            <w:r w:rsidRPr="00F844FC">
              <w:t xml:space="preserve">Working at the intersection of health </w:t>
            </w:r>
            <w:r w:rsidR="76A960E0" w:rsidRPr="00F844FC">
              <w:t xml:space="preserve">promotion and </w:t>
            </w:r>
            <w:r w:rsidRPr="00F844FC">
              <w:t xml:space="preserve">education, curriculum </w:t>
            </w:r>
            <w:r w:rsidR="12FF7215" w:rsidRPr="00F844FC">
              <w:t xml:space="preserve">and assessment </w:t>
            </w:r>
            <w:r w:rsidRPr="00F844FC">
              <w:t xml:space="preserve">design, </w:t>
            </w:r>
            <w:r w:rsidR="1A4163B9" w:rsidRPr="00F844FC">
              <w:t xml:space="preserve">and </w:t>
            </w:r>
            <w:r w:rsidRPr="00F844FC">
              <w:t>adolescent development</w:t>
            </w:r>
            <w:r w:rsidR="00003500" w:rsidRPr="00F844FC">
              <w:t>,</w:t>
            </w:r>
            <w:r w:rsidR="616FD49C" w:rsidRPr="00F844FC">
              <w:t xml:space="preserve"> </w:t>
            </w:r>
            <w:r w:rsidRPr="00F844FC">
              <w:t>our group focuses on how young people learn about complex health issues, act as change agents within their families and communities, and co-create knowledge that informs both policy and practice.</w:t>
            </w:r>
          </w:p>
          <w:p w14:paraId="03C03E55" w14:textId="77777777" w:rsidR="00003500" w:rsidRPr="00F844FC" w:rsidRDefault="00003500" w:rsidP="00003500">
            <w:pPr>
              <w:jc w:val="both"/>
            </w:pPr>
          </w:p>
          <w:p w14:paraId="1894AF59" w14:textId="5A3363CD" w:rsidR="00E44C8C" w:rsidRPr="00F844FC" w:rsidRDefault="007D1C9B" w:rsidP="00003500">
            <w:pPr>
              <w:jc w:val="both"/>
            </w:pPr>
            <w:r w:rsidRPr="00F844FC">
              <w:t xml:space="preserve">Our transdisciplinary work bridges the social and behavioural sciences, education, and public health, with a strong emphasis on </w:t>
            </w:r>
            <w:r w:rsidR="195F904D" w:rsidRPr="00F844FC">
              <w:t xml:space="preserve">health </w:t>
            </w:r>
            <w:r w:rsidRPr="00F844FC">
              <w:t>equity, Indigenous worldviews, and implementation science.</w:t>
            </w:r>
          </w:p>
          <w:p w14:paraId="6E08F2BF" w14:textId="13F826D3" w:rsidR="00D42616" w:rsidRDefault="00D42616">
            <w:pPr>
              <w:rPr>
                <w:b/>
                <w:bCs/>
              </w:rPr>
            </w:pPr>
          </w:p>
        </w:tc>
      </w:tr>
    </w:tbl>
    <w:p w14:paraId="53BAC5E4" w14:textId="73DD39A9" w:rsidR="008E2F60" w:rsidRDefault="008E2F60" w:rsidP="001A3113">
      <w:pPr>
        <w:spacing w:after="0"/>
        <w:rPr>
          <w:b/>
          <w:bCs/>
        </w:rPr>
      </w:pPr>
      <w:r>
        <w:rPr>
          <w:b/>
          <w:bCs/>
        </w:rPr>
        <w:t>Research Group Competencies</w:t>
      </w:r>
      <w:r w:rsidR="00622FC3">
        <w:rPr>
          <w:b/>
          <w:bCs/>
        </w:rPr>
        <w:t xml:space="preserve"> and Match to Call for Proposal Tasks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E2F60" w14:paraId="396A4CA5" w14:textId="77777777" w:rsidTr="08C61663">
        <w:tc>
          <w:tcPr>
            <w:tcW w:w="9493" w:type="dxa"/>
          </w:tcPr>
          <w:p w14:paraId="733D9D38" w14:textId="5C5BC2A2" w:rsidR="008E2F60" w:rsidRPr="001A3113" w:rsidRDefault="00BA48E4" w:rsidP="00CD5616">
            <w:pPr>
              <w:jc w:val="both"/>
            </w:pPr>
            <w:r>
              <w:t>Key strengths of the</w:t>
            </w:r>
            <w:r w:rsidR="00AD0886">
              <w:t xml:space="preserve"> Research Group</w:t>
            </w:r>
            <w:r>
              <w:t xml:space="preserve"> </w:t>
            </w:r>
            <w:r w:rsidR="00AD0886">
              <w:t>include:</w:t>
            </w:r>
          </w:p>
          <w:p w14:paraId="6E5B18CF" w14:textId="77777777" w:rsidR="008E2F60" w:rsidRDefault="008E2F60" w:rsidP="00CD5616">
            <w:pPr>
              <w:jc w:val="both"/>
              <w:rPr>
                <w:b/>
                <w:bCs/>
              </w:rPr>
            </w:pPr>
          </w:p>
          <w:p w14:paraId="42C38EE5" w14:textId="77777777" w:rsidR="002771A6" w:rsidRPr="002771A6" w:rsidRDefault="002771A6" w:rsidP="00CD5616">
            <w:pPr>
              <w:jc w:val="both"/>
              <w:rPr>
                <w:b/>
                <w:bCs/>
              </w:rPr>
            </w:pPr>
            <w:r w:rsidRPr="002771A6">
              <w:rPr>
                <w:b/>
                <w:bCs/>
              </w:rPr>
              <w:t>Key strengths</w:t>
            </w:r>
          </w:p>
          <w:p w14:paraId="634DAF58" w14:textId="3AB750D4" w:rsidR="002771A6" w:rsidRPr="002771A6" w:rsidRDefault="6C4E4699" w:rsidP="00CD5616">
            <w:pPr>
              <w:numPr>
                <w:ilvl w:val="0"/>
                <w:numId w:val="4"/>
              </w:numPr>
              <w:jc w:val="both"/>
            </w:pPr>
            <w:r>
              <w:t>C</w:t>
            </w:r>
            <w:r w:rsidR="0F27D74A">
              <w:t xml:space="preserve">apacity to design and evaluate school- and community-based NCD-prevention interventions in partnership with </w:t>
            </w:r>
            <w:r w:rsidR="3632B62E">
              <w:t>government agencies (</w:t>
            </w:r>
            <w:r w:rsidR="0F27D74A">
              <w:t>Ministries of Health and Education</w:t>
            </w:r>
            <w:r w:rsidR="13E97695">
              <w:t>)</w:t>
            </w:r>
            <w:r w:rsidR="0F27D74A">
              <w:t xml:space="preserve"> across the Pacific and Aotearoa New Zealand.</w:t>
            </w:r>
          </w:p>
          <w:p w14:paraId="64C87FCD" w14:textId="4B8DB503" w:rsidR="002771A6" w:rsidRPr="002771A6" w:rsidRDefault="0F27D74A" w:rsidP="00CD5616">
            <w:pPr>
              <w:numPr>
                <w:ilvl w:val="0"/>
                <w:numId w:val="4"/>
              </w:numPr>
              <w:jc w:val="both"/>
            </w:pPr>
            <w:r>
              <w:t xml:space="preserve">Expertise in implementation research, </w:t>
            </w:r>
            <w:r w:rsidR="30940D4F">
              <w:t xml:space="preserve">research-practice partnerships (RPP), and </w:t>
            </w:r>
            <w:r>
              <w:t>design-based implementation</w:t>
            </w:r>
            <w:r w:rsidR="19254074">
              <w:t xml:space="preserve"> research</w:t>
            </w:r>
            <w:r>
              <w:t xml:space="preserve"> (DBIR)</w:t>
            </w:r>
          </w:p>
          <w:p w14:paraId="364CC01A" w14:textId="4595C16A" w:rsidR="002771A6" w:rsidRPr="002771A6" w:rsidRDefault="0B097D44" w:rsidP="00CD5616">
            <w:pPr>
              <w:numPr>
                <w:ilvl w:val="0"/>
                <w:numId w:val="4"/>
              </w:numPr>
              <w:jc w:val="both"/>
            </w:pPr>
            <w:r>
              <w:t>T</w:t>
            </w:r>
            <w:r w:rsidR="43D36BB6">
              <w:t xml:space="preserve">rack record </w:t>
            </w:r>
            <w:r w:rsidR="464117D2">
              <w:t xml:space="preserve">of using </w:t>
            </w:r>
            <w:r w:rsidR="0F27D74A">
              <w:t xml:space="preserve">co-design methodologies </w:t>
            </w:r>
            <w:r w:rsidR="6362F017">
              <w:t xml:space="preserve">to </w:t>
            </w:r>
            <w:r w:rsidR="0F27D74A">
              <w:t xml:space="preserve">integrate scientific, </w:t>
            </w:r>
            <w:r w:rsidR="6E575E6B">
              <w:t>community/</w:t>
            </w:r>
            <w:r w:rsidR="0F27D74A">
              <w:t>cultural, and policy perspectives.</w:t>
            </w:r>
          </w:p>
          <w:p w14:paraId="397265F6" w14:textId="65EEE163" w:rsidR="002771A6" w:rsidRPr="002771A6" w:rsidRDefault="163FA365" w:rsidP="00CD5616">
            <w:pPr>
              <w:numPr>
                <w:ilvl w:val="0"/>
                <w:numId w:val="4"/>
              </w:numPr>
              <w:jc w:val="both"/>
            </w:pPr>
            <w:r>
              <w:t>Track record of using</w:t>
            </w:r>
            <w:r w:rsidR="2573C3E0">
              <w:t xml:space="preserve"> </w:t>
            </w:r>
            <w:r w:rsidR="0F27D74A">
              <w:t xml:space="preserve">youth participatory and deliberative approaches (Photovoice, Q-methodology, </w:t>
            </w:r>
            <w:r w:rsidR="64E685FA">
              <w:t xml:space="preserve">World Cafe, </w:t>
            </w:r>
            <w:r w:rsidR="0F27D74A">
              <w:t xml:space="preserve">systems-mapping, and </w:t>
            </w:r>
            <w:r w:rsidR="020E5F54">
              <w:t>Y</w:t>
            </w:r>
            <w:r w:rsidR="0F27D74A">
              <w:t xml:space="preserve">outh as </w:t>
            </w:r>
            <w:r w:rsidR="5028B22D">
              <w:t>R</w:t>
            </w:r>
            <w:r w:rsidR="0F27D74A">
              <w:t>esearchers) that align with GACD’s emphasis on stakeholder engagement and local ownership.</w:t>
            </w:r>
          </w:p>
          <w:p w14:paraId="74BE50E7" w14:textId="79B22E35" w:rsidR="002771A6" w:rsidRDefault="38BB63D2" w:rsidP="00CD5616">
            <w:pPr>
              <w:numPr>
                <w:ilvl w:val="0"/>
                <w:numId w:val="4"/>
              </w:numPr>
              <w:jc w:val="both"/>
            </w:pPr>
            <w:r>
              <w:t xml:space="preserve">Capacity </w:t>
            </w:r>
            <w:r w:rsidR="0F27D74A">
              <w:t>to produce scalable</w:t>
            </w:r>
            <w:r w:rsidR="6BA2B32E">
              <w:t xml:space="preserve"> curricula and </w:t>
            </w:r>
            <w:r w:rsidR="0F27D74A">
              <w:t>curriculum-embedded resources that align with educational standards.</w:t>
            </w:r>
          </w:p>
          <w:p w14:paraId="6F227240" w14:textId="77777777" w:rsidR="00983B22" w:rsidRPr="002771A6" w:rsidRDefault="00983B22" w:rsidP="00983B22">
            <w:pPr>
              <w:ind w:left="720"/>
              <w:jc w:val="both"/>
            </w:pPr>
          </w:p>
          <w:p w14:paraId="44329325" w14:textId="77777777" w:rsidR="002771A6" w:rsidRPr="002771A6" w:rsidRDefault="002771A6" w:rsidP="00CD5616">
            <w:pPr>
              <w:jc w:val="both"/>
              <w:rPr>
                <w:b/>
                <w:bCs/>
              </w:rPr>
            </w:pPr>
            <w:r w:rsidRPr="002771A6">
              <w:rPr>
                <w:b/>
                <w:bCs/>
              </w:rPr>
              <w:t>What we can contribute</w:t>
            </w:r>
          </w:p>
          <w:p w14:paraId="6343DB90" w14:textId="1E392187" w:rsidR="002771A6" w:rsidRPr="002771A6" w:rsidRDefault="002771A6" w:rsidP="00CD5616">
            <w:pPr>
              <w:numPr>
                <w:ilvl w:val="0"/>
                <w:numId w:val="5"/>
              </w:numPr>
              <w:jc w:val="both"/>
            </w:pPr>
            <w:r w:rsidRPr="002771A6">
              <w:t>Leadership of a Work Package on Education and Community Implementation, designing and testing multisectoral NCD-prevention interventions in schools and youth settings</w:t>
            </w:r>
            <w:r w:rsidR="009A69F8">
              <w:t xml:space="preserve"> in New Zealand and the Pacific</w:t>
            </w:r>
            <w:r w:rsidRPr="002771A6">
              <w:t>.</w:t>
            </w:r>
          </w:p>
          <w:p w14:paraId="3D4B1D72" w14:textId="57323C0E" w:rsidR="002771A6" w:rsidRPr="002771A6" w:rsidRDefault="0F27D74A" w:rsidP="00CD5616">
            <w:pPr>
              <w:numPr>
                <w:ilvl w:val="0"/>
                <w:numId w:val="5"/>
              </w:numPr>
              <w:jc w:val="both"/>
            </w:pPr>
            <w:r>
              <w:t xml:space="preserve">Evidence frameworks and instruments to evaluate behavioural, cognitive, </w:t>
            </w:r>
            <w:r w:rsidR="0949317E">
              <w:t xml:space="preserve">social-emotional </w:t>
            </w:r>
            <w:r>
              <w:t>and systems-thinking outcomes across diverse contexts.</w:t>
            </w:r>
          </w:p>
          <w:p w14:paraId="05B57B1B" w14:textId="77777777" w:rsidR="002771A6" w:rsidRPr="002771A6" w:rsidRDefault="002771A6" w:rsidP="00CD5616">
            <w:pPr>
              <w:numPr>
                <w:ilvl w:val="0"/>
                <w:numId w:val="5"/>
              </w:numPr>
              <w:jc w:val="both"/>
            </w:pPr>
            <w:r w:rsidRPr="002771A6">
              <w:t>Expertise in capacity building for teachers, youth leaders, and local researchers, embedding sustainability through professional-learning communities.</w:t>
            </w:r>
          </w:p>
          <w:p w14:paraId="1E406260" w14:textId="77777777" w:rsidR="002771A6" w:rsidRPr="002771A6" w:rsidRDefault="0F27D74A" w:rsidP="00CD5616">
            <w:pPr>
              <w:numPr>
                <w:ilvl w:val="0"/>
                <w:numId w:val="5"/>
              </w:numPr>
              <w:jc w:val="both"/>
            </w:pPr>
            <w:r>
              <w:t>Coordination of community dissemination and youth engagement activities to strengthen the translational impact of the consortium.</w:t>
            </w:r>
          </w:p>
          <w:p w14:paraId="7E138D11" w14:textId="2E6D6B0E" w:rsidR="3817E51E" w:rsidRDefault="3817E51E" w:rsidP="00CD5616">
            <w:pPr>
              <w:numPr>
                <w:ilvl w:val="0"/>
                <w:numId w:val="5"/>
              </w:numPr>
              <w:jc w:val="both"/>
            </w:pPr>
            <w:r>
              <w:t>Connections to Pacific comm</w:t>
            </w:r>
            <w:r w:rsidR="00CD5616">
              <w:t>u</w:t>
            </w:r>
            <w:r>
              <w:t>nities in New Zealand and the Pacif</w:t>
            </w:r>
            <w:r w:rsidR="00CD5616">
              <w:t>i</w:t>
            </w:r>
            <w:r>
              <w:t>c</w:t>
            </w:r>
            <w:r w:rsidR="00CD5616">
              <w:t xml:space="preserve"> region</w:t>
            </w:r>
          </w:p>
          <w:p w14:paraId="0882CD08" w14:textId="77777777" w:rsidR="00983B22" w:rsidRDefault="00983B22" w:rsidP="00983B22">
            <w:pPr>
              <w:ind w:left="720"/>
              <w:jc w:val="both"/>
            </w:pPr>
          </w:p>
          <w:p w14:paraId="270AACC2" w14:textId="77777777" w:rsidR="002771A6" w:rsidRPr="002771A6" w:rsidRDefault="002771A6" w:rsidP="00CD5616">
            <w:pPr>
              <w:jc w:val="both"/>
              <w:rPr>
                <w:b/>
                <w:bCs/>
              </w:rPr>
            </w:pPr>
            <w:r w:rsidRPr="002771A6">
              <w:rPr>
                <w:b/>
                <w:bCs/>
              </w:rPr>
              <w:t>Special skillsets and experience</w:t>
            </w:r>
          </w:p>
          <w:p w14:paraId="5F924493" w14:textId="77777777" w:rsidR="002771A6" w:rsidRPr="002771A6" w:rsidRDefault="002771A6" w:rsidP="00CD5616">
            <w:pPr>
              <w:numPr>
                <w:ilvl w:val="0"/>
                <w:numId w:val="6"/>
              </w:numPr>
              <w:jc w:val="both"/>
            </w:pPr>
            <w:r w:rsidRPr="002771A6">
              <w:t>Mixed-methods and longitudinal evaluation expertise (NVivo, SPSS, theory-driven qualitative analysis).</w:t>
            </w:r>
          </w:p>
          <w:p w14:paraId="095D9ACA" w14:textId="4A89429C" w:rsidR="002771A6" w:rsidRPr="002771A6" w:rsidRDefault="1A13A6DA" w:rsidP="00CD5616">
            <w:pPr>
              <w:numPr>
                <w:ilvl w:val="0"/>
                <w:numId w:val="6"/>
              </w:numPr>
              <w:jc w:val="both"/>
            </w:pPr>
            <w:r>
              <w:t>U</w:t>
            </w:r>
            <w:r w:rsidR="0F27D74A">
              <w:t>nderstanding of Pacific and Indigenous health equity frameworks</w:t>
            </w:r>
            <w:r w:rsidR="5D9E7345">
              <w:t>.</w:t>
            </w:r>
          </w:p>
          <w:p w14:paraId="6707F3A0" w14:textId="77777777" w:rsidR="002771A6" w:rsidRPr="002771A6" w:rsidRDefault="002771A6" w:rsidP="00CD5616">
            <w:pPr>
              <w:numPr>
                <w:ilvl w:val="0"/>
                <w:numId w:val="6"/>
              </w:numPr>
              <w:jc w:val="both"/>
            </w:pPr>
            <w:r w:rsidRPr="002771A6">
              <w:lastRenderedPageBreak/>
              <w:t>Design and analysis of complex learning interventions using systems-thinking and deliberative-democracy pedagogies.</w:t>
            </w:r>
          </w:p>
          <w:p w14:paraId="1DC5696D" w14:textId="40331A3A" w:rsidR="00C32FED" w:rsidRDefault="0F27D74A" w:rsidP="0025336B">
            <w:pPr>
              <w:numPr>
                <w:ilvl w:val="0"/>
                <w:numId w:val="6"/>
              </w:numPr>
              <w:jc w:val="both"/>
              <w:rPr>
                <w:b/>
                <w:bCs/>
              </w:rPr>
            </w:pPr>
            <w:r>
              <w:t>Track record of translating research into policy-relevant resources and open-access educational tools.</w:t>
            </w:r>
          </w:p>
        </w:tc>
      </w:tr>
    </w:tbl>
    <w:p w14:paraId="731716F6" w14:textId="77777777" w:rsidR="008E2F60" w:rsidRPr="00C7578F" w:rsidRDefault="008E2F60" w:rsidP="00CD5616">
      <w:pPr>
        <w:spacing w:after="0"/>
        <w:jc w:val="both"/>
        <w:rPr>
          <w:b/>
          <w:bCs/>
          <w:sz w:val="16"/>
          <w:szCs w:val="16"/>
        </w:rPr>
      </w:pPr>
    </w:p>
    <w:p w14:paraId="73DDE82F" w14:textId="08BDC40F" w:rsidR="008E2F60" w:rsidRDefault="008E2F60" w:rsidP="00CD5616">
      <w:pPr>
        <w:spacing w:after="0"/>
        <w:jc w:val="both"/>
        <w:rPr>
          <w:b/>
          <w:bCs/>
        </w:rPr>
      </w:pPr>
      <w:r>
        <w:rPr>
          <w:b/>
          <w:bCs/>
        </w:rPr>
        <w:t>Relevant Publications, Products, Services or other Related Achievements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E2F60" w14:paraId="5CC4CFC2" w14:textId="77777777" w:rsidTr="08C61663">
        <w:tc>
          <w:tcPr>
            <w:tcW w:w="9493" w:type="dxa"/>
          </w:tcPr>
          <w:p w14:paraId="5B6FA4A3" w14:textId="77777777" w:rsidR="00996F3F" w:rsidRPr="00996F3F" w:rsidRDefault="270CC114" w:rsidP="00CD5616">
            <w:pPr>
              <w:jc w:val="both"/>
              <w:rPr>
                <w:b/>
                <w:bCs/>
              </w:rPr>
            </w:pPr>
            <w:r w:rsidRPr="08C61663">
              <w:rPr>
                <w:b/>
                <w:bCs/>
              </w:rPr>
              <w:t>Key outputs and dissemination channels</w:t>
            </w:r>
          </w:p>
          <w:p w14:paraId="650BDF2C" w14:textId="6517C384" w:rsidR="00996F3F" w:rsidRPr="00996F3F" w:rsidRDefault="00996F3F" w:rsidP="00CD5616">
            <w:pPr>
              <w:numPr>
                <w:ilvl w:val="0"/>
                <w:numId w:val="7"/>
              </w:numPr>
              <w:jc w:val="both"/>
              <w:rPr>
                <w:bCs/>
              </w:rPr>
            </w:pPr>
            <w:r w:rsidRPr="00996F3F">
              <w:rPr>
                <w:bCs/>
              </w:rPr>
              <w:t xml:space="preserve">Regular publication in international peer-reviewed journals </w:t>
            </w:r>
          </w:p>
          <w:p w14:paraId="137D92A6" w14:textId="77777777" w:rsidR="00996F3F" w:rsidRPr="00996F3F" w:rsidRDefault="00996F3F" w:rsidP="00CD5616">
            <w:pPr>
              <w:numPr>
                <w:ilvl w:val="0"/>
                <w:numId w:val="7"/>
              </w:numPr>
              <w:jc w:val="both"/>
              <w:rPr>
                <w:bCs/>
              </w:rPr>
            </w:pPr>
            <w:r w:rsidRPr="00996F3F">
              <w:rPr>
                <w:bCs/>
              </w:rPr>
              <w:t xml:space="preserve">Co-designed </w:t>
            </w:r>
            <w:r w:rsidRPr="00996F3F">
              <w:rPr>
                <w:b/>
                <w:bCs/>
              </w:rPr>
              <w:t>curriculum resources</w:t>
            </w:r>
            <w:r w:rsidRPr="00996F3F">
              <w:rPr>
                <w:bCs/>
              </w:rPr>
              <w:t xml:space="preserve">, </w:t>
            </w:r>
            <w:r w:rsidRPr="00996F3F">
              <w:rPr>
                <w:b/>
                <w:bCs/>
              </w:rPr>
              <w:t>teacher professional-learning modules</w:t>
            </w:r>
            <w:r w:rsidRPr="00996F3F">
              <w:rPr>
                <w:bCs/>
              </w:rPr>
              <w:t xml:space="preserve">, and </w:t>
            </w:r>
            <w:r w:rsidRPr="00996F3F">
              <w:rPr>
                <w:b/>
                <w:bCs/>
              </w:rPr>
              <w:t>assessment frameworks</w:t>
            </w:r>
            <w:r w:rsidRPr="00996F3F">
              <w:rPr>
                <w:bCs/>
              </w:rPr>
              <w:t xml:space="preserve"> available through the University of Auckland’s </w:t>
            </w:r>
            <w:proofErr w:type="spellStart"/>
            <w:r w:rsidRPr="00996F3F">
              <w:rPr>
                <w:bCs/>
              </w:rPr>
              <w:t>LENScience</w:t>
            </w:r>
            <w:proofErr w:type="spellEnd"/>
            <w:r w:rsidRPr="00996F3F">
              <w:rPr>
                <w:bCs/>
              </w:rPr>
              <w:t xml:space="preserve"> platform.</w:t>
            </w:r>
          </w:p>
          <w:p w14:paraId="536FA0DA" w14:textId="77777777" w:rsidR="00996F3F" w:rsidRDefault="00996F3F" w:rsidP="00CD5616">
            <w:pPr>
              <w:numPr>
                <w:ilvl w:val="0"/>
                <w:numId w:val="7"/>
              </w:numPr>
              <w:jc w:val="both"/>
              <w:rPr>
                <w:bCs/>
              </w:rPr>
            </w:pPr>
            <w:r w:rsidRPr="00996F3F">
              <w:rPr>
                <w:bCs/>
              </w:rPr>
              <w:t>Ongoing production of open-access digital toolkits for schools and ministries.</w:t>
            </w:r>
          </w:p>
          <w:p w14:paraId="28731A4F" w14:textId="77777777" w:rsidR="00FD6418" w:rsidRPr="00996F3F" w:rsidRDefault="00FD6418" w:rsidP="00FD6418">
            <w:pPr>
              <w:ind w:left="720"/>
              <w:jc w:val="both"/>
              <w:rPr>
                <w:bCs/>
              </w:rPr>
            </w:pPr>
          </w:p>
          <w:p w14:paraId="7C7AAE06" w14:textId="77777777" w:rsidR="00996F3F" w:rsidRPr="00996F3F" w:rsidRDefault="00996F3F" w:rsidP="00CD5616">
            <w:pPr>
              <w:jc w:val="both"/>
              <w:rPr>
                <w:b/>
                <w:bCs/>
              </w:rPr>
            </w:pPr>
            <w:r w:rsidRPr="00996F3F">
              <w:rPr>
                <w:b/>
                <w:bCs/>
              </w:rPr>
              <w:t>Recent publications evidencing fit</w:t>
            </w:r>
          </w:p>
          <w:p w14:paraId="73CA3E63" w14:textId="77777777" w:rsidR="00423574" w:rsidRDefault="00423574" w:rsidP="00423574">
            <w:pPr>
              <w:jc w:val="both"/>
              <w:rPr>
                <w:bCs/>
                <w:i/>
                <w:iCs/>
              </w:rPr>
            </w:pPr>
          </w:p>
          <w:p w14:paraId="58663038" w14:textId="77777777" w:rsidR="00423574" w:rsidRPr="00423574" w:rsidRDefault="00423574" w:rsidP="00465C3C">
            <w:pPr>
              <w:spacing w:after="120"/>
              <w:ind w:left="720" w:hanging="720"/>
              <w:rPr>
                <w:bCs/>
              </w:rPr>
            </w:pPr>
            <w:r w:rsidRPr="00423574">
              <w:rPr>
                <w:b/>
                <w:bCs/>
                <w:lang w:val="en-US"/>
              </w:rPr>
              <w:t>Trask, S.,</w:t>
            </w:r>
            <w:r w:rsidRPr="00423574">
              <w:rPr>
                <w:bCs/>
                <w:lang w:val="en-US"/>
              </w:rPr>
              <w:t xml:space="preserve"> Barrett-Watson, C., Joseph, D., Taurarii, J., &amp; Bay, J. (2025). Photovoice as pedagogy in a Pacific setting: Exploring complexity and choices in Cook Islands food environments. </w:t>
            </w:r>
            <w:r w:rsidRPr="00423574">
              <w:rPr>
                <w:bCs/>
                <w:i/>
                <w:iCs/>
                <w:lang w:val="en-US"/>
              </w:rPr>
              <w:t>Journal of School Health</w:t>
            </w:r>
            <w:r w:rsidRPr="00423574">
              <w:rPr>
                <w:bCs/>
                <w:lang w:val="en-US"/>
              </w:rPr>
              <w:t xml:space="preserve">. </w:t>
            </w:r>
            <w:hyperlink r:id="rId11" w:tgtFrame="_blank" w:history="1">
              <w:r w:rsidRPr="00423574">
                <w:rPr>
                  <w:rStyle w:val="Hyperlink"/>
                  <w:bCs/>
                  <w:lang w:val="en-US"/>
                </w:rPr>
                <w:t>https://doi-org/10.1111/josh.70006</w:t>
              </w:r>
            </w:hyperlink>
            <w:r w:rsidRPr="00423574">
              <w:rPr>
                <w:rFonts w:ascii="Arial" w:hAnsi="Arial" w:cs="Arial"/>
                <w:bCs/>
                <w:lang w:val="en-US"/>
              </w:rPr>
              <w:t> </w:t>
            </w:r>
            <w:r w:rsidRPr="00423574">
              <w:rPr>
                <w:bCs/>
              </w:rPr>
              <w:t> </w:t>
            </w:r>
          </w:p>
          <w:p w14:paraId="6354AF9B" w14:textId="77777777" w:rsidR="00423574" w:rsidRPr="00423574" w:rsidRDefault="00423574" w:rsidP="00465C3C">
            <w:pPr>
              <w:spacing w:after="120"/>
              <w:ind w:left="720" w:hanging="720"/>
              <w:rPr>
                <w:bCs/>
              </w:rPr>
            </w:pPr>
            <w:r w:rsidRPr="00423574">
              <w:rPr>
                <w:bCs/>
                <w:lang w:val="en-US"/>
              </w:rPr>
              <w:t xml:space="preserve">Bay, J. L., John, T., Barrett-Watson, C., Ngamata, K., Renelle, A., </w:t>
            </w:r>
            <w:r w:rsidRPr="00423574">
              <w:rPr>
                <w:b/>
                <w:bCs/>
                <w:lang w:val="en-US"/>
              </w:rPr>
              <w:t>Trask, S. A.</w:t>
            </w:r>
            <w:r w:rsidRPr="00423574">
              <w:rPr>
                <w:bCs/>
                <w:lang w:val="en-US"/>
              </w:rPr>
              <w:t xml:space="preserve">, Bates, M., </w:t>
            </w:r>
            <w:r w:rsidRPr="00423574">
              <w:rPr>
                <w:b/>
                <w:lang w:val="en-US"/>
              </w:rPr>
              <w:t>Vickers, M</w:t>
            </w:r>
            <w:r w:rsidRPr="00423574">
              <w:rPr>
                <w:bCs/>
                <w:lang w:val="en-US"/>
              </w:rPr>
              <w:t xml:space="preserve">. </w:t>
            </w:r>
            <w:r w:rsidRPr="00423574">
              <w:rPr>
                <w:b/>
                <w:lang w:val="en-US"/>
              </w:rPr>
              <w:t>H.,</w:t>
            </w:r>
            <w:r w:rsidRPr="00423574">
              <w:rPr>
                <w:bCs/>
                <w:lang w:val="en-US"/>
              </w:rPr>
              <w:t xml:space="preserve"> &amp; Cochrane, D. T. (2025). Evolution of a sustained health promotion </w:t>
            </w:r>
            <w:proofErr w:type="spellStart"/>
            <w:r w:rsidRPr="00423574">
              <w:rPr>
                <w:bCs/>
                <w:lang w:val="en-US"/>
              </w:rPr>
              <w:t>programme</w:t>
            </w:r>
            <w:proofErr w:type="spellEnd"/>
            <w:r w:rsidRPr="00423574">
              <w:rPr>
                <w:bCs/>
                <w:lang w:val="en-US"/>
              </w:rPr>
              <w:t xml:space="preserve"> exploring </w:t>
            </w:r>
            <w:proofErr w:type="gramStart"/>
            <w:r w:rsidRPr="00423574">
              <w:rPr>
                <w:bCs/>
                <w:lang w:val="en-US"/>
              </w:rPr>
              <w:t>adolescent</w:t>
            </w:r>
            <w:proofErr w:type="gramEnd"/>
            <w:r w:rsidRPr="00423574">
              <w:rPr>
                <w:bCs/>
                <w:lang w:val="en-US"/>
              </w:rPr>
              <w:t xml:space="preserve"> metabolic health in the Cook Islands. </w:t>
            </w:r>
            <w:r w:rsidRPr="00423574">
              <w:rPr>
                <w:bCs/>
                <w:i/>
                <w:iCs/>
                <w:lang w:val="en-US"/>
              </w:rPr>
              <w:t>Health Promotion International, 40</w:t>
            </w:r>
            <w:r w:rsidRPr="00423574">
              <w:rPr>
                <w:bCs/>
                <w:lang w:val="en-US"/>
              </w:rPr>
              <w:t xml:space="preserve">(3), daaf069. </w:t>
            </w:r>
            <w:hyperlink r:id="rId12" w:tgtFrame="_blank" w:history="1">
              <w:r w:rsidRPr="00423574">
                <w:rPr>
                  <w:rStyle w:val="Hyperlink"/>
                  <w:bCs/>
                  <w:lang w:val="en-US"/>
                </w:rPr>
                <w:t>https://doi.org/10.1093/heapro/daaf069</w:t>
              </w:r>
            </w:hyperlink>
            <w:r w:rsidRPr="00423574">
              <w:rPr>
                <w:rFonts w:ascii="Arial" w:hAnsi="Arial" w:cs="Arial"/>
                <w:bCs/>
                <w:lang w:val="en-US"/>
              </w:rPr>
              <w:t>  </w:t>
            </w:r>
            <w:r w:rsidRPr="00423574">
              <w:rPr>
                <w:bCs/>
              </w:rPr>
              <w:t> </w:t>
            </w:r>
          </w:p>
          <w:p w14:paraId="42E1B04A" w14:textId="3DD28DB8" w:rsidR="00423574" w:rsidRPr="00423574" w:rsidRDefault="00423574" w:rsidP="00465C3C">
            <w:pPr>
              <w:spacing w:after="120"/>
              <w:ind w:left="720" w:hanging="720"/>
              <w:rPr>
                <w:bCs/>
              </w:rPr>
            </w:pPr>
            <w:r w:rsidRPr="00423574">
              <w:rPr>
                <w:b/>
                <w:bCs/>
                <w:lang w:val="en-US"/>
              </w:rPr>
              <w:t>Trask S. A</w:t>
            </w:r>
            <w:r w:rsidRPr="00423574">
              <w:rPr>
                <w:bCs/>
                <w:lang w:val="en-US"/>
              </w:rPr>
              <w:t xml:space="preserve">., Thornley, S., Sundborn, G. (2024). School-based learning about sugary drinks: Possibilities and potential for curriculum approaches supporting health promotion in New Zealand. </w:t>
            </w:r>
            <w:r w:rsidRPr="00423574">
              <w:rPr>
                <w:bCs/>
                <w:i/>
                <w:iCs/>
                <w:lang w:val="en-US"/>
              </w:rPr>
              <w:t>Health Education Research</w:t>
            </w:r>
            <w:r w:rsidRPr="00423574">
              <w:rPr>
                <w:bCs/>
                <w:lang w:val="en-US"/>
              </w:rPr>
              <w:t xml:space="preserve">. </w:t>
            </w:r>
            <w:hyperlink r:id="rId13" w:history="1">
              <w:r w:rsidR="00FD6418" w:rsidRPr="00423574">
                <w:rPr>
                  <w:rStyle w:val="Hyperlink"/>
                  <w:bCs/>
                  <w:lang w:val="en-US"/>
                </w:rPr>
                <w:t>https://doi.org/10.1177/0017896923121956</w:t>
              </w:r>
            </w:hyperlink>
            <w:r w:rsidRPr="00423574">
              <w:rPr>
                <w:bCs/>
              </w:rPr>
              <w:t> </w:t>
            </w:r>
          </w:p>
          <w:p w14:paraId="25BA1EDA" w14:textId="5B82179C" w:rsidR="00FD6418" w:rsidRPr="00423574" w:rsidRDefault="00423574" w:rsidP="00465C3C">
            <w:pPr>
              <w:spacing w:after="120"/>
              <w:ind w:left="720" w:hanging="720"/>
              <w:rPr>
                <w:bCs/>
              </w:rPr>
            </w:pPr>
            <w:r w:rsidRPr="00423574">
              <w:rPr>
                <w:b/>
                <w:bCs/>
                <w:lang w:val="en-US"/>
              </w:rPr>
              <w:t>Trask, S</w:t>
            </w:r>
            <w:r w:rsidRPr="00423574">
              <w:rPr>
                <w:bCs/>
                <w:lang w:val="en-US"/>
              </w:rPr>
              <w:t xml:space="preserve">., D’Souza, E. N., Pi, S., Tu’akoi, S., &amp; Bay, J. L. (2024). Promoting school- based learning about nutrition and physical activity using Photovoice: A systematic review. </w:t>
            </w:r>
            <w:r w:rsidRPr="00423574">
              <w:rPr>
                <w:bCs/>
                <w:i/>
                <w:iCs/>
                <w:lang w:val="en-US"/>
              </w:rPr>
              <w:t>Health Education Journal</w:t>
            </w:r>
            <w:r w:rsidRPr="00423574">
              <w:rPr>
                <w:bCs/>
                <w:lang w:val="en-US"/>
              </w:rPr>
              <w:t xml:space="preserve">. </w:t>
            </w:r>
            <w:hyperlink r:id="rId14" w:history="1">
              <w:r w:rsidR="00FD6418" w:rsidRPr="00423574">
                <w:rPr>
                  <w:rStyle w:val="Hyperlink"/>
                  <w:bCs/>
                  <w:lang w:val="en-US"/>
                </w:rPr>
                <w:t>https://doi.org/10.1177/001789692312225</w:t>
              </w:r>
            </w:hyperlink>
          </w:p>
          <w:p w14:paraId="1199D2A5" w14:textId="2790C9B5" w:rsidR="00FD6418" w:rsidRDefault="00423574" w:rsidP="00465C3C">
            <w:pPr>
              <w:spacing w:after="120"/>
              <w:ind w:left="720" w:hanging="720"/>
              <w:rPr>
                <w:bCs/>
              </w:rPr>
            </w:pPr>
            <w:r w:rsidRPr="00423574">
              <w:rPr>
                <w:b/>
                <w:bCs/>
                <w:lang w:val="en-US"/>
              </w:rPr>
              <w:t>Trask, S</w:t>
            </w:r>
            <w:r w:rsidRPr="00423574">
              <w:rPr>
                <w:bCs/>
                <w:lang w:val="en-US"/>
              </w:rPr>
              <w:t xml:space="preserve">., Manuele, P., Borne, L., Galy, O., Potter, B., &amp; Bay, J. (2024). Developing the Tokelau National Health and Physical Education Curriculum: A case study. </w:t>
            </w:r>
            <w:r w:rsidRPr="00423574">
              <w:rPr>
                <w:bCs/>
                <w:i/>
                <w:iCs/>
                <w:lang w:val="en-US"/>
              </w:rPr>
              <w:t>Health Education Journal</w:t>
            </w:r>
            <w:r w:rsidRPr="00423574">
              <w:rPr>
                <w:bCs/>
                <w:lang w:val="en-US"/>
              </w:rPr>
              <w:t xml:space="preserve">, 83(1),78-94. </w:t>
            </w:r>
            <w:hyperlink r:id="rId15" w:history="1">
              <w:r w:rsidR="00FD6418" w:rsidRPr="00423574">
                <w:rPr>
                  <w:rStyle w:val="Hyperlink"/>
                  <w:bCs/>
                  <w:lang w:val="en-US"/>
                </w:rPr>
                <w:t>https://doi.org/10.1177/00178969231219567</w:t>
              </w:r>
            </w:hyperlink>
          </w:p>
          <w:p w14:paraId="56A8A706" w14:textId="4CAE3E21" w:rsidR="00FD6418" w:rsidRPr="00736C0A" w:rsidRDefault="00736C0A" w:rsidP="00465C3C">
            <w:pPr>
              <w:spacing w:after="120"/>
              <w:ind w:left="720" w:hanging="720"/>
              <w:rPr>
                <w:bCs/>
              </w:rPr>
            </w:pPr>
            <w:r w:rsidRPr="00736C0A">
              <w:rPr>
                <w:bCs/>
              </w:rPr>
              <w:t xml:space="preserve">Lockyer, P. A., Le Fevre, D. M., &amp; </w:t>
            </w:r>
            <w:r w:rsidRPr="001B137E">
              <w:rPr>
                <w:b/>
              </w:rPr>
              <w:t>Vickers, M. H.</w:t>
            </w:r>
            <w:r w:rsidRPr="00736C0A">
              <w:rPr>
                <w:bCs/>
              </w:rPr>
              <w:t xml:space="preserve"> (2024). Peer-to-peer leadership of physical activity in the New Zealand school-based setting: An exploration of student leader perspectives. </w:t>
            </w:r>
            <w:r w:rsidRPr="00FD6418">
              <w:rPr>
                <w:bCs/>
                <w:i/>
                <w:iCs/>
              </w:rPr>
              <w:t>Education 3–13</w:t>
            </w:r>
            <w:r w:rsidRPr="00736C0A">
              <w:rPr>
                <w:bCs/>
              </w:rPr>
              <w:t xml:space="preserve">. Advance online publication. </w:t>
            </w:r>
            <w:hyperlink r:id="rId16" w:history="1">
              <w:r w:rsidR="00FD6418" w:rsidRPr="00BB5A96">
                <w:rPr>
                  <w:rStyle w:val="Hyperlink"/>
                  <w:bCs/>
                </w:rPr>
                <w:t>https://doi.org/10.1080/03004279.2024.2404697</w:t>
              </w:r>
            </w:hyperlink>
          </w:p>
          <w:p w14:paraId="1C5749AE" w14:textId="269A1671" w:rsidR="00FD6418" w:rsidRPr="00736C0A" w:rsidRDefault="00736C0A" w:rsidP="00465C3C">
            <w:pPr>
              <w:spacing w:after="120"/>
              <w:ind w:left="720" w:hanging="720"/>
              <w:rPr>
                <w:bCs/>
              </w:rPr>
            </w:pPr>
            <w:r w:rsidRPr="00736C0A">
              <w:rPr>
                <w:bCs/>
              </w:rPr>
              <w:t xml:space="preserve">Tohi, M., Tu’akoi, S., &amp; </w:t>
            </w:r>
            <w:r w:rsidRPr="00465C3C">
              <w:rPr>
                <w:b/>
              </w:rPr>
              <w:t>Vickers, M. H.</w:t>
            </w:r>
            <w:r w:rsidRPr="00736C0A">
              <w:rPr>
                <w:bCs/>
              </w:rPr>
              <w:t xml:space="preserve"> (2024). Understanding DOHaD concepts among New Zealand adolescents: A qualitative exploration of knowledge, intervention windows, and information accessibility. </w:t>
            </w:r>
            <w:r w:rsidRPr="00FD6418">
              <w:rPr>
                <w:bCs/>
                <w:i/>
                <w:iCs/>
              </w:rPr>
              <w:t>International Journal of Environmental Research and Public Health, 21</w:t>
            </w:r>
            <w:r w:rsidRPr="00736C0A">
              <w:rPr>
                <w:bCs/>
              </w:rPr>
              <w:t xml:space="preserve">(12), 1556. </w:t>
            </w:r>
            <w:hyperlink r:id="rId17" w:history="1">
              <w:r w:rsidR="00FD6418" w:rsidRPr="00BB5A96">
                <w:rPr>
                  <w:rStyle w:val="Hyperlink"/>
                  <w:bCs/>
                </w:rPr>
                <w:t>https://doi.org/10.3390/ijerph21121556</w:t>
              </w:r>
            </w:hyperlink>
          </w:p>
          <w:p w14:paraId="26755C11" w14:textId="2785E207" w:rsidR="00FD6418" w:rsidRPr="00736C0A" w:rsidRDefault="00736C0A" w:rsidP="00465C3C">
            <w:pPr>
              <w:spacing w:after="120"/>
              <w:ind w:left="720" w:hanging="720"/>
              <w:rPr>
                <w:bCs/>
              </w:rPr>
            </w:pPr>
            <w:r w:rsidRPr="00736C0A">
              <w:rPr>
                <w:bCs/>
              </w:rPr>
              <w:t xml:space="preserve">Tohi, M., Tu’akoi, S., &amp; </w:t>
            </w:r>
            <w:r w:rsidRPr="00465C3C">
              <w:rPr>
                <w:b/>
              </w:rPr>
              <w:t>Vickers, M. H</w:t>
            </w:r>
            <w:r w:rsidRPr="00736C0A">
              <w:rPr>
                <w:bCs/>
              </w:rPr>
              <w:t xml:space="preserve">. (2024). Adolescent understanding of concepts related to the developmental origins of health and disease: A Pacific perspective. </w:t>
            </w:r>
            <w:r w:rsidRPr="00465C3C">
              <w:rPr>
                <w:bCs/>
                <w:i/>
                <w:iCs/>
              </w:rPr>
              <w:t>Journal of the Royal Society of New Zealand, 55</w:t>
            </w:r>
            <w:r w:rsidRPr="00736C0A">
              <w:rPr>
                <w:bCs/>
              </w:rPr>
              <w:t xml:space="preserve">(6), 1623–1638. </w:t>
            </w:r>
            <w:hyperlink r:id="rId18" w:history="1">
              <w:r w:rsidR="00FD6418" w:rsidRPr="00BB5A96">
                <w:rPr>
                  <w:rStyle w:val="Hyperlink"/>
                  <w:bCs/>
                </w:rPr>
                <w:t>https://doi.org/10.1080/03036758.2024.2363419</w:t>
              </w:r>
            </w:hyperlink>
          </w:p>
          <w:p w14:paraId="7C13CEFB" w14:textId="5EC5777C" w:rsidR="00FD6418" w:rsidRPr="00736C0A" w:rsidRDefault="00736C0A" w:rsidP="00465C3C">
            <w:pPr>
              <w:spacing w:after="120"/>
              <w:ind w:left="720" w:hanging="720"/>
              <w:rPr>
                <w:bCs/>
              </w:rPr>
            </w:pPr>
            <w:r w:rsidRPr="00736C0A">
              <w:rPr>
                <w:bCs/>
              </w:rPr>
              <w:t xml:space="preserve">Tohi, M., Bay, J. L., Tu’akoi, S., &amp; </w:t>
            </w:r>
            <w:r w:rsidRPr="00465C3C">
              <w:rPr>
                <w:b/>
              </w:rPr>
              <w:t>Vickers, M. H.</w:t>
            </w:r>
            <w:r w:rsidRPr="00736C0A">
              <w:rPr>
                <w:bCs/>
              </w:rPr>
              <w:t xml:space="preserve"> (2022). The developmental origins of health and disease: Adolescence as a critical </w:t>
            </w:r>
            <w:proofErr w:type="spellStart"/>
            <w:r w:rsidRPr="00736C0A">
              <w:rPr>
                <w:bCs/>
              </w:rPr>
              <w:t>lifecourse</w:t>
            </w:r>
            <w:proofErr w:type="spellEnd"/>
            <w:r w:rsidRPr="00736C0A">
              <w:rPr>
                <w:bCs/>
              </w:rPr>
              <w:t xml:space="preserve"> period to break the transgenerational cycle of NCDs—A narrative review. </w:t>
            </w:r>
            <w:r w:rsidRPr="00465C3C">
              <w:rPr>
                <w:bCs/>
                <w:i/>
                <w:iCs/>
              </w:rPr>
              <w:t>International Journal of Environmental Research and Public Health, 19</w:t>
            </w:r>
            <w:r w:rsidRPr="00736C0A">
              <w:rPr>
                <w:bCs/>
              </w:rPr>
              <w:t xml:space="preserve">(10), 6024. </w:t>
            </w:r>
            <w:hyperlink r:id="rId19" w:history="1">
              <w:r w:rsidR="00FD6418" w:rsidRPr="00BB5A96">
                <w:rPr>
                  <w:rStyle w:val="Hyperlink"/>
                  <w:bCs/>
                </w:rPr>
                <w:t>https://doi.org/10.3390/ijerph19106024</w:t>
              </w:r>
            </w:hyperlink>
          </w:p>
          <w:p w14:paraId="74A2A160" w14:textId="5AF498B8" w:rsidR="00E30855" w:rsidRPr="00423574" w:rsidRDefault="00736C0A" w:rsidP="00465C3C">
            <w:pPr>
              <w:spacing w:after="120"/>
              <w:ind w:left="720" w:hanging="720"/>
              <w:rPr>
                <w:bCs/>
              </w:rPr>
            </w:pPr>
            <w:r w:rsidRPr="00736C0A">
              <w:rPr>
                <w:bCs/>
              </w:rPr>
              <w:lastRenderedPageBreak/>
              <w:t xml:space="preserve">Bay, J. L., John, T., Barrett-Watson, C., Ngamata, K., Renelle, A., </w:t>
            </w:r>
            <w:r w:rsidRPr="00E30855">
              <w:rPr>
                <w:b/>
              </w:rPr>
              <w:t>Trask, S. A.,</w:t>
            </w:r>
            <w:r w:rsidRPr="00736C0A">
              <w:rPr>
                <w:bCs/>
              </w:rPr>
              <w:t xml:space="preserve"> Bates, M., </w:t>
            </w:r>
            <w:r w:rsidRPr="00E30855">
              <w:rPr>
                <w:b/>
              </w:rPr>
              <w:t>Vickers, M. H.,</w:t>
            </w:r>
            <w:r w:rsidRPr="00736C0A">
              <w:rPr>
                <w:bCs/>
              </w:rPr>
              <w:t xml:space="preserve"> &amp; Cochrane, D. T. (2025). Evolution of a sustained health promotion programme exploring adolescent metabolic health in the Cook Islands. Health Promotion International, 40(3), daaf069. </w:t>
            </w:r>
            <w:hyperlink r:id="rId20" w:history="1">
              <w:r w:rsidR="00E30855" w:rsidRPr="00BB5A96">
                <w:rPr>
                  <w:rStyle w:val="Hyperlink"/>
                  <w:bCs/>
                </w:rPr>
                <w:t>https://doi.org/10.1093/heapro/daaf069</w:t>
              </w:r>
            </w:hyperlink>
          </w:p>
          <w:p w14:paraId="6352205C" w14:textId="62B07A0D" w:rsidR="00E30855" w:rsidRDefault="00E30855" w:rsidP="00465C3C">
            <w:pPr>
              <w:spacing w:after="120"/>
              <w:ind w:left="720" w:hanging="720"/>
            </w:pPr>
            <w:r w:rsidRPr="00E30855">
              <w:rPr>
                <w:b/>
                <w:bCs/>
              </w:rPr>
              <w:t>Trask, S.,</w:t>
            </w:r>
            <w:r>
              <w:t xml:space="preserve"> D’Souza, E., Swinburn, B., &amp; Bay, J. (2023). Conversations about complex issues. </w:t>
            </w:r>
            <w:r>
              <w:rPr>
                <w:rStyle w:val="Emphasis"/>
              </w:rPr>
              <w:t>Set: Research Information for Teachers, 2</w:t>
            </w:r>
            <w:r>
              <w:t xml:space="preserve">, 3–9. </w:t>
            </w:r>
            <w:hyperlink r:id="rId21" w:history="1">
              <w:r w:rsidRPr="00BB5A96">
                <w:rPr>
                  <w:rStyle w:val="Hyperlink"/>
                </w:rPr>
                <w:t>https://doi.org/10.18296/set.1524</w:t>
              </w:r>
            </w:hyperlink>
          </w:p>
          <w:p w14:paraId="7A925ED8" w14:textId="1082F3FC" w:rsidR="00E30855" w:rsidRDefault="00423574" w:rsidP="00465C3C">
            <w:pPr>
              <w:spacing w:after="120"/>
              <w:ind w:left="720" w:hanging="720"/>
              <w:rPr>
                <w:bCs/>
              </w:rPr>
            </w:pPr>
            <w:r w:rsidRPr="00423574">
              <w:rPr>
                <w:b/>
                <w:bCs/>
                <w:lang w:val="en-US"/>
              </w:rPr>
              <w:t>Trask, S</w:t>
            </w:r>
            <w:r w:rsidRPr="00423574">
              <w:rPr>
                <w:bCs/>
                <w:lang w:val="en-US"/>
              </w:rPr>
              <w:t xml:space="preserve">., Lockyer, P., Hildreth, J., D'Souza, E., Buklijas, T., Menzies, R., . . . Bay, J. L. (2023). Sustaining youth physical activity in times of challenge and change: lessons from COVID-19. </w:t>
            </w:r>
            <w:r w:rsidRPr="00423574">
              <w:rPr>
                <w:bCs/>
                <w:i/>
                <w:iCs/>
                <w:lang w:val="en-US"/>
              </w:rPr>
              <w:t>Health Promotion International</w:t>
            </w:r>
            <w:r w:rsidRPr="00423574">
              <w:rPr>
                <w:bCs/>
                <w:lang w:val="en-US"/>
              </w:rPr>
              <w:t xml:space="preserve">, 38(3), daad038. </w:t>
            </w:r>
            <w:hyperlink r:id="rId22" w:history="1">
              <w:r w:rsidR="00E30855" w:rsidRPr="00423574">
                <w:rPr>
                  <w:rStyle w:val="Hyperlink"/>
                  <w:bCs/>
                  <w:lang w:val="en-US"/>
                </w:rPr>
                <w:t>https://doi.org/10.1093/heapro/daad038</w:t>
              </w:r>
            </w:hyperlink>
            <w:r w:rsidRPr="00423574">
              <w:rPr>
                <w:bCs/>
              </w:rPr>
              <w:t> </w:t>
            </w:r>
          </w:p>
          <w:p w14:paraId="1C3123DD" w14:textId="0F49A043" w:rsidR="00E63112" w:rsidRDefault="0008281A" w:rsidP="0025336B">
            <w:pPr>
              <w:spacing w:after="120"/>
              <w:ind w:left="720" w:hanging="720"/>
              <w:rPr>
                <w:b/>
                <w:bCs/>
              </w:rPr>
            </w:pPr>
            <w:r w:rsidRPr="0008281A">
              <w:rPr>
                <w:bCs/>
                <w:lang w:val="en-US"/>
              </w:rPr>
              <w:t xml:space="preserve">Bay, J. L., &amp; </w:t>
            </w:r>
            <w:r w:rsidRPr="0008281A">
              <w:rPr>
                <w:b/>
                <w:bCs/>
                <w:lang w:val="en-US"/>
              </w:rPr>
              <w:t xml:space="preserve">Trask, S. A. </w:t>
            </w:r>
            <w:r w:rsidRPr="0008281A">
              <w:rPr>
                <w:bCs/>
                <w:lang w:val="en-US"/>
              </w:rPr>
              <w:t xml:space="preserve">(2022). Education and science communication: Translation of DOHaD evidence for health benefit. In L. Poston, K. M. Godfrey, P. D. Gluckman, &amp; M. A. Hanson (Eds.), </w:t>
            </w:r>
            <w:r w:rsidRPr="0008281A">
              <w:rPr>
                <w:bCs/>
                <w:i/>
                <w:iCs/>
                <w:lang w:val="en-US"/>
              </w:rPr>
              <w:t xml:space="preserve">Developmental Origins of Health and Disease Second Edition </w:t>
            </w:r>
            <w:r w:rsidRPr="0008281A">
              <w:rPr>
                <w:bCs/>
                <w:lang w:val="en-US"/>
              </w:rPr>
              <w:t xml:space="preserve">(2nd ed., pp. 203-212). Cambridge, United Kingdom: Cambridge University Press. </w:t>
            </w:r>
            <w:hyperlink r:id="rId23" w:history="1">
              <w:r w:rsidR="00E30855" w:rsidRPr="00BB5A96">
                <w:rPr>
                  <w:rStyle w:val="Hyperlink"/>
                  <w:bCs/>
                  <w:lang w:val="en-US"/>
                </w:rPr>
                <w:t>https://doi.org/10.1017/9781009272247</w:t>
              </w:r>
            </w:hyperlink>
          </w:p>
          <w:p w14:paraId="0887CCB4" w14:textId="3AB43793" w:rsidR="00372C55" w:rsidRPr="00996F3F" w:rsidRDefault="00372C55" w:rsidP="00CD5616">
            <w:pPr>
              <w:jc w:val="both"/>
              <w:rPr>
                <w:bCs/>
              </w:rPr>
            </w:pPr>
          </w:p>
        </w:tc>
      </w:tr>
    </w:tbl>
    <w:p w14:paraId="652866C6" w14:textId="427E8997" w:rsidR="008E2F60" w:rsidRDefault="008E2F60" w:rsidP="00CD5616">
      <w:pPr>
        <w:spacing w:after="0"/>
        <w:jc w:val="both"/>
        <w:rPr>
          <w:b/>
          <w:bCs/>
        </w:rPr>
      </w:pPr>
      <w:r>
        <w:rPr>
          <w:b/>
          <w:bCs/>
        </w:rPr>
        <w:lastRenderedPageBreak/>
        <w:t>Relevant previous projects/activities</w:t>
      </w:r>
      <w:r w:rsidR="008216DF">
        <w:rPr>
          <w:b/>
          <w:bCs/>
        </w:rPr>
        <w:t>:</w:t>
      </w:r>
    </w:p>
    <w:p w14:paraId="10BCB753" w14:textId="77777777" w:rsidR="008216DF" w:rsidRDefault="008216DF" w:rsidP="00CD5616">
      <w:pPr>
        <w:spacing w:after="0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E2F60" w14:paraId="465B03E3" w14:textId="77777777" w:rsidTr="08C61663">
        <w:tc>
          <w:tcPr>
            <w:tcW w:w="9493" w:type="dxa"/>
          </w:tcPr>
          <w:p w14:paraId="3D94D908" w14:textId="302F479C" w:rsidR="00A97857" w:rsidRDefault="008E4AC9" w:rsidP="008216DF">
            <w:pPr>
              <w:spacing w:after="120"/>
            </w:pPr>
            <w:r>
              <w:br w:type="page"/>
            </w:r>
            <w:r w:rsidR="008216DF" w:rsidRPr="008216DF">
              <w:rPr>
                <w:b/>
                <w:bCs/>
              </w:rPr>
              <w:t xml:space="preserve">Solomon Islands Senior Secondary Education Improvement Project: </w:t>
            </w:r>
            <w:r w:rsidR="008216DF">
              <w:rPr>
                <w:b/>
                <w:bCs/>
              </w:rPr>
              <w:t>H</w:t>
            </w:r>
            <w:r w:rsidR="008216DF" w:rsidRPr="008216DF">
              <w:rPr>
                <w:b/>
                <w:bCs/>
              </w:rPr>
              <w:t>ealthy Living</w:t>
            </w:r>
            <w:r w:rsidR="008216DF">
              <w:t xml:space="preserve"> (2026-2028)</w:t>
            </w:r>
            <w:r w:rsidR="008216DF" w:rsidRPr="008216DF">
              <w:cr/>
            </w:r>
          </w:p>
          <w:p w14:paraId="29C612A6" w14:textId="32F6B545" w:rsidR="00D308FC" w:rsidRPr="00D308FC" w:rsidRDefault="00D308FC" w:rsidP="0025336B">
            <w:pPr>
              <w:spacing w:after="120"/>
              <w:jc w:val="both"/>
              <w:rPr>
                <w:color w:val="000000" w:themeColor="text1"/>
              </w:rPr>
            </w:pPr>
            <w:r w:rsidRPr="00D308FC">
              <w:rPr>
                <w:b/>
                <w:bCs/>
                <w:color w:val="000000" w:themeColor="text1"/>
              </w:rPr>
              <w:t xml:space="preserve">Pacific Science for Health Literacy Project (PSHLP) / </w:t>
            </w:r>
            <w:proofErr w:type="spellStart"/>
            <w:r w:rsidRPr="00D308FC">
              <w:rPr>
                <w:b/>
                <w:bCs/>
                <w:color w:val="000000" w:themeColor="text1"/>
              </w:rPr>
              <w:t>Ora’anga</w:t>
            </w:r>
            <w:proofErr w:type="spellEnd"/>
            <w:r w:rsidRPr="00D308FC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308FC">
              <w:rPr>
                <w:b/>
                <w:bCs/>
                <w:color w:val="000000" w:themeColor="text1"/>
              </w:rPr>
              <w:t>Tūmanava</w:t>
            </w:r>
            <w:proofErr w:type="spellEnd"/>
            <w:r w:rsidRPr="00D308FC">
              <w:rPr>
                <w:color w:val="000000" w:themeColor="text1"/>
              </w:rPr>
              <w:t xml:space="preserve"> – MFAT-funded, Cook Islands; curriculum-based NCD prevention, teacher professional development, and community engagement.</w:t>
            </w:r>
            <w:r w:rsidR="001866DF">
              <w:rPr>
                <w:color w:val="000000" w:themeColor="text1"/>
              </w:rPr>
              <w:t xml:space="preserve"> </w:t>
            </w:r>
            <w:hyperlink r:id="rId24" w:history="1">
              <w:r w:rsidR="001866DF" w:rsidRPr="00BB5A96">
                <w:rPr>
                  <w:rStyle w:val="Hyperlink"/>
                </w:rPr>
                <w:t>https://oraanga-tumanava.org/</w:t>
              </w:r>
            </w:hyperlink>
          </w:p>
          <w:p w14:paraId="3BB6285B" w14:textId="058D68D0" w:rsidR="00520D4E" w:rsidRPr="00520D4E" w:rsidRDefault="719290AD" w:rsidP="0025336B">
            <w:pPr>
              <w:spacing w:after="120"/>
              <w:jc w:val="both"/>
              <w:rPr>
                <w:color w:val="000000" w:themeColor="text1"/>
              </w:rPr>
            </w:pPr>
            <w:r w:rsidRPr="00520D4E">
              <w:rPr>
                <w:b/>
                <w:bCs/>
                <w:color w:val="000000" w:themeColor="text1"/>
              </w:rPr>
              <w:t xml:space="preserve">FIZZ </w:t>
            </w:r>
            <w:r w:rsidRPr="00520D4E">
              <w:rPr>
                <w:color w:val="000000" w:themeColor="text1"/>
              </w:rPr>
              <w:t>– Mixed-methods sequential explanatory study addressing inequities in adolescent NCD risk through curriculum-embedded learning.</w:t>
            </w:r>
            <w:r w:rsidR="00520D4E" w:rsidRPr="00520D4E">
              <w:rPr>
                <w:color w:val="000000" w:themeColor="text1"/>
              </w:rPr>
              <w:t xml:space="preserve"> </w:t>
            </w:r>
            <w:hyperlink r:id="rId25" w:history="1">
              <w:r w:rsidR="00520D4E" w:rsidRPr="00BB5A96">
                <w:rPr>
                  <w:rStyle w:val="Hyperlink"/>
                </w:rPr>
                <w:t>https://fizz.org.nz/</w:t>
              </w:r>
            </w:hyperlink>
          </w:p>
          <w:p w14:paraId="47A021DF" w14:textId="44B6A5B2" w:rsidR="00D90216" w:rsidRPr="00520D4E" w:rsidRDefault="00D308FC" w:rsidP="0025336B">
            <w:pPr>
              <w:spacing w:after="120"/>
              <w:jc w:val="both"/>
              <w:rPr>
                <w:b/>
                <w:bCs/>
                <w:color w:val="000000" w:themeColor="text1"/>
              </w:rPr>
            </w:pPr>
            <w:r w:rsidRPr="00520D4E">
              <w:rPr>
                <w:b/>
                <w:bCs/>
                <w:color w:val="000000" w:themeColor="text1"/>
              </w:rPr>
              <w:t>Tokelau Health and PE Curriculum Development Project</w:t>
            </w:r>
            <w:r w:rsidRPr="00520D4E">
              <w:rPr>
                <w:color w:val="000000" w:themeColor="text1"/>
              </w:rPr>
              <w:t xml:space="preserve"> – Curriculum co-design with Ministry of Education and Health, aligning Indigenous knowledge and NCD prevention.</w:t>
            </w:r>
          </w:p>
          <w:p w14:paraId="27C37842" w14:textId="2C0C0DB9" w:rsidR="00D07DB5" w:rsidRDefault="00D308FC" w:rsidP="001B0C88">
            <w:pPr>
              <w:spacing w:after="240"/>
              <w:jc w:val="both"/>
              <w:rPr>
                <w:color w:val="000000" w:themeColor="text1"/>
              </w:rPr>
            </w:pPr>
            <w:proofErr w:type="spellStart"/>
            <w:r w:rsidRPr="00D07DB5">
              <w:rPr>
                <w:b/>
                <w:bCs/>
                <w:color w:val="000000" w:themeColor="text1"/>
              </w:rPr>
              <w:t>LENScience</w:t>
            </w:r>
            <w:proofErr w:type="spellEnd"/>
            <w:r w:rsidR="001B0C88">
              <w:rPr>
                <w:b/>
                <w:bCs/>
                <w:color w:val="000000" w:themeColor="text1"/>
              </w:rPr>
              <w:t xml:space="preserve"> (Liggins Education Network for Science) </w:t>
            </w:r>
            <w:r w:rsidR="00D07DB5">
              <w:rPr>
                <w:color w:val="000000" w:themeColor="text1"/>
              </w:rPr>
              <w:t>e.g.,</w:t>
            </w:r>
            <w:r w:rsidR="00520D4E">
              <w:rPr>
                <w:color w:val="000000" w:themeColor="text1"/>
              </w:rPr>
              <w:t xml:space="preserve"> </w:t>
            </w:r>
          </w:p>
          <w:p w14:paraId="74705B2D" w14:textId="37B3698B" w:rsidR="008C6A15" w:rsidRDefault="008C6A15" w:rsidP="00983B22">
            <w:pPr>
              <w:spacing w:after="120"/>
              <w:ind w:left="357"/>
              <w:rPr>
                <w:color w:val="000000" w:themeColor="text1"/>
              </w:rPr>
            </w:pPr>
            <w:r w:rsidRPr="001B0C88">
              <w:rPr>
                <w:i/>
                <w:iCs/>
                <w:color w:val="000000" w:themeColor="text1"/>
              </w:rPr>
              <w:t xml:space="preserve">Systems Science for </w:t>
            </w:r>
            <w:r w:rsidR="001B0C88" w:rsidRPr="001B0C88">
              <w:rPr>
                <w:i/>
                <w:iCs/>
                <w:color w:val="000000" w:themeColor="text1"/>
              </w:rPr>
              <w:t>H</w:t>
            </w:r>
            <w:r w:rsidRPr="001B0C88">
              <w:rPr>
                <w:i/>
                <w:iCs/>
                <w:color w:val="000000" w:themeColor="text1"/>
              </w:rPr>
              <w:t>ealthy Living</w:t>
            </w:r>
            <w:r>
              <w:rPr>
                <w:color w:val="000000" w:themeColor="text1"/>
              </w:rPr>
              <w:t xml:space="preserve">: </w:t>
            </w:r>
            <w:r w:rsidRPr="008C6A15">
              <w:rPr>
                <w:color w:val="000000" w:themeColor="text1"/>
              </w:rPr>
              <w:t>https://www.lenscience.auckland.ac.nz/en/about/teaching-and-learning-resources/covid-19.html</w:t>
            </w:r>
          </w:p>
          <w:p w14:paraId="39A2A1EB" w14:textId="1F152517" w:rsidR="0053537F" w:rsidRDefault="0053537F" w:rsidP="00983B22">
            <w:pPr>
              <w:spacing w:after="120"/>
              <w:ind w:left="357"/>
              <w:rPr>
                <w:color w:val="000000" w:themeColor="text1"/>
              </w:rPr>
            </w:pPr>
            <w:r w:rsidRPr="001B0C88">
              <w:rPr>
                <w:i/>
                <w:iCs/>
                <w:color w:val="000000" w:themeColor="text1"/>
              </w:rPr>
              <w:t>C</w:t>
            </w:r>
            <w:r w:rsidR="008C6A15" w:rsidRPr="001B0C88">
              <w:rPr>
                <w:i/>
                <w:iCs/>
                <w:color w:val="000000" w:themeColor="text1"/>
              </w:rPr>
              <w:t>O</w:t>
            </w:r>
            <w:r w:rsidRPr="001B0C88">
              <w:rPr>
                <w:i/>
                <w:iCs/>
                <w:color w:val="000000" w:themeColor="text1"/>
              </w:rPr>
              <w:t>VID-19 learning resources</w:t>
            </w:r>
            <w:r>
              <w:rPr>
                <w:color w:val="000000" w:themeColor="text1"/>
              </w:rPr>
              <w:t xml:space="preserve">: </w:t>
            </w:r>
            <w:r w:rsidRPr="0053537F">
              <w:rPr>
                <w:color w:val="000000" w:themeColor="text1"/>
              </w:rPr>
              <w:t>https://www.lenscience.auckland.ac.nz/en/about/teaching-and-learning-resources/covid-19.html</w:t>
            </w:r>
          </w:p>
          <w:p w14:paraId="09596A98" w14:textId="469110F2" w:rsidR="00133B46" w:rsidRDefault="00DF6A4D" w:rsidP="00983B22">
            <w:pPr>
              <w:spacing w:after="120"/>
              <w:ind w:left="357"/>
              <w:rPr>
                <w:b/>
                <w:bCs/>
              </w:rPr>
            </w:pPr>
            <w:r w:rsidRPr="001B0C88">
              <w:rPr>
                <w:i/>
                <w:iCs/>
                <w:color w:val="000000" w:themeColor="text1"/>
              </w:rPr>
              <w:t>Gut Bugs – Exploring the Human Microbiome</w:t>
            </w:r>
            <w:r>
              <w:rPr>
                <w:color w:val="000000" w:themeColor="text1"/>
              </w:rPr>
              <w:t xml:space="preserve">: </w:t>
            </w:r>
            <w:r w:rsidRPr="00DF6A4D">
              <w:rPr>
                <w:color w:val="000000" w:themeColor="text1"/>
              </w:rPr>
              <w:t>https://www.lenscience.auckland.ac.nz/en/about/teaching-and-learning-resources/gut-bugs-exploring-the-human-microbiome.html</w:t>
            </w:r>
          </w:p>
        </w:tc>
      </w:tr>
    </w:tbl>
    <w:p w14:paraId="04C4375A" w14:textId="52ADAF8B" w:rsidR="008E2F60" w:rsidRDefault="008E2F60" w:rsidP="001A3113">
      <w:pPr>
        <w:spacing w:after="0"/>
        <w:rPr>
          <w:b/>
          <w:bCs/>
        </w:rPr>
      </w:pPr>
      <w:proofErr w:type="spellStart"/>
      <w:r>
        <w:rPr>
          <w:b/>
          <w:bCs/>
        </w:rPr>
        <w:t>Biosketch</w:t>
      </w:r>
      <w:proofErr w:type="spellEnd"/>
      <w:r>
        <w:rPr>
          <w:b/>
          <w:bCs/>
        </w:rPr>
        <w:t xml:space="preserve"> of Key Research Leads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8E2F60" w:rsidRPr="00E72CB7" w14:paraId="7D320CF5" w14:textId="77777777" w:rsidTr="66771841">
        <w:tc>
          <w:tcPr>
            <w:tcW w:w="9493" w:type="dxa"/>
          </w:tcPr>
          <w:p w14:paraId="625BA32C" w14:textId="6B3A7E30" w:rsidR="00622FC3" w:rsidRPr="00E72CB7" w:rsidRDefault="417CF801" w:rsidP="2C15BC08">
            <w:pPr>
              <w:spacing w:before="240" w:after="240"/>
              <w:rPr>
                <w:sz w:val="20"/>
                <w:szCs w:val="20"/>
              </w:rPr>
            </w:pPr>
            <w:r w:rsidRPr="00E72CB7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Dr Suzanne Trask</w:t>
            </w:r>
          </w:p>
          <w:p w14:paraId="35748659" w14:textId="77777777" w:rsidR="009F2ADF" w:rsidRPr="00E72CB7" w:rsidRDefault="00CD5616" w:rsidP="00CD5616">
            <w:pPr>
              <w:spacing w:before="240" w:after="240"/>
              <w:jc w:val="both"/>
              <w:rPr>
                <w:sz w:val="20"/>
                <w:szCs w:val="20"/>
              </w:rPr>
            </w:pPr>
            <w:hyperlink r:id="rId26" w:history="1">
              <w:r w:rsidRPr="00E72CB7">
                <w:rPr>
                  <w:rStyle w:val="Hyperlink"/>
                  <w:sz w:val="20"/>
                  <w:szCs w:val="20"/>
                </w:rPr>
                <w:t>https://profiles.auckland.ac.nz/suzanne-trask</w:t>
              </w:r>
            </w:hyperlink>
          </w:p>
          <w:p w14:paraId="4395F8FA" w14:textId="2DD3E7E8" w:rsidR="00622FC3" w:rsidRPr="00E72CB7" w:rsidRDefault="00A848E2" w:rsidP="00CD5616">
            <w:pPr>
              <w:spacing w:before="240" w:after="240"/>
              <w:jc w:val="both"/>
              <w:rPr>
                <w:sz w:val="20"/>
                <w:szCs w:val="20"/>
              </w:rPr>
            </w:pPr>
            <w:proofErr w:type="spellStart"/>
            <w:r w:rsidRPr="00E72CB7">
              <w:rPr>
                <w:rFonts w:ascii="Aptos" w:eastAsia="Aptos" w:hAnsi="Aptos" w:cs="Aptos"/>
                <w:i/>
                <w:iCs/>
                <w:sz w:val="20"/>
                <w:szCs w:val="20"/>
              </w:rPr>
              <w:t>LENScience</w:t>
            </w:r>
            <w:proofErr w:type="spellEnd"/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417CF801" w:rsidRPr="00E72CB7">
              <w:rPr>
                <w:rFonts w:ascii="Aptos" w:eastAsia="Aptos" w:hAnsi="Aptos" w:cs="Aptos"/>
                <w:i/>
                <w:iCs/>
                <w:sz w:val="20"/>
                <w:szCs w:val="20"/>
              </w:rPr>
              <w:t>Research Fellow, Liggins Institute, University of Auckland (New Zealand)</w:t>
            </w:r>
          </w:p>
          <w:p w14:paraId="5A782493" w14:textId="3DAD2F88" w:rsidR="00622FC3" w:rsidRPr="00E72CB7" w:rsidRDefault="765A22EF" w:rsidP="00CD5616">
            <w:pPr>
              <w:spacing w:before="240" w:after="240"/>
              <w:jc w:val="both"/>
              <w:rPr>
                <w:sz w:val="20"/>
                <w:szCs w:val="20"/>
              </w:rPr>
            </w:pPr>
            <w:r w:rsidRPr="00E72CB7">
              <w:rPr>
                <w:rFonts w:ascii="Aptos" w:eastAsia="Aptos" w:hAnsi="Aptos" w:cs="Aptos"/>
                <w:sz w:val="20"/>
                <w:szCs w:val="20"/>
              </w:rPr>
              <w:t>Dr Suzanne Trask specialis</w:t>
            </w:r>
            <w:r w:rsidR="00CA66BE" w:rsidRPr="00E72CB7">
              <w:rPr>
                <w:rFonts w:ascii="Aptos" w:eastAsia="Aptos" w:hAnsi="Aptos" w:cs="Aptos"/>
                <w:sz w:val="20"/>
                <w:szCs w:val="20"/>
              </w:rPr>
              <w:t>es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 in education-based approaches to the prevention of non-communicable diseases (NCDs). Her work investigates how schools</w:t>
            </w:r>
            <w:r w:rsidR="392359CB" w:rsidRPr="00E72CB7">
              <w:rPr>
                <w:rFonts w:ascii="Aptos" w:eastAsia="Aptos" w:hAnsi="Aptos" w:cs="Aptos"/>
                <w:sz w:val="20"/>
                <w:szCs w:val="20"/>
              </w:rPr>
              <w:t xml:space="preserve"> and 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>communities</w:t>
            </w:r>
            <w:r w:rsidR="73B0C2BC" w:rsidRPr="00E72CB7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can act as multisectoral settings for 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lastRenderedPageBreak/>
              <w:t>health promotion and behaviour change. Drawing on sociocultural and implementation-science frameworks, she designs and evaluates curriculum-integrated interventions that foster health literacy, agency, and systems thinking among adolescents.</w:t>
            </w:r>
            <w:r w:rsidR="00CA66BE" w:rsidRPr="00E72CB7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00246FBF" w:rsidRPr="00246FBF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Suzanne </w:t>
            </w:r>
            <w:r w:rsidR="571AE8C1" w:rsidRPr="00E72CB7">
              <w:rPr>
                <w:rFonts w:ascii="Aptos" w:eastAsia="Aptos" w:hAnsi="Aptos" w:cs="Aptos"/>
                <w:sz w:val="20"/>
                <w:szCs w:val="20"/>
              </w:rPr>
              <w:t>has led and contributed to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 national and international research–practice partnerships, including </w:t>
            </w:r>
            <w:r w:rsidR="003A68DD" w:rsidRPr="00E72CB7">
              <w:rPr>
                <w:rFonts w:ascii="Aptos" w:eastAsia="Aptos" w:hAnsi="Aptos" w:cs="Aptos"/>
                <w:sz w:val="20"/>
                <w:szCs w:val="20"/>
              </w:rPr>
              <w:t>lead writer of the</w:t>
            </w:r>
            <w:r w:rsidR="00777ECF" w:rsidRPr="00E72CB7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="3DDACF50" w:rsidRPr="00E72CB7">
              <w:rPr>
                <w:rFonts w:ascii="Aptos" w:eastAsia="Aptos" w:hAnsi="Aptos" w:cs="Aptos"/>
                <w:sz w:val="20"/>
                <w:szCs w:val="20"/>
              </w:rPr>
              <w:t xml:space="preserve">Tokelau </w:t>
            </w:r>
            <w:r w:rsidR="00777ECF" w:rsidRPr="00E72CB7">
              <w:rPr>
                <w:rFonts w:ascii="Aptos" w:eastAsia="Aptos" w:hAnsi="Aptos" w:cs="Aptos"/>
                <w:sz w:val="20"/>
                <w:szCs w:val="20"/>
              </w:rPr>
              <w:t xml:space="preserve">National </w:t>
            </w:r>
            <w:r w:rsidR="3DDACF50" w:rsidRPr="00E72CB7">
              <w:rPr>
                <w:rFonts w:ascii="Aptos" w:eastAsia="Aptos" w:hAnsi="Aptos" w:cs="Aptos"/>
                <w:sz w:val="20"/>
                <w:szCs w:val="20"/>
              </w:rPr>
              <w:t xml:space="preserve">Health &amp; Physical Education curriculum, </w:t>
            </w:r>
            <w:r w:rsidR="140BD360" w:rsidRPr="00E72CB7">
              <w:rPr>
                <w:rFonts w:ascii="Aptos" w:eastAsia="Aptos" w:hAnsi="Aptos" w:cs="Aptos"/>
                <w:sz w:val="20"/>
                <w:szCs w:val="20"/>
              </w:rPr>
              <w:t>Obesity Prevention Using Systems Science (</w:t>
            </w:r>
            <w:r w:rsidR="3DDACF50" w:rsidRPr="00E72CB7">
              <w:rPr>
                <w:rFonts w:ascii="Aptos" w:eastAsia="Aptos" w:hAnsi="Aptos" w:cs="Aptos"/>
                <w:sz w:val="20"/>
                <w:szCs w:val="20"/>
              </w:rPr>
              <w:t>OPUSS,</w:t>
            </w:r>
            <w:r w:rsidR="64B4A2CC" w:rsidRPr="00E72CB7">
              <w:rPr>
                <w:rFonts w:ascii="Aptos" w:eastAsia="Aptos" w:hAnsi="Aptos" w:cs="Aptos"/>
                <w:sz w:val="20"/>
                <w:szCs w:val="20"/>
              </w:rPr>
              <w:t>)</w:t>
            </w:r>
            <w:r w:rsidR="3DDACF50" w:rsidRPr="00E72CB7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>Pacific Science for Health Literacy Project (PSHLP)</w:t>
            </w:r>
            <w:r w:rsidR="003A68DD" w:rsidRPr="00E72CB7">
              <w:rPr>
                <w:rFonts w:ascii="Aptos" w:eastAsia="Aptos" w:hAnsi="Aptos" w:cs="Aptos"/>
                <w:sz w:val="20"/>
                <w:szCs w:val="20"/>
              </w:rPr>
              <w:t>/</w:t>
            </w:r>
            <w:proofErr w:type="spellStart"/>
            <w:r w:rsidRPr="00E72CB7">
              <w:rPr>
                <w:rFonts w:ascii="Aptos" w:eastAsia="Aptos" w:hAnsi="Aptos" w:cs="Aptos"/>
                <w:sz w:val="20"/>
                <w:szCs w:val="20"/>
              </w:rPr>
              <w:t>Ora’anga</w:t>
            </w:r>
            <w:proofErr w:type="spellEnd"/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Pr="00E72CB7">
              <w:rPr>
                <w:rFonts w:ascii="Aptos" w:eastAsia="Aptos" w:hAnsi="Aptos" w:cs="Aptos"/>
                <w:sz w:val="20"/>
                <w:szCs w:val="20"/>
              </w:rPr>
              <w:t>Tūmanava</w:t>
            </w:r>
            <w:proofErr w:type="spellEnd"/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 in the Cook Islands</w:t>
            </w:r>
            <w:r w:rsidR="003A68DD" w:rsidRPr="00E72CB7">
              <w:rPr>
                <w:rFonts w:ascii="Aptos" w:eastAsia="Aptos" w:hAnsi="Aptos" w:cs="Aptos"/>
                <w:sz w:val="20"/>
                <w:szCs w:val="20"/>
              </w:rPr>
              <w:t>, and the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 Fighting Sugar in Soft Drinks (FIZZ) projects. </w:t>
            </w:r>
            <w:r w:rsidR="00AB4F69" w:rsidRPr="00E72CB7">
              <w:rPr>
                <w:rFonts w:ascii="Aptos" w:eastAsia="Aptos" w:hAnsi="Aptos" w:cs="Aptos"/>
                <w:sz w:val="20"/>
                <w:szCs w:val="20"/>
              </w:rPr>
              <w:t xml:space="preserve">Her work in </w:t>
            </w:r>
            <w:proofErr w:type="spellStart"/>
            <w:r w:rsidR="0AFC3B08" w:rsidRPr="00E72CB7">
              <w:rPr>
                <w:rFonts w:ascii="Aptos" w:eastAsia="Aptos" w:hAnsi="Aptos" w:cs="Aptos"/>
                <w:sz w:val="20"/>
                <w:szCs w:val="20"/>
              </w:rPr>
              <w:t>Akomanga</w:t>
            </w:r>
            <w:proofErr w:type="spellEnd"/>
            <w:r w:rsidR="0AFC3B08" w:rsidRPr="00E72CB7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proofErr w:type="spellStart"/>
            <w:r w:rsidR="0AFC3B08" w:rsidRPr="00E72CB7">
              <w:rPr>
                <w:rFonts w:ascii="Aptos" w:eastAsia="Aptos" w:hAnsi="Aptos" w:cs="Aptos"/>
                <w:sz w:val="20"/>
                <w:szCs w:val="20"/>
              </w:rPr>
              <w:t>Kaihanga</w:t>
            </w:r>
            <w:proofErr w:type="spellEnd"/>
            <w:r w:rsidR="00AB4F69" w:rsidRPr="00E72CB7">
              <w:rPr>
                <w:rFonts w:ascii="Aptos" w:eastAsia="Aptos" w:hAnsi="Aptos" w:cs="Aptos"/>
                <w:sz w:val="20"/>
                <w:szCs w:val="20"/>
              </w:rPr>
              <w:t xml:space="preserve">/Learning for Social Innovation </w:t>
            </w:r>
            <w:r w:rsidR="0AFC3B08" w:rsidRPr="00E72CB7">
              <w:rPr>
                <w:rFonts w:ascii="Aptos" w:eastAsia="Aptos" w:hAnsi="Aptos" w:cs="Aptos"/>
                <w:sz w:val="20"/>
                <w:szCs w:val="20"/>
              </w:rPr>
              <w:t xml:space="preserve">in South Auckland </w:t>
            </w:r>
            <w:r w:rsidR="57AE9FF9" w:rsidRPr="00E72CB7">
              <w:rPr>
                <w:rFonts w:ascii="Aptos" w:eastAsia="Aptos" w:hAnsi="Aptos" w:cs="Aptos"/>
                <w:sz w:val="20"/>
                <w:szCs w:val="20"/>
              </w:rPr>
              <w:t>investiga</w:t>
            </w:r>
            <w:r w:rsidR="007B5B39" w:rsidRPr="00E72CB7">
              <w:rPr>
                <w:rFonts w:ascii="Aptos" w:eastAsia="Aptos" w:hAnsi="Aptos" w:cs="Aptos"/>
                <w:sz w:val="20"/>
                <w:szCs w:val="20"/>
              </w:rPr>
              <w:t>tes</w:t>
            </w:r>
            <w:r w:rsidR="0AFC3B08" w:rsidRPr="00E72CB7">
              <w:rPr>
                <w:rFonts w:ascii="Aptos" w:eastAsia="Aptos" w:hAnsi="Aptos" w:cs="Aptos"/>
                <w:sz w:val="20"/>
                <w:szCs w:val="20"/>
              </w:rPr>
              <w:t xml:space="preserve"> the </w:t>
            </w:r>
            <w:r w:rsidR="007F0B6A">
              <w:rPr>
                <w:rFonts w:ascii="Aptos" w:eastAsia="Aptos" w:hAnsi="Aptos" w:cs="Aptos"/>
                <w:sz w:val="20"/>
                <w:szCs w:val="20"/>
              </w:rPr>
              <w:t>well-being benefits of students' contributions to their communities</w:t>
            </w:r>
            <w:r w:rsidR="0AFC3B08" w:rsidRPr="00E72CB7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="00A93C38">
              <w:rPr>
                <w:rFonts w:ascii="Aptos" w:eastAsia="Aptos" w:hAnsi="Aptos" w:cs="Aptos"/>
                <w:sz w:val="20"/>
                <w:szCs w:val="20"/>
              </w:rPr>
              <w:t xml:space="preserve"> Suzanne is the lead developer on the </w:t>
            </w:r>
            <w:r w:rsidR="00A93C38" w:rsidRPr="00246FBF">
              <w:rPr>
                <w:rFonts w:ascii="Aptos" w:eastAsia="Aptos" w:hAnsi="Aptos" w:cs="Aptos"/>
                <w:sz w:val="20"/>
                <w:szCs w:val="20"/>
              </w:rPr>
              <w:t>Solomon Islands Senior Secondary Education Improvement Project: Healthy Living</w:t>
            </w:r>
            <w:r w:rsidR="00A93C38">
              <w:rPr>
                <w:rFonts w:ascii="Aptos" w:eastAsia="Aptos" w:hAnsi="Aptos" w:cs="Aptos"/>
                <w:sz w:val="20"/>
                <w:szCs w:val="20"/>
              </w:rPr>
              <w:t xml:space="preserve"> (2026-2028)</w:t>
            </w:r>
            <w:r w:rsidR="00A93C38" w:rsidRPr="00246FBF">
              <w:rPr>
                <w:rFonts w:ascii="Aptos" w:eastAsia="Aptos" w:hAnsi="Aptos" w:cs="Aptos"/>
                <w:sz w:val="20"/>
                <w:szCs w:val="20"/>
              </w:rPr>
              <w:t>.</w:t>
            </w:r>
            <w:r w:rsidR="00A93C38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>Her research has produced open-access, curriculum-aligned resources, teacher professional-learning models, and assessment frameworks that have been adopted in both Aotearoa New Zealand and Pacific contexts.</w:t>
            </w:r>
          </w:p>
          <w:p w14:paraId="1B2EE281" w14:textId="30532B99" w:rsidR="00622FC3" w:rsidRPr="00E72CB7" w:rsidRDefault="765A22EF" w:rsidP="00CD5616">
            <w:pPr>
              <w:spacing w:before="240" w:after="240"/>
              <w:jc w:val="both"/>
              <w:rPr>
                <w:rFonts w:ascii="Aptos" w:eastAsia="Aptos" w:hAnsi="Aptos" w:cs="Aptos"/>
                <w:sz w:val="20"/>
                <w:szCs w:val="20"/>
              </w:rPr>
            </w:pPr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Dr Trask’s publications appear in </w:t>
            </w:r>
            <w:r w:rsidRPr="00E72CB7">
              <w:rPr>
                <w:rFonts w:ascii="Aptos" w:eastAsia="Aptos" w:hAnsi="Aptos" w:cs="Aptos"/>
                <w:i/>
                <w:iCs/>
                <w:sz w:val="20"/>
                <w:szCs w:val="20"/>
              </w:rPr>
              <w:t>Health Education Research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="1E35070C" w:rsidRPr="00E72CB7">
              <w:rPr>
                <w:rFonts w:ascii="Aptos" w:eastAsia="Aptos" w:hAnsi="Aptos" w:cs="Aptos"/>
                <w:i/>
                <w:iCs/>
                <w:sz w:val="20"/>
                <w:szCs w:val="20"/>
              </w:rPr>
              <w:t xml:space="preserve">Health Promotion </w:t>
            </w:r>
            <w:r w:rsidR="00BC2FBC" w:rsidRPr="00E72CB7">
              <w:rPr>
                <w:rFonts w:ascii="Aptos" w:eastAsia="Aptos" w:hAnsi="Aptos" w:cs="Aptos"/>
                <w:i/>
                <w:iCs/>
                <w:sz w:val="20"/>
                <w:szCs w:val="20"/>
              </w:rPr>
              <w:t>International</w:t>
            </w:r>
            <w:r w:rsidR="1E35070C" w:rsidRPr="00E72CB7">
              <w:rPr>
                <w:rFonts w:ascii="Aptos" w:eastAsia="Aptos" w:hAnsi="Aptos" w:cs="Aptos"/>
                <w:sz w:val="20"/>
                <w:szCs w:val="20"/>
              </w:rPr>
              <w:t xml:space="preserve">, </w:t>
            </w:r>
            <w:r w:rsidRPr="00E72CB7">
              <w:rPr>
                <w:rFonts w:ascii="Aptos" w:eastAsia="Aptos" w:hAnsi="Aptos" w:cs="Aptos"/>
                <w:i/>
                <w:iCs/>
                <w:sz w:val="20"/>
                <w:szCs w:val="20"/>
              </w:rPr>
              <w:t>Health Education Journal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, and the </w:t>
            </w:r>
            <w:r w:rsidRPr="00E72CB7">
              <w:rPr>
                <w:rFonts w:ascii="Aptos" w:eastAsia="Aptos" w:hAnsi="Aptos" w:cs="Aptos"/>
                <w:i/>
                <w:iCs/>
                <w:sz w:val="20"/>
                <w:szCs w:val="20"/>
              </w:rPr>
              <w:t>Journal of School Health</w:t>
            </w:r>
            <w:r w:rsidRPr="00E72CB7">
              <w:rPr>
                <w:rFonts w:ascii="Aptos" w:eastAsia="Aptos" w:hAnsi="Aptos" w:cs="Aptos"/>
                <w:sz w:val="20"/>
                <w:szCs w:val="20"/>
              </w:rPr>
              <w:t xml:space="preserve">. </w:t>
            </w:r>
            <w:r w:rsidR="00D810E3" w:rsidRPr="00E72CB7">
              <w:rPr>
                <w:rFonts w:ascii="Aptos" w:eastAsia="Aptos" w:hAnsi="Aptos" w:cs="Aptos"/>
                <w:sz w:val="20"/>
                <w:szCs w:val="20"/>
              </w:rPr>
              <w:t>She also publishes in a range of Education journals.</w:t>
            </w:r>
          </w:p>
          <w:p w14:paraId="3442AEA0" w14:textId="6456207A" w:rsidR="00622FC3" w:rsidRPr="00E72CB7" w:rsidRDefault="00622FC3" w:rsidP="2C15BC08">
            <w:pPr>
              <w:rPr>
                <w:sz w:val="20"/>
                <w:szCs w:val="20"/>
                <w:highlight w:val="cyan"/>
              </w:rPr>
            </w:pPr>
          </w:p>
        </w:tc>
      </w:tr>
    </w:tbl>
    <w:p w14:paraId="03D56605" w14:textId="36DFB2CB" w:rsidR="008E2F60" w:rsidRPr="00E72CB7" w:rsidRDefault="00E63112">
      <w:pPr>
        <w:rPr>
          <w:b/>
          <w:bCs/>
          <w:sz w:val="20"/>
          <w:szCs w:val="20"/>
        </w:rPr>
      </w:pPr>
      <w:r w:rsidRPr="00E72CB7">
        <w:rPr>
          <w:b/>
          <w:bCs/>
          <w:sz w:val="20"/>
          <w:szCs w:val="20"/>
        </w:rPr>
        <w:lastRenderedPageBreak/>
        <w:t>Professor Mark Vickers</w:t>
      </w:r>
    </w:p>
    <w:p w14:paraId="436CFE94" w14:textId="744AAEC2" w:rsidR="00B25759" w:rsidRPr="00E72CB7" w:rsidRDefault="00E63112">
      <w:pPr>
        <w:rPr>
          <w:sz w:val="20"/>
          <w:szCs w:val="20"/>
        </w:rPr>
      </w:pPr>
      <w:hyperlink r:id="rId27" w:history="1">
        <w:r w:rsidRPr="00E72CB7">
          <w:rPr>
            <w:rStyle w:val="Hyperlink"/>
            <w:sz w:val="20"/>
            <w:szCs w:val="20"/>
          </w:rPr>
          <w:t>https://profiles.auckland.ac.nz/m-vickers</w:t>
        </w:r>
      </w:hyperlink>
    </w:p>
    <w:p w14:paraId="71A6F670" w14:textId="67962DCE" w:rsidR="00E63112" w:rsidRPr="00E72CB7" w:rsidRDefault="00E63112">
      <w:pPr>
        <w:rPr>
          <w:sz w:val="20"/>
          <w:szCs w:val="20"/>
        </w:rPr>
      </w:pPr>
      <w:r w:rsidRPr="00E72CB7">
        <w:rPr>
          <w:sz w:val="20"/>
          <w:szCs w:val="20"/>
        </w:rPr>
        <w:t>Deputy Director, Liggins Institute, University of Auckland</w:t>
      </w:r>
    </w:p>
    <w:p w14:paraId="154E75FB" w14:textId="0D72FA83" w:rsidR="00B25759" w:rsidRPr="00E72CB7" w:rsidRDefault="009F2ADF" w:rsidP="009F2ADF">
      <w:pPr>
        <w:jc w:val="both"/>
        <w:rPr>
          <w:sz w:val="20"/>
          <w:szCs w:val="20"/>
        </w:rPr>
      </w:pPr>
      <w:r w:rsidRPr="00E72CB7">
        <w:rPr>
          <w:sz w:val="20"/>
          <w:szCs w:val="20"/>
        </w:rPr>
        <w:t xml:space="preserve">Professor Mark Vickers primary research interest lies in the early life origins of health and disease and has published over 250 peer-reviewed articles in this area. Dr Vickers has been consistently named in Standford University’s list of the World’s Top 2% of Scientists. More recently Dr Vicker has focussed on the importance of the adolescent period and health literacy </w:t>
      </w:r>
      <w:proofErr w:type="gramStart"/>
      <w:r w:rsidRPr="00E72CB7">
        <w:rPr>
          <w:sz w:val="20"/>
          <w:szCs w:val="20"/>
        </w:rPr>
        <w:t>as a means to</w:t>
      </w:r>
      <w:proofErr w:type="gramEnd"/>
      <w:r w:rsidRPr="00E72CB7">
        <w:rPr>
          <w:sz w:val="20"/>
          <w:szCs w:val="20"/>
        </w:rPr>
        <w:t xml:space="preserve"> break the cycle of NCDs across generations. This includes work in both New Zealand and the wider Pacific region including the Cook Islands and engagement </w:t>
      </w:r>
      <w:r w:rsidR="00331E45" w:rsidRPr="00E72CB7">
        <w:rPr>
          <w:sz w:val="20"/>
          <w:szCs w:val="20"/>
        </w:rPr>
        <w:t>in</w:t>
      </w:r>
      <w:r w:rsidRPr="00E72CB7">
        <w:rPr>
          <w:sz w:val="20"/>
          <w:szCs w:val="20"/>
        </w:rPr>
        <w:t xml:space="preserve"> the school-based setting as well as </w:t>
      </w:r>
      <w:r w:rsidR="00331E45" w:rsidRPr="00E72CB7">
        <w:rPr>
          <w:sz w:val="20"/>
          <w:szCs w:val="20"/>
        </w:rPr>
        <w:t xml:space="preserve">with </w:t>
      </w:r>
      <w:r w:rsidRPr="00E72CB7">
        <w:rPr>
          <w:sz w:val="20"/>
          <w:szCs w:val="20"/>
        </w:rPr>
        <w:t xml:space="preserve">government ministries including Health and Education. </w:t>
      </w:r>
      <w:r w:rsidR="00331E45" w:rsidRPr="00E72CB7">
        <w:rPr>
          <w:sz w:val="20"/>
          <w:szCs w:val="20"/>
        </w:rPr>
        <w:t xml:space="preserve">The scope of the work undertaken includes metabolic health, physical activity, as well as mental health. </w:t>
      </w:r>
      <w:r w:rsidRPr="00E72CB7">
        <w:rPr>
          <w:sz w:val="20"/>
          <w:szCs w:val="20"/>
        </w:rPr>
        <w:t xml:space="preserve">This work has also resulted in the development </w:t>
      </w:r>
      <w:r w:rsidR="00331E45" w:rsidRPr="00E72CB7">
        <w:rPr>
          <w:sz w:val="20"/>
          <w:szCs w:val="20"/>
        </w:rPr>
        <w:t xml:space="preserve">and dissemination </w:t>
      </w:r>
      <w:r w:rsidRPr="00E72CB7">
        <w:rPr>
          <w:sz w:val="20"/>
          <w:szCs w:val="20"/>
        </w:rPr>
        <w:t xml:space="preserve">of targeted resource materials </w:t>
      </w:r>
      <w:r w:rsidR="00331E45" w:rsidRPr="00E72CB7">
        <w:rPr>
          <w:sz w:val="20"/>
          <w:szCs w:val="20"/>
        </w:rPr>
        <w:t>for implementation</w:t>
      </w:r>
      <w:r w:rsidRPr="00E72CB7">
        <w:rPr>
          <w:sz w:val="20"/>
          <w:szCs w:val="20"/>
        </w:rPr>
        <w:t xml:space="preserve"> in the school setting to increase awareness</w:t>
      </w:r>
      <w:r w:rsidR="00015D84" w:rsidRPr="00E72CB7">
        <w:rPr>
          <w:sz w:val="20"/>
          <w:szCs w:val="20"/>
        </w:rPr>
        <w:t xml:space="preserve"> in </w:t>
      </w:r>
      <w:proofErr w:type="gramStart"/>
      <w:r w:rsidR="00015D84" w:rsidRPr="00E72CB7">
        <w:rPr>
          <w:sz w:val="20"/>
          <w:szCs w:val="20"/>
        </w:rPr>
        <w:t xml:space="preserve">adolescents </w:t>
      </w:r>
      <w:r w:rsidRPr="00E72CB7">
        <w:rPr>
          <w:sz w:val="20"/>
          <w:szCs w:val="20"/>
        </w:rPr>
        <w:t xml:space="preserve"> around</w:t>
      </w:r>
      <w:proofErr w:type="gramEnd"/>
      <w:r w:rsidRPr="00E72CB7">
        <w:rPr>
          <w:sz w:val="20"/>
          <w:szCs w:val="20"/>
        </w:rPr>
        <w:t xml:space="preserve"> the importance of the early life period for later life health and that of future generations.</w:t>
      </w:r>
    </w:p>
    <w:p w14:paraId="46B92FF8" w14:textId="241C5B10" w:rsidR="00015D84" w:rsidRPr="00E72CB7" w:rsidRDefault="00015D84" w:rsidP="009F2ADF">
      <w:pPr>
        <w:jc w:val="both"/>
        <w:rPr>
          <w:sz w:val="20"/>
          <w:szCs w:val="20"/>
        </w:rPr>
      </w:pPr>
      <w:r w:rsidRPr="00E72CB7">
        <w:rPr>
          <w:sz w:val="20"/>
          <w:szCs w:val="20"/>
        </w:rPr>
        <w:t>Dr Vickers has published these findings in Health Promotion International, Education 3-13, Healthcare, the Asia-Pacific Journal of Public Health and the International Journal of Environmental Research and Public Health.</w:t>
      </w:r>
    </w:p>
    <w:p w14:paraId="60CEBA61" w14:textId="77777777" w:rsidR="009F2ADF" w:rsidRPr="00E72CB7" w:rsidRDefault="009F2ADF" w:rsidP="009F2ADF">
      <w:pPr>
        <w:jc w:val="both"/>
        <w:rPr>
          <w:sz w:val="20"/>
          <w:szCs w:val="20"/>
        </w:rPr>
      </w:pPr>
    </w:p>
    <w:p w14:paraId="704204CD" w14:textId="77777777" w:rsidR="009F2ADF" w:rsidRDefault="009F2ADF" w:rsidP="009F2ADF">
      <w:pPr>
        <w:jc w:val="both"/>
        <w:rPr>
          <w:sz w:val="16"/>
          <w:szCs w:val="16"/>
        </w:rPr>
      </w:pPr>
    </w:p>
    <w:p w14:paraId="5141DBB3" w14:textId="77777777" w:rsidR="009F2ADF" w:rsidRPr="009F2ADF" w:rsidRDefault="009F2ADF" w:rsidP="009F2ADF">
      <w:pPr>
        <w:jc w:val="both"/>
        <w:rPr>
          <w:sz w:val="16"/>
          <w:szCs w:val="16"/>
        </w:rPr>
      </w:pPr>
    </w:p>
    <w:sectPr w:rsidR="009F2ADF" w:rsidRPr="009F2ADF" w:rsidSect="00C60D68">
      <w:headerReference w:type="default" r:id="rId28"/>
      <w:pgSz w:w="11906" w:h="16838"/>
      <w:pgMar w:top="1440" w:right="1134" w:bottom="1134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129E9" w14:textId="77777777" w:rsidR="00FD131B" w:rsidRDefault="00FD131B" w:rsidP="00591509">
      <w:pPr>
        <w:spacing w:after="0" w:line="240" w:lineRule="auto"/>
      </w:pPr>
      <w:r>
        <w:separator/>
      </w:r>
    </w:p>
  </w:endnote>
  <w:endnote w:type="continuationSeparator" w:id="0">
    <w:p w14:paraId="69BAAF9D" w14:textId="77777777" w:rsidR="00FD131B" w:rsidRDefault="00FD131B" w:rsidP="00591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7D76C" w14:textId="77777777" w:rsidR="00FD131B" w:rsidRDefault="00FD131B" w:rsidP="00591509">
      <w:pPr>
        <w:spacing w:after="0" w:line="240" w:lineRule="auto"/>
      </w:pPr>
      <w:r>
        <w:separator/>
      </w:r>
    </w:p>
  </w:footnote>
  <w:footnote w:type="continuationSeparator" w:id="0">
    <w:p w14:paraId="65C2105D" w14:textId="77777777" w:rsidR="00FD131B" w:rsidRDefault="00FD131B" w:rsidP="00591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990C7" w14:textId="3BF7A367" w:rsidR="00591509" w:rsidRPr="00591509" w:rsidRDefault="001738A9" w:rsidP="00D06510">
    <w:pPr>
      <w:pStyle w:val="Header"/>
      <w:tabs>
        <w:tab w:val="clear" w:pos="4513"/>
        <w:tab w:val="clear" w:pos="9026"/>
        <w:tab w:val="left" w:pos="8040"/>
      </w:tabs>
    </w:pPr>
    <w:r>
      <w:rPr>
        <w:noProof/>
      </w:rPr>
      <w:drawing>
        <wp:inline distT="0" distB="0" distL="0" distR="0" wp14:anchorId="06E77979" wp14:editId="26E3F0C7">
          <wp:extent cx="1504950" cy="769197"/>
          <wp:effectExtent l="0" t="0" r="0" b="0"/>
          <wp:docPr id="1271306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704" cy="770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C2049">
      <w:rPr>
        <w:noProof/>
      </w:rPr>
      <w:drawing>
        <wp:anchor distT="0" distB="0" distL="114300" distR="114300" simplePos="0" relativeHeight="251658240" behindDoc="1" locked="0" layoutInCell="1" allowOverlap="1" wp14:anchorId="3475AE28" wp14:editId="31DFF585">
          <wp:simplePos x="0" y="0"/>
          <wp:positionH relativeFrom="column">
            <wp:posOffset>4966335</wp:posOffset>
          </wp:positionH>
          <wp:positionV relativeFrom="page">
            <wp:posOffset>171450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1642540999" name="Picture 1" descr="A blue and yellow flag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540999" name="Picture 1" descr="A blue and yellow flag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510">
      <w:t xml:space="preserve">      </w:t>
    </w:r>
    <w:r w:rsidR="000C2049">
      <w:t xml:space="preserve">       </w:t>
    </w:r>
    <w:r w:rsidR="00003500">
      <w:t>Liggins Institute, University of Auckland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C4639"/>
    <w:multiLevelType w:val="multilevel"/>
    <w:tmpl w:val="9A3A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64E84"/>
    <w:multiLevelType w:val="multilevel"/>
    <w:tmpl w:val="DE444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E4985"/>
    <w:multiLevelType w:val="multilevel"/>
    <w:tmpl w:val="939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CF62E4"/>
    <w:multiLevelType w:val="multilevel"/>
    <w:tmpl w:val="27F8A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E73C2"/>
    <w:multiLevelType w:val="multilevel"/>
    <w:tmpl w:val="46E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73A39"/>
    <w:multiLevelType w:val="multilevel"/>
    <w:tmpl w:val="C7D6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B17C9"/>
    <w:multiLevelType w:val="hybridMultilevel"/>
    <w:tmpl w:val="59D01A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80379"/>
    <w:multiLevelType w:val="multilevel"/>
    <w:tmpl w:val="DE72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73E3C"/>
    <w:multiLevelType w:val="multilevel"/>
    <w:tmpl w:val="A1D0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0A5103"/>
    <w:multiLevelType w:val="multilevel"/>
    <w:tmpl w:val="6C44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543CE4"/>
    <w:multiLevelType w:val="multilevel"/>
    <w:tmpl w:val="910C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661DF3"/>
    <w:multiLevelType w:val="multilevel"/>
    <w:tmpl w:val="53E4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6752D"/>
    <w:multiLevelType w:val="hybridMultilevel"/>
    <w:tmpl w:val="36DE2CAC"/>
    <w:lvl w:ilvl="0" w:tplc="4A96DDC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C4708BB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A27E57E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E792500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1A42DE4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F0D0FCD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4942DAA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9E140B9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DF4271A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abstractNum w:abstractNumId="13" w15:restartNumberingAfterBreak="0">
    <w:nsid w:val="7D2F3579"/>
    <w:multiLevelType w:val="hybridMultilevel"/>
    <w:tmpl w:val="6D9A14B6"/>
    <w:lvl w:ilvl="0" w:tplc="F30831D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1" w:tplc="C6B80EEE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2" w:tplc="03C634FA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3" w:tplc="AC408790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4" w:tplc="36F6036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5" w:tplc="18E8D268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6" w:tplc="6FF80562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7" w:tplc="D96A3944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  <w:lvl w:ilvl="8" w:tplc="6D689ADC">
      <w:start w:val="1"/>
      <w:numFmt w:val="bullet"/>
      <w:lvlText w:val=""/>
      <w:lvlJc w:val="left"/>
      <w:pPr>
        <w:ind w:left="1160" w:hanging="360"/>
      </w:pPr>
      <w:rPr>
        <w:rFonts w:ascii="Symbol" w:hAnsi="Symbol"/>
      </w:rPr>
    </w:lvl>
  </w:abstractNum>
  <w:num w:numId="1" w16cid:durableId="1155102890">
    <w:abstractNumId w:val="13"/>
  </w:num>
  <w:num w:numId="2" w16cid:durableId="371269233">
    <w:abstractNumId w:val="12"/>
  </w:num>
  <w:num w:numId="3" w16cid:durableId="904805384">
    <w:abstractNumId w:val="6"/>
  </w:num>
  <w:num w:numId="4" w16cid:durableId="544680831">
    <w:abstractNumId w:val="11"/>
  </w:num>
  <w:num w:numId="5" w16cid:durableId="392237310">
    <w:abstractNumId w:val="10"/>
  </w:num>
  <w:num w:numId="6" w16cid:durableId="153954225">
    <w:abstractNumId w:val="0"/>
  </w:num>
  <w:num w:numId="7" w16cid:durableId="2061786061">
    <w:abstractNumId w:val="8"/>
  </w:num>
  <w:num w:numId="8" w16cid:durableId="207374772">
    <w:abstractNumId w:val="1"/>
  </w:num>
  <w:num w:numId="9" w16cid:durableId="255940223">
    <w:abstractNumId w:val="7"/>
  </w:num>
  <w:num w:numId="10" w16cid:durableId="303894960">
    <w:abstractNumId w:val="5"/>
  </w:num>
  <w:num w:numId="11" w16cid:durableId="100884926">
    <w:abstractNumId w:val="9"/>
  </w:num>
  <w:num w:numId="12" w16cid:durableId="1175608497">
    <w:abstractNumId w:val="2"/>
  </w:num>
  <w:num w:numId="13" w16cid:durableId="2023702516">
    <w:abstractNumId w:val="4"/>
  </w:num>
  <w:num w:numId="14" w16cid:durableId="1219439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53"/>
    <w:rsid w:val="00001416"/>
    <w:rsid w:val="00003500"/>
    <w:rsid w:val="00015D84"/>
    <w:rsid w:val="00040419"/>
    <w:rsid w:val="0008281A"/>
    <w:rsid w:val="000C2049"/>
    <w:rsid w:val="000C77B6"/>
    <w:rsid w:val="00102032"/>
    <w:rsid w:val="001277FE"/>
    <w:rsid w:val="00133B46"/>
    <w:rsid w:val="001738A9"/>
    <w:rsid w:val="001866DF"/>
    <w:rsid w:val="001A3113"/>
    <w:rsid w:val="001B0C88"/>
    <w:rsid w:val="001B137E"/>
    <w:rsid w:val="001C2F00"/>
    <w:rsid w:val="001D5D1B"/>
    <w:rsid w:val="00202D5E"/>
    <w:rsid w:val="002309D9"/>
    <w:rsid w:val="00246FBF"/>
    <w:rsid w:val="00247A31"/>
    <w:rsid w:val="0025336B"/>
    <w:rsid w:val="002771A6"/>
    <w:rsid w:val="0028030C"/>
    <w:rsid w:val="00290C8A"/>
    <w:rsid w:val="002B3FE4"/>
    <w:rsid w:val="002D3FDD"/>
    <w:rsid w:val="002E3398"/>
    <w:rsid w:val="002F19EB"/>
    <w:rsid w:val="00307C29"/>
    <w:rsid w:val="00331E45"/>
    <w:rsid w:val="003451BA"/>
    <w:rsid w:val="0034674D"/>
    <w:rsid w:val="00356CD3"/>
    <w:rsid w:val="00372C55"/>
    <w:rsid w:val="003A68DD"/>
    <w:rsid w:val="00423574"/>
    <w:rsid w:val="00441799"/>
    <w:rsid w:val="004522E3"/>
    <w:rsid w:val="004613E4"/>
    <w:rsid w:val="00465C3C"/>
    <w:rsid w:val="004A72BF"/>
    <w:rsid w:val="004F3D11"/>
    <w:rsid w:val="00520D4E"/>
    <w:rsid w:val="0053537F"/>
    <w:rsid w:val="00543E29"/>
    <w:rsid w:val="00562090"/>
    <w:rsid w:val="00574A42"/>
    <w:rsid w:val="005778C2"/>
    <w:rsid w:val="005843F6"/>
    <w:rsid w:val="00591509"/>
    <w:rsid w:val="00622FC3"/>
    <w:rsid w:val="00643306"/>
    <w:rsid w:val="006809E4"/>
    <w:rsid w:val="00691327"/>
    <w:rsid w:val="006A1500"/>
    <w:rsid w:val="0070494C"/>
    <w:rsid w:val="00736C0A"/>
    <w:rsid w:val="007614AF"/>
    <w:rsid w:val="00777ECF"/>
    <w:rsid w:val="007B5B39"/>
    <w:rsid w:val="007D1C9B"/>
    <w:rsid w:val="007D4FEA"/>
    <w:rsid w:val="007E3164"/>
    <w:rsid w:val="007F0B6A"/>
    <w:rsid w:val="00807081"/>
    <w:rsid w:val="008216DF"/>
    <w:rsid w:val="0086547A"/>
    <w:rsid w:val="008C6A15"/>
    <w:rsid w:val="008E2F60"/>
    <w:rsid w:val="008E4AC9"/>
    <w:rsid w:val="008F19B3"/>
    <w:rsid w:val="008F76EA"/>
    <w:rsid w:val="00923B91"/>
    <w:rsid w:val="00933A76"/>
    <w:rsid w:val="00936F2A"/>
    <w:rsid w:val="00953C20"/>
    <w:rsid w:val="00983B22"/>
    <w:rsid w:val="00996F3F"/>
    <w:rsid w:val="009A151A"/>
    <w:rsid w:val="009A69F8"/>
    <w:rsid w:val="009F2ADF"/>
    <w:rsid w:val="00A83374"/>
    <w:rsid w:val="00A848E2"/>
    <w:rsid w:val="00A87A71"/>
    <w:rsid w:val="00A93C38"/>
    <w:rsid w:val="00A97556"/>
    <w:rsid w:val="00A97857"/>
    <w:rsid w:val="00AB4F69"/>
    <w:rsid w:val="00AC163A"/>
    <w:rsid w:val="00AC36E2"/>
    <w:rsid w:val="00AD0886"/>
    <w:rsid w:val="00AE0339"/>
    <w:rsid w:val="00B25759"/>
    <w:rsid w:val="00B7013A"/>
    <w:rsid w:val="00BA48E4"/>
    <w:rsid w:val="00BC2FBC"/>
    <w:rsid w:val="00BE5983"/>
    <w:rsid w:val="00C32FED"/>
    <w:rsid w:val="00C465BA"/>
    <w:rsid w:val="00C57E9E"/>
    <w:rsid w:val="00C60D68"/>
    <w:rsid w:val="00C7578F"/>
    <w:rsid w:val="00CA66BE"/>
    <w:rsid w:val="00CD5616"/>
    <w:rsid w:val="00CF0868"/>
    <w:rsid w:val="00D06510"/>
    <w:rsid w:val="00D07DB5"/>
    <w:rsid w:val="00D11D97"/>
    <w:rsid w:val="00D235D2"/>
    <w:rsid w:val="00D237FF"/>
    <w:rsid w:val="00D23EA8"/>
    <w:rsid w:val="00D308FC"/>
    <w:rsid w:val="00D32BFD"/>
    <w:rsid w:val="00D42616"/>
    <w:rsid w:val="00D810E3"/>
    <w:rsid w:val="00D845A9"/>
    <w:rsid w:val="00D85632"/>
    <w:rsid w:val="00D90216"/>
    <w:rsid w:val="00D97EF0"/>
    <w:rsid w:val="00DA32AF"/>
    <w:rsid w:val="00DA45D6"/>
    <w:rsid w:val="00DE1AFE"/>
    <w:rsid w:val="00DF1F46"/>
    <w:rsid w:val="00DF6A4D"/>
    <w:rsid w:val="00E218F2"/>
    <w:rsid w:val="00E263C2"/>
    <w:rsid w:val="00E30855"/>
    <w:rsid w:val="00E42411"/>
    <w:rsid w:val="00E44C8C"/>
    <w:rsid w:val="00E525D6"/>
    <w:rsid w:val="00E54FE9"/>
    <w:rsid w:val="00E61B4B"/>
    <w:rsid w:val="00E63112"/>
    <w:rsid w:val="00E72CB7"/>
    <w:rsid w:val="00EB1353"/>
    <w:rsid w:val="00ED2EEB"/>
    <w:rsid w:val="00F42244"/>
    <w:rsid w:val="00F844FC"/>
    <w:rsid w:val="00FD131B"/>
    <w:rsid w:val="00FD6418"/>
    <w:rsid w:val="020E5F54"/>
    <w:rsid w:val="027F61E5"/>
    <w:rsid w:val="04D6DB8A"/>
    <w:rsid w:val="05458E46"/>
    <w:rsid w:val="08C61663"/>
    <w:rsid w:val="0949317E"/>
    <w:rsid w:val="0AAD5077"/>
    <w:rsid w:val="0AFC3B08"/>
    <w:rsid w:val="0B097D44"/>
    <w:rsid w:val="0E17C9FF"/>
    <w:rsid w:val="0F27D74A"/>
    <w:rsid w:val="0F70A517"/>
    <w:rsid w:val="12FF7215"/>
    <w:rsid w:val="13E97695"/>
    <w:rsid w:val="140BD360"/>
    <w:rsid w:val="1510B228"/>
    <w:rsid w:val="1524D170"/>
    <w:rsid w:val="163FA365"/>
    <w:rsid w:val="1827D903"/>
    <w:rsid w:val="19254074"/>
    <w:rsid w:val="195F904D"/>
    <w:rsid w:val="1A13A6DA"/>
    <w:rsid w:val="1A4163B9"/>
    <w:rsid w:val="1D1D3212"/>
    <w:rsid w:val="1E35070C"/>
    <w:rsid w:val="219ED054"/>
    <w:rsid w:val="21F60291"/>
    <w:rsid w:val="2573C3E0"/>
    <w:rsid w:val="270CC114"/>
    <w:rsid w:val="2995D43A"/>
    <w:rsid w:val="2BA0CE8E"/>
    <w:rsid w:val="2BFFBED5"/>
    <w:rsid w:val="2C15BC08"/>
    <w:rsid w:val="2FA27176"/>
    <w:rsid w:val="30940D4F"/>
    <w:rsid w:val="3365F7D7"/>
    <w:rsid w:val="35D274FD"/>
    <w:rsid w:val="35F11601"/>
    <w:rsid w:val="3632B62E"/>
    <w:rsid w:val="3814171A"/>
    <w:rsid w:val="3817E51E"/>
    <w:rsid w:val="38BB63D2"/>
    <w:rsid w:val="39109F78"/>
    <w:rsid w:val="392359CB"/>
    <w:rsid w:val="39E76BF2"/>
    <w:rsid w:val="3C8A8993"/>
    <w:rsid w:val="3DDACF50"/>
    <w:rsid w:val="3EFF8A9D"/>
    <w:rsid w:val="40194E9F"/>
    <w:rsid w:val="40A7B7CB"/>
    <w:rsid w:val="417CF801"/>
    <w:rsid w:val="43D36BB6"/>
    <w:rsid w:val="460EB22D"/>
    <w:rsid w:val="464117D2"/>
    <w:rsid w:val="49460BDD"/>
    <w:rsid w:val="4A78EFB7"/>
    <w:rsid w:val="4B1BABCB"/>
    <w:rsid w:val="4D48D724"/>
    <w:rsid w:val="5028B22D"/>
    <w:rsid w:val="518D44D4"/>
    <w:rsid w:val="571AE8C1"/>
    <w:rsid w:val="57AE9FF9"/>
    <w:rsid w:val="59CD4B6F"/>
    <w:rsid w:val="5D9E7345"/>
    <w:rsid w:val="60210473"/>
    <w:rsid w:val="616FD49C"/>
    <w:rsid w:val="6362F017"/>
    <w:rsid w:val="63ABA515"/>
    <w:rsid w:val="64B4A2CC"/>
    <w:rsid w:val="64E685FA"/>
    <w:rsid w:val="652A3CDB"/>
    <w:rsid w:val="66771841"/>
    <w:rsid w:val="67D24841"/>
    <w:rsid w:val="6818D678"/>
    <w:rsid w:val="6BA2B32E"/>
    <w:rsid w:val="6C4E4699"/>
    <w:rsid w:val="6E575E6B"/>
    <w:rsid w:val="6EA421C7"/>
    <w:rsid w:val="6FED8CA3"/>
    <w:rsid w:val="6FF34F33"/>
    <w:rsid w:val="719290AD"/>
    <w:rsid w:val="71D8B301"/>
    <w:rsid w:val="73B0C2BC"/>
    <w:rsid w:val="765A22EF"/>
    <w:rsid w:val="76A960E0"/>
    <w:rsid w:val="79FA9524"/>
    <w:rsid w:val="7B0D19E8"/>
    <w:rsid w:val="7CE1B3FC"/>
    <w:rsid w:val="7CE5952A"/>
    <w:rsid w:val="7F77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94FF1F"/>
  <w15:chartTrackingRefBased/>
  <w15:docId w15:val="{90995335-17FF-46AA-93D3-A60AD456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3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3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3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3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3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3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3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3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3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2F60"/>
    <w:pPr>
      <w:spacing w:after="0" w:line="240" w:lineRule="auto"/>
    </w:pPr>
    <w:tblPr/>
  </w:style>
  <w:style w:type="character" w:styleId="CommentReference">
    <w:name w:val="annotation reference"/>
    <w:basedOn w:val="DefaultParagraphFont"/>
    <w:uiPriority w:val="99"/>
    <w:semiHidden/>
    <w:unhideWhenUsed/>
    <w:rsid w:val="00591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5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509"/>
  </w:style>
  <w:style w:type="paragraph" w:styleId="Footer">
    <w:name w:val="footer"/>
    <w:basedOn w:val="Normal"/>
    <w:link w:val="FooterChar"/>
    <w:uiPriority w:val="99"/>
    <w:unhideWhenUsed/>
    <w:rsid w:val="005915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509"/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8F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308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1177/0017896923121956" TargetMode="External"/><Relationship Id="rId18" Type="http://schemas.openxmlformats.org/officeDocument/2006/relationships/hyperlink" Target="https://doi.org/10.1080/03036758.2024.2363419" TargetMode="External"/><Relationship Id="rId26" Type="http://schemas.openxmlformats.org/officeDocument/2006/relationships/hyperlink" Target="https://profiles.auckland.ac.nz/suzanne-tra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8296/set.1524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i.org/10.1093/heapro/daaf069" TargetMode="External"/><Relationship Id="rId17" Type="http://schemas.openxmlformats.org/officeDocument/2006/relationships/hyperlink" Target="https://doi.org/10.3390/ijerph21121556" TargetMode="External"/><Relationship Id="rId25" Type="http://schemas.openxmlformats.org/officeDocument/2006/relationships/hyperlink" Target="https://fizz.org.n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80/03004279.2024.2404697" TargetMode="External"/><Relationship Id="rId20" Type="http://schemas.openxmlformats.org/officeDocument/2006/relationships/hyperlink" Target="https://doi.org/10.1093/heapro/daaf069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-org/10.1111/josh.70006" TargetMode="External"/><Relationship Id="rId24" Type="http://schemas.openxmlformats.org/officeDocument/2006/relationships/hyperlink" Target="https://oraanga-tumanava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177/00178969231219567" TargetMode="External"/><Relationship Id="rId23" Type="http://schemas.openxmlformats.org/officeDocument/2006/relationships/hyperlink" Target="https://doi.org/10.1017/9781009272247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doi.org/10.3390/ijerph19106024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177/001789692312225" TargetMode="External"/><Relationship Id="rId22" Type="http://schemas.openxmlformats.org/officeDocument/2006/relationships/hyperlink" Target="https://doi.org/10.1093/heapro/daad038" TargetMode="External"/><Relationship Id="rId27" Type="http://schemas.openxmlformats.org/officeDocument/2006/relationships/hyperlink" Target="https://profiles.auckland.ac.nz/m-vickers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5e9cd7a-283a-407b-9b45-84d2c2056e08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f7cb38-f7d1-43f8-83ef-0a77e06be217" xsi:nil="true"/>
    <lcf76f155ced4ddcb4097134ff3c332f xmlns="49ef108d-0b28-4837-854e-8ecf1554c2d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247C65375504EB3A9670213D2C334" ma:contentTypeVersion="16" ma:contentTypeDescription="Create a new document." ma:contentTypeScope="" ma:versionID="8021ff99fed50bf55ca37c45149d9532">
  <xsd:schema xmlns:xsd="http://www.w3.org/2001/XMLSchema" xmlns:xs="http://www.w3.org/2001/XMLSchema" xmlns:p="http://schemas.microsoft.com/office/2006/metadata/properties" xmlns:ns2="49ef108d-0b28-4837-854e-8ecf1554c2da" xmlns:ns3="18f7cb38-f7d1-43f8-83ef-0a77e06be217" targetNamespace="http://schemas.microsoft.com/office/2006/metadata/properties" ma:root="true" ma:fieldsID="3e7d5196dc1a61903f1df1d2c7bf6fbc" ns2:_="" ns3:_="">
    <xsd:import namespace="49ef108d-0b28-4837-854e-8ecf1554c2da"/>
    <xsd:import namespace="18f7cb38-f7d1-43f8-83ef-0a77e06be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f108d-0b28-4837-854e-8ecf1554c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7cb38-f7d1-43f8-83ef-0a77e06be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5510a5-d247-451f-9d71-cbca952889ff}" ma:internalName="TaxCatchAll" ma:showField="CatchAllData" ma:web="18f7cb38-f7d1-43f8-83ef-0a77e06be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54807-2090-489F-B394-39A2FE9E791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8B4A71-CB81-48D9-BD70-7C20EB8C4221}">
  <ds:schemaRefs>
    <ds:schemaRef ds:uri="http://schemas.microsoft.com/office/2006/metadata/properties"/>
    <ds:schemaRef ds:uri="http://schemas.microsoft.com/office/infopath/2007/PartnerControls"/>
    <ds:schemaRef ds:uri="18f7cb38-f7d1-43f8-83ef-0a77e06be217"/>
    <ds:schemaRef ds:uri="49ef108d-0b28-4837-854e-8ecf1554c2da"/>
  </ds:schemaRefs>
</ds:datastoreItem>
</file>

<file path=customXml/itemProps3.xml><?xml version="1.0" encoding="utf-8"?>
<ds:datastoreItem xmlns:ds="http://schemas.openxmlformats.org/officeDocument/2006/customXml" ds:itemID="{E95A7CEB-175F-4617-95E7-03E32800D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ef108d-0b28-4837-854e-8ecf1554c2da"/>
    <ds:schemaRef ds:uri="18f7cb38-f7d1-43f8-83ef-0a77e06be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9A23E4-26FF-4E12-BA61-F0C5A34F374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1b36e95-0d50-42e9-958f-b63fa906beaa}" enabled="0" method="" siteId="{d1b36e95-0d50-42e9-958f-b63fa906b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1439</Words>
  <Characters>10067</Characters>
  <Application>Microsoft Office Word</Application>
  <DocSecurity>0</DocSecurity>
  <Lines>172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Trask</dc:creator>
  <cp:keywords/>
  <dc:description/>
  <cp:lastModifiedBy>Suzanne Trask</cp:lastModifiedBy>
  <cp:revision>16</cp:revision>
  <dcterms:created xsi:type="dcterms:W3CDTF">2025-11-20T22:07:00Z</dcterms:created>
  <dcterms:modified xsi:type="dcterms:W3CDTF">2025-12-15T20:37:00Z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0x010100D5E247C65375504EB3A9670213D2C334</vt:lpwstr>
  </property>
  <property fmtid="{D5CDD505-2E9C-101B-9397-08002B2CF9AE}" pid="3" name="GrammarlyDocumentId">
    <vt:lpwstr>f75fd94d-789d-41e8-b395-5976d760fca7</vt:lpwstr>
  </property>
</Properties>
</file>