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21D5A" w14:textId="2165C003" w:rsidR="00272FB6" w:rsidRPr="006B5D7C" w:rsidRDefault="00272FB6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  <w:r w:rsidRPr="006B5D7C">
        <w:rPr>
          <w:rFonts w:cstheme="minorHAnsi"/>
          <w:u w:val="single"/>
          <w:lang w:val="en-GB"/>
        </w:rPr>
        <w:t>Contacts</w:t>
      </w:r>
      <w:r w:rsidR="00452218" w:rsidRPr="006B5D7C">
        <w:rPr>
          <w:rFonts w:cstheme="minorHAnsi"/>
          <w:u w:val="single"/>
          <w:lang w:val="en-GB"/>
        </w:rPr>
        <w:t>:</w:t>
      </w:r>
    </w:p>
    <w:p w14:paraId="2BEAD5C9" w14:textId="267F54F4" w:rsidR="00DC4E71" w:rsidRPr="006B5D7C" w:rsidRDefault="00452218" w:rsidP="007222B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proofErr w:type="spellStart"/>
      <w:r w:rsidRPr="006B5D7C">
        <w:rPr>
          <w:rFonts w:cstheme="minorHAnsi"/>
        </w:rPr>
        <w:t>Alvaro</w:t>
      </w:r>
      <w:proofErr w:type="spellEnd"/>
      <w:r w:rsidRPr="006B5D7C">
        <w:rPr>
          <w:rFonts w:cstheme="minorHAnsi"/>
        </w:rPr>
        <w:t xml:space="preserve"> Diaz del Rio</w:t>
      </w:r>
      <w:r w:rsidR="00DC4E71" w:rsidRPr="006B5D7C">
        <w:rPr>
          <w:rFonts w:cstheme="minorHAnsi"/>
        </w:rPr>
        <w:t xml:space="preserve"> (Head </w:t>
      </w:r>
      <w:proofErr w:type="spellStart"/>
      <w:r w:rsidR="00DC4E71" w:rsidRPr="006B5D7C">
        <w:rPr>
          <w:rFonts w:cstheme="minorHAnsi"/>
        </w:rPr>
        <w:t>of</w:t>
      </w:r>
      <w:proofErr w:type="spellEnd"/>
      <w:r w:rsidR="00DC4E71" w:rsidRPr="006B5D7C">
        <w:rPr>
          <w:rFonts w:cstheme="minorHAnsi"/>
        </w:rPr>
        <w:t xml:space="preserve"> </w:t>
      </w:r>
      <w:proofErr w:type="spellStart"/>
      <w:r w:rsidR="00DC4E71" w:rsidRPr="006B5D7C">
        <w:rPr>
          <w:rFonts w:cstheme="minorHAnsi"/>
        </w:rPr>
        <w:t>Innovation</w:t>
      </w:r>
      <w:proofErr w:type="spellEnd"/>
      <w:r w:rsidR="00DC4E71" w:rsidRPr="006B5D7C">
        <w:rPr>
          <w:rFonts w:cstheme="minorHAnsi"/>
        </w:rPr>
        <w:t>)</w:t>
      </w:r>
      <w:r w:rsidRPr="006B5D7C">
        <w:rPr>
          <w:rFonts w:cstheme="minorHAnsi"/>
        </w:rPr>
        <w:t xml:space="preserve"> </w:t>
      </w:r>
      <w:hyperlink r:id="rId11" w:history="1">
        <w:r w:rsidR="00213A55" w:rsidRPr="006B5D7C">
          <w:rPr>
            <w:rStyle w:val="Hyperlink"/>
            <w:rFonts w:cstheme="minorHAnsi"/>
          </w:rPr>
          <w:t>alvaro.diaz@tedagua.com</w:t>
        </w:r>
      </w:hyperlink>
      <w:r w:rsidR="00213A55" w:rsidRPr="006B5D7C">
        <w:rPr>
          <w:rFonts w:cstheme="minorHAnsi"/>
        </w:rPr>
        <w:t xml:space="preserve"> </w:t>
      </w:r>
    </w:p>
    <w:p w14:paraId="7764DE4A" w14:textId="3C01D793" w:rsidR="00452218" w:rsidRPr="006B5D7C" w:rsidRDefault="00452218" w:rsidP="007222B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t>Jose Luis Molto Marin</w:t>
      </w:r>
      <w:r w:rsidR="00DC4E71" w:rsidRPr="006B5D7C">
        <w:rPr>
          <w:rFonts w:cstheme="minorHAnsi"/>
          <w:lang w:val="en-GB"/>
        </w:rPr>
        <w:t xml:space="preserve"> (R&amp;D Project Manager)</w:t>
      </w:r>
      <w:r w:rsidRPr="006B5D7C">
        <w:rPr>
          <w:rFonts w:cstheme="minorHAnsi"/>
          <w:lang w:val="en-GB"/>
        </w:rPr>
        <w:t xml:space="preserve"> </w:t>
      </w:r>
      <w:hyperlink r:id="rId12" w:history="1">
        <w:r w:rsidR="00213A55" w:rsidRPr="006B5D7C">
          <w:rPr>
            <w:rStyle w:val="Hyperlink"/>
            <w:rFonts w:cstheme="minorHAnsi"/>
            <w:lang w:val="en-GB"/>
          </w:rPr>
          <w:t>jlmolto@grupocobra.com</w:t>
        </w:r>
      </w:hyperlink>
      <w:r w:rsidR="00213A55" w:rsidRPr="006B5D7C">
        <w:rPr>
          <w:rFonts w:cstheme="minorHAnsi"/>
          <w:lang w:val="en-GB"/>
        </w:rPr>
        <w:t xml:space="preserve"> </w:t>
      </w:r>
    </w:p>
    <w:p w14:paraId="567C3FB0" w14:textId="77777777" w:rsidR="00EE0E0F" w:rsidRPr="006B5D7C" w:rsidRDefault="00EE0E0F" w:rsidP="007222B7">
      <w:pPr>
        <w:spacing w:after="0" w:line="240" w:lineRule="auto"/>
        <w:contextualSpacing/>
        <w:rPr>
          <w:rFonts w:cstheme="minorHAnsi"/>
          <w:lang w:val="en-GB"/>
        </w:rPr>
      </w:pPr>
    </w:p>
    <w:p w14:paraId="6986D66D" w14:textId="4D165680" w:rsidR="00B51D43" w:rsidRPr="006B5D7C" w:rsidRDefault="00EE0E0F" w:rsidP="00EE0E0F">
      <w:pPr>
        <w:pStyle w:val="Heading1"/>
        <w:rPr>
          <w:rFonts w:asciiTheme="minorHAnsi" w:hAnsiTheme="minorHAnsi" w:cstheme="minorHAnsi"/>
          <w:lang w:val="en-GB"/>
        </w:rPr>
      </w:pPr>
      <w:r w:rsidRPr="006B5D7C">
        <w:rPr>
          <w:rFonts w:asciiTheme="minorHAnsi" w:hAnsiTheme="minorHAnsi" w:cstheme="minorHAnsi"/>
          <w:lang w:val="en-GB"/>
        </w:rPr>
        <w:t>Circular Bio-based Europe Joint Undertaking (HORIZON-JU-CBE-2024)</w:t>
      </w:r>
      <w:r w:rsidR="000076AC">
        <w:rPr>
          <w:rFonts w:asciiTheme="minorHAnsi" w:hAnsiTheme="minorHAnsi" w:cstheme="minorHAnsi"/>
          <w:lang w:val="en-GB"/>
        </w:rPr>
        <w:t xml:space="preserve"> </w:t>
      </w:r>
      <w:r w:rsidR="000076AC" w:rsidRPr="000076AC">
        <w:rPr>
          <w:rFonts w:asciiTheme="minorHAnsi" w:hAnsiTheme="minorHAnsi" w:cstheme="minorHAnsi"/>
          <w:highlight w:val="yellow"/>
          <w:lang w:val="en-GB"/>
        </w:rPr>
        <w:t>(Sept-24)</w:t>
      </w:r>
    </w:p>
    <w:p w14:paraId="656F0F51" w14:textId="77777777" w:rsidR="00EE0E0F" w:rsidRPr="006B5D7C" w:rsidRDefault="00EE0E0F" w:rsidP="007222B7">
      <w:pPr>
        <w:spacing w:after="0" w:line="240" w:lineRule="auto"/>
        <w:contextualSpacing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8B5" w:rsidRPr="006B5D7C" w14:paraId="27CD0024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5DA1EB4E" w14:textId="07F5D828" w:rsidR="008A38B5" w:rsidRPr="006B5D7C" w:rsidRDefault="003635ED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HORIZON-JU-CBE-2024-IAFlag-01 Bio-based value chains for valorisation of sustainable oil crops</w:t>
            </w:r>
          </w:p>
        </w:tc>
      </w:tr>
      <w:tr w:rsidR="008A38B5" w:rsidRPr="006B5D7C" w14:paraId="7B2AC2C1" w14:textId="77777777">
        <w:tc>
          <w:tcPr>
            <w:tcW w:w="10456" w:type="dxa"/>
          </w:tcPr>
          <w:p w14:paraId="64473270" w14:textId="77777777" w:rsidR="00FF3366" w:rsidRPr="006B5D7C" w:rsidRDefault="00FF3366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Innovation Action-Flagship</w:t>
            </w:r>
          </w:p>
          <w:p w14:paraId="3EBD31C2" w14:textId="503A366F" w:rsidR="008A38B5" w:rsidRPr="006B5D7C" w:rsidRDefault="00FF3366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total indicative budget for the topic is EUR 20 million</w:t>
            </w:r>
          </w:p>
        </w:tc>
      </w:tr>
      <w:tr w:rsidR="008A38B5" w:rsidRPr="006B5D7C" w14:paraId="3447F8B2" w14:textId="77777777">
        <w:tc>
          <w:tcPr>
            <w:tcW w:w="10456" w:type="dxa"/>
          </w:tcPr>
          <w:p w14:paraId="49520EBF" w14:textId="681EE95C" w:rsidR="007634FC" w:rsidRPr="006B5D7C" w:rsidRDefault="00533832" w:rsidP="007222B7">
            <w:pPr>
              <w:contextualSpacing/>
              <w:rPr>
                <w:rFonts w:cstheme="minorHAnsi"/>
                <w:i/>
                <w:iCs/>
                <w:lang w:val="en-GB"/>
              </w:rPr>
            </w:pPr>
            <w:r w:rsidRPr="006B5D7C">
              <w:rPr>
                <w:rFonts w:cstheme="minorHAnsi"/>
                <w:i/>
                <w:iCs/>
                <w:lang w:val="en-GB"/>
              </w:rPr>
              <w:t>“</w:t>
            </w:r>
            <w:r w:rsidRPr="006B5D7C">
              <w:rPr>
                <w:rFonts w:cstheme="minorHAnsi"/>
                <w:i/>
                <w:iCs/>
                <w:lang w:val="en-GB"/>
              </w:rPr>
              <w:t>Sustainable cultivation practices</w:t>
            </w:r>
            <w:r w:rsidRPr="006B5D7C">
              <w:rPr>
                <w:rFonts w:cstheme="minorHAnsi"/>
                <w:i/>
                <w:iCs/>
                <w:lang w:val="en-GB"/>
              </w:rPr>
              <w:t>”</w:t>
            </w:r>
            <w:r w:rsidR="00155412" w:rsidRPr="006B5D7C">
              <w:rPr>
                <w:rFonts w:cstheme="minorHAnsi"/>
                <w:i/>
                <w:iCs/>
                <w:lang w:val="en-GB"/>
              </w:rPr>
              <w:t xml:space="preserve"> </w:t>
            </w:r>
            <w:r w:rsidR="00155412" w:rsidRPr="006B5D7C">
              <w:rPr>
                <w:rFonts w:cstheme="minorHAnsi"/>
                <w:i/>
                <w:iCs/>
                <w:lang w:val="en-GB"/>
              </w:rPr>
              <w:t>and “</w:t>
            </w:r>
            <w:r w:rsidR="00155412" w:rsidRPr="006B5D7C">
              <w:rPr>
                <w:rFonts w:cstheme="minorHAnsi"/>
                <w:i/>
                <w:iCs/>
                <w:lang w:val="en-GB"/>
              </w:rPr>
              <w:t>environmental optimisation e.g. improved water stress or water scarcity tolerance</w:t>
            </w:r>
            <w:r w:rsidR="00155412" w:rsidRPr="006B5D7C">
              <w:rPr>
                <w:rFonts w:cstheme="minorHAnsi"/>
                <w:i/>
                <w:iCs/>
                <w:lang w:val="en-GB"/>
              </w:rPr>
              <w:t>”</w:t>
            </w:r>
          </w:p>
          <w:p w14:paraId="36A92F38" w14:textId="04EB6DBB" w:rsidR="007634FC" w:rsidRPr="006B5D7C" w:rsidRDefault="007634FC" w:rsidP="007222B7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TEDAGUA </w:t>
            </w:r>
            <w:r w:rsidR="005C0778" w:rsidRPr="006B5D7C">
              <w:rPr>
                <w:rFonts w:cstheme="minorHAnsi"/>
                <w:lang w:val="en-GB"/>
              </w:rPr>
              <w:t>can</w:t>
            </w:r>
            <w:r w:rsidRPr="006B5D7C">
              <w:rPr>
                <w:rFonts w:cstheme="minorHAnsi"/>
                <w:lang w:val="en-GB"/>
              </w:rPr>
              <w:t xml:space="preserve"> collaborate with agricultural partners to develop and implement sustainable irrigation systems using </w:t>
            </w:r>
            <w:r w:rsidRPr="006B5D7C">
              <w:rPr>
                <w:rFonts w:cstheme="minorHAnsi"/>
                <w:b/>
                <w:bCs/>
                <w:u w:val="single"/>
                <w:lang w:val="en-GB"/>
              </w:rPr>
              <w:t>treated wastewater or desalinated water</w:t>
            </w:r>
            <w:r w:rsidRPr="006B5D7C">
              <w:rPr>
                <w:rFonts w:cstheme="minorHAnsi"/>
                <w:lang w:val="en-GB"/>
              </w:rPr>
              <w:t>, lowering the project's environmental footprint.</w:t>
            </w:r>
          </w:p>
          <w:p w14:paraId="063D4681" w14:textId="77777777" w:rsidR="007634FC" w:rsidRPr="006B5D7C" w:rsidRDefault="007634FC" w:rsidP="007222B7">
            <w:pPr>
              <w:contextualSpacing/>
              <w:rPr>
                <w:rFonts w:cstheme="minorHAnsi"/>
                <w:lang w:val="en-GB"/>
              </w:rPr>
            </w:pPr>
          </w:p>
          <w:p w14:paraId="13855708" w14:textId="0B9C4CDC" w:rsidR="007634FC" w:rsidRPr="006B5D7C" w:rsidRDefault="007634FC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Biorefinery and downstream processing:</w:t>
            </w:r>
          </w:p>
          <w:p w14:paraId="7D687FA8" w14:textId="32838185" w:rsidR="007634FC" w:rsidRPr="006B5D7C" w:rsidRDefault="007634FC" w:rsidP="007222B7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Experience in large-scale projects:</w:t>
            </w:r>
            <w:r w:rsidRPr="006B5D7C">
              <w:rPr>
                <w:rFonts w:cstheme="minorHAnsi"/>
                <w:lang w:val="en-GB"/>
              </w:rPr>
              <w:t> TEDAGUA's experience in designing and building complex infrastructure projects could be beneficial in designing and constructing large-scale biorefineries.</w:t>
            </w:r>
          </w:p>
          <w:p w14:paraId="79EEC2A9" w14:textId="77777777" w:rsidR="005C0778" w:rsidRPr="006B5D7C" w:rsidRDefault="00F86938" w:rsidP="007222B7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Wastewater treatment and purification:</w:t>
            </w:r>
            <w:r w:rsidRPr="006B5D7C">
              <w:rPr>
                <w:rFonts w:cstheme="minorHAnsi"/>
                <w:lang w:val="en-GB"/>
              </w:rPr>
              <w:t> Reducing waste and maximizing the recovery of valuable resources from the production process.</w:t>
            </w:r>
          </w:p>
          <w:p w14:paraId="7017F8D1" w14:textId="74F87007" w:rsidR="00941FD0" w:rsidRPr="006B5D7C" w:rsidRDefault="00F86938" w:rsidP="007222B7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Recycling process water:</w:t>
            </w:r>
            <w:r w:rsidRPr="006B5D7C">
              <w:rPr>
                <w:rFonts w:cstheme="minorHAnsi"/>
                <w:lang w:val="en-GB"/>
              </w:rPr>
              <w:t> Helping to reduce freshwater consumption and improve the overall resource efficiency of the project.</w:t>
            </w:r>
          </w:p>
          <w:p w14:paraId="327E59CE" w14:textId="3FC94269" w:rsidR="00EE6BF4" w:rsidRPr="006B5D7C" w:rsidRDefault="00EE6BF4" w:rsidP="007222B7">
            <w:pPr>
              <w:contextualSpacing/>
              <w:rPr>
                <w:rFonts w:cstheme="minorHAnsi"/>
                <w:lang w:val="en-GB"/>
              </w:rPr>
            </w:pPr>
          </w:p>
        </w:tc>
      </w:tr>
    </w:tbl>
    <w:p w14:paraId="00031AEE" w14:textId="77777777" w:rsidR="008A38B5" w:rsidRPr="006B5D7C" w:rsidRDefault="008A38B5" w:rsidP="007222B7">
      <w:pPr>
        <w:spacing w:after="0" w:line="240" w:lineRule="auto"/>
        <w:contextualSpacing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4D9A" w:rsidRPr="006B5D7C" w14:paraId="68C1E039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789AE14B" w14:textId="4952CDDA" w:rsidR="002F4D9A" w:rsidRPr="006B5D7C" w:rsidRDefault="001D478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HORIZON-JU-CBE-2024-IAFlag-02 Bio-based dedicated platform chemicals via cost-effective, </w:t>
            </w:r>
            <w:proofErr w:type="gramStart"/>
            <w:r w:rsidRPr="006B5D7C">
              <w:rPr>
                <w:rFonts w:cstheme="minorHAnsi"/>
                <w:lang w:val="en-GB"/>
              </w:rPr>
              <w:t>sustainable</w:t>
            </w:r>
            <w:proofErr w:type="gramEnd"/>
            <w:r w:rsidRPr="006B5D7C">
              <w:rPr>
                <w:rFonts w:cstheme="minorHAnsi"/>
                <w:lang w:val="en-GB"/>
              </w:rPr>
              <w:t xml:space="preserve"> and resource-efficient conversion of biomass.</w:t>
            </w:r>
          </w:p>
        </w:tc>
      </w:tr>
      <w:tr w:rsidR="002F4D9A" w:rsidRPr="006B5D7C" w14:paraId="2A5ABAC5" w14:textId="77777777" w:rsidTr="00B902E1">
        <w:tc>
          <w:tcPr>
            <w:tcW w:w="10456" w:type="dxa"/>
          </w:tcPr>
          <w:p w14:paraId="70C3CCC9" w14:textId="77777777" w:rsidR="002F4D9A" w:rsidRPr="006B5D7C" w:rsidRDefault="002F4D9A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Innovation Action-Flagship</w:t>
            </w:r>
          </w:p>
          <w:p w14:paraId="2294324F" w14:textId="77777777" w:rsidR="002F4D9A" w:rsidRPr="006B5D7C" w:rsidRDefault="002F4D9A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total indicative budget for the topic is EUR 20 million</w:t>
            </w:r>
          </w:p>
        </w:tc>
      </w:tr>
      <w:tr w:rsidR="002F4D9A" w:rsidRPr="006B5D7C" w14:paraId="44D8A396" w14:textId="77777777" w:rsidTr="00B902E1">
        <w:tc>
          <w:tcPr>
            <w:tcW w:w="10456" w:type="dxa"/>
          </w:tcPr>
          <w:p w14:paraId="64DF3772" w14:textId="74F2C70A" w:rsidR="00B531C6" w:rsidRPr="006B5D7C" w:rsidRDefault="00B531C6" w:rsidP="007222B7">
            <w:pPr>
              <w:contextualSpacing/>
              <w:rPr>
                <w:rFonts w:cstheme="minorHAnsi"/>
                <w:i/>
                <w:iCs/>
                <w:lang w:val="en-GB"/>
              </w:rPr>
            </w:pPr>
            <w:r w:rsidRPr="006B5D7C">
              <w:rPr>
                <w:rFonts w:cstheme="minorHAnsi"/>
                <w:i/>
                <w:iCs/>
                <w:lang w:val="en-GB"/>
              </w:rPr>
              <w:t>“</w:t>
            </w:r>
            <w:proofErr w:type="gramStart"/>
            <w:r w:rsidRPr="006B5D7C">
              <w:rPr>
                <w:rFonts w:cstheme="minorHAnsi"/>
                <w:i/>
                <w:iCs/>
                <w:lang w:val="en-GB"/>
              </w:rPr>
              <w:t>S</w:t>
            </w:r>
            <w:r w:rsidRPr="006B5D7C">
              <w:rPr>
                <w:rFonts w:cstheme="minorHAnsi"/>
                <w:i/>
                <w:iCs/>
                <w:lang w:val="en-GB"/>
              </w:rPr>
              <w:t>ustainably-sourced</w:t>
            </w:r>
            <w:proofErr w:type="gramEnd"/>
            <w:r w:rsidRPr="006B5D7C">
              <w:rPr>
                <w:rFonts w:cstheme="minorHAnsi"/>
                <w:i/>
                <w:iCs/>
                <w:lang w:val="en-GB"/>
              </w:rPr>
              <w:t xml:space="preserve"> biomass</w:t>
            </w:r>
            <w:r w:rsidRPr="006B5D7C">
              <w:rPr>
                <w:rFonts w:cstheme="minorHAnsi"/>
                <w:i/>
                <w:iCs/>
                <w:lang w:val="en-GB"/>
              </w:rPr>
              <w:t>”</w:t>
            </w:r>
            <w:r w:rsidR="00101840" w:rsidRPr="006B5D7C">
              <w:rPr>
                <w:rFonts w:cstheme="minorHAnsi"/>
                <w:i/>
                <w:iCs/>
                <w:lang w:val="en-GB"/>
              </w:rPr>
              <w:t xml:space="preserve"> “</w:t>
            </w:r>
            <w:r w:rsidR="00101840" w:rsidRPr="006B5D7C">
              <w:rPr>
                <w:rFonts w:cstheme="minorHAnsi"/>
                <w:i/>
                <w:iCs/>
                <w:lang w:val="en-GB"/>
              </w:rPr>
              <w:t>minimising biomass imports</w:t>
            </w:r>
            <w:r w:rsidR="00101840" w:rsidRPr="006B5D7C">
              <w:rPr>
                <w:rFonts w:cstheme="minorHAnsi"/>
                <w:i/>
                <w:iCs/>
                <w:lang w:val="en-GB"/>
              </w:rPr>
              <w:t>” “</w:t>
            </w:r>
            <w:r w:rsidR="00101840" w:rsidRPr="006B5D7C">
              <w:rPr>
                <w:rFonts w:cstheme="minorHAnsi"/>
                <w:i/>
                <w:iCs/>
                <w:lang w:val="en-GB"/>
              </w:rPr>
              <w:t>secondary biomass and residual streams is also in scope.</w:t>
            </w:r>
            <w:r w:rsidR="00101840" w:rsidRPr="006B5D7C">
              <w:rPr>
                <w:rFonts w:cstheme="minorHAnsi"/>
                <w:i/>
                <w:iCs/>
                <w:lang w:val="en-GB"/>
              </w:rPr>
              <w:t>”</w:t>
            </w:r>
          </w:p>
          <w:p w14:paraId="737071F2" w14:textId="77777777" w:rsidR="00AD6BA3" w:rsidRPr="006B5D7C" w:rsidRDefault="004F1ED2" w:rsidP="007222B7">
            <w:pPr>
              <w:numPr>
                <w:ilvl w:val="0"/>
                <w:numId w:val="17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Cascading Valorisation:</w:t>
            </w:r>
            <w:r w:rsidRPr="006B5D7C">
              <w:rPr>
                <w:rFonts w:cstheme="minorHAnsi"/>
                <w:lang w:val="en-GB"/>
              </w:rPr>
              <w:t xml:space="preserve"> Propose methods to utilize sludge from their treatment plants as a secondary biomass feedstock for bio-based platform chemicals. Research methods to separate and process the organic fraction in sludge for conversion into valuable chemicals.</w:t>
            </w:r>
          </w:p>
          <w:p w14:paraId="4F608E2A" w14:textId="129EDC27" w:rsidR="00444D10" w:rsidRPr="006B5D7C" w:rsidRDefault="004F1ED2" w:rsidP="007222B7">
            <w:pPr>
              <w:numPr>
                <w:ilvl w:val="0"/>
                <w:numId w:val="17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Resource Efficiency: Develop sludge treatment processes that are more </w:t>
            </w:r>
            <w:proofErr w:type="gramStart"/>
            <w:r w:rsidRPr="006B5D7C">
              <w:rPr>
                <w:rFonts w:cstheme="minorHAnsi"/>
                <w:lang w:val="en-GB"/>
              </w:rPr>
              <w:t>resource-efficient</w:t>
            </w:r>
            <w:proofErr w:type="gramEnd"/>
            <w:r w:rsidRPr="006B5D7C">
              <w:rPr>
                <w:rFonts w:cstheme="minorHAnsi"/>
                <w:lang w:val="en-GB"/>
              </w:rPr>
              <w:t>. This could involve optimizing energy consumption, minimizing water usage, and reducing waste generation (E-factor).</w:t>
            </w:r>
          </w:p>
          <w:p w14:paraId="02847CB0" w14:textId="77777777" w:rsidR="00AD6BA3" w:rsidRPr="006B5D7C" w:rsidRDefault="00AD6BA3" w:rsidP="007222B7">
            <w:pPr>
              <w:contextualSpacing/>
              <w:rPr>
                <w:rFonts w:cstheme="minorHAnsi"/>
                <w:lang w:val="en-GB"/>
              </w:rPr>
            </w:pPr>
          </w:p>
          <w:p w14:paraId="15C80FED" w14:textId="0745240B" w:rsidR="007E6F0B" w:rsidRPr="006B5D7C" w:rsidRDefault="00F84A46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Contribute to operating a facility that utilizes anaerobic digestion to produce bio-based chemicals like siloxanes or SCFAs (Short-Chain Fatty Acids) in several ways:</w:t>
            </w:r>
          </w:p>
          <w:p w14:paraId="1ECCE0C0" w14:textId="248847F1" w:rsidR="00F84A46" w:rsidRPr="006B5D7C" w:rsidRDefault="00F84A46" w:rsidP="007222B7">
            <w:pPr>
              <w:numPr>
                <w:ilvl w:val="0"/>
                <w:numId w:val="17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Facility Operation and Maintenance:</w:t>
            </w:r>
            <w:r w:rsidRPr="006B5D7C">
              <w:rPr>
                <w:rFonts w:cstheme="minorHAnsi"/>
                <w:lang w:val="en-GB"/>
              </w:rPr>
              <w:t xml:space="preserve"> TEDAGUA's experience in </w:t>
            </w:r>
            <w:r w:rsidRPr="006B5D7C">
              <w:rPr>
                <w:rFonts w:cstheme="minorHAnsi"/>
                <w:b/>
                <w:bCs/>
                <w:lang w:val="en-GB"/>
              </w:rPr>
              <w:t>operating and maintaining complex infrastructure</w:t>
            </w:r>
            <w:r w:rsidR="005056F3" w:rsidRPr="006B5D7C">
              <w:rPr>
                <w:rFonts w:cstheme="minorHAnsi"/>
                <w:lang w:val="en-GB"/>
              </w:rPr>
              <w:t>.</w:t>
            </w:r>
          </w:p>
          <w:p w14:paraId="75BBE8A3" w14:textId="2DD42D11" w:rsidR="002F4D9A" w:rsidRPr="006B5D7C" w:rsidRDefault="00F84A46" w:rsidP="007222B7">
            <w:pPr>
              <w:numPr>
                <w:ilvl w:val="0"/>
                <w:numId w:val="17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Managing the anaerobic digester:</w:t>
            </w:r>
            <w:r w:rsidRPr="006B5D7C">
              <w:rPr>
                <w:rFonts w:cstheme="minorHAnsi"/>
                <w:lang w:val="en-GB"/>
              </w:rPr>
              <w:t> Ensuring its efficient and safe operation, including monitoring key parameters like temperature, pH, and organic loading rate</w:t>
            </w:r>
            <w:r w:rsidR="00553DCF" w:rsidRPr="006B5D7C">
              <w:rPr>
                <w:rFonts w:cstheme="minorHAnsi"/>
                <w:lang w:val="en-GB"/>
              </w:rPr>
              <w:t>, etc.</w:t>
            </w:r>
          </w:p>
        </w:tc>
      </w:tr>
    </w:tbl>
    <w:p w14:paraId="512AE065" w14:textId="77777777" w:rsidR="009F419F" w:rsidRPr="006B5D7C" w:rsidRDefault="009F419F" w:rsidP="007222B7">
      <w:pPr>
        <w:spacing w:after="0" w:line="240" w:lineRule="auto"/>
        <w:contextualSpacing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1E7F" w:rsidRPr="006B5D7C" w14:paraId="7CF5A375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742CFD12" w14:textId="58BE4F6D" w:rsidR="00A21E7F" w:rsidRPr="006B5D7C" w:rsidRDefault="00A01873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HORIZON-JU-CBE-2024-IA-02 Sustainable micro-algae as feedstock for innovative, added-value applications</w:t>
            </w:r>
          </w:p>
        </w:tc>
      </w:tr>
      <w:tr w:rsidR="00A21E7F" w:rsidRPr="006B5D7C" w14:paraId="1E83AEED" w14:textId="77777777" w:rsidTr="00694DBA">
        <w:tc>
          <w:tcPr>
            <w:tcW w:w="10456" w:type="dxa"/>
          </w:tcPr>
          <w:p w14:paraId="768CAC86" w14:textId="77777777" w:rsidR="00A21E7F" w:rsidRPr="006B5D7C" w:rsidRDefault="00A21E7F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Innovation Action</w:t>
            </w:r>
          </w:p>
          <w:p w14:paraId="0DC3759D" w14:textId="77777777" w:rsidR="00A21E7F" w:rsidRPr="006B5D7C" w:rsidRDefault="00A21E7F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total indicative budget for the topic is EUR 7.5 million</w:t>
            </w:r>
          </w:p>
        </w:tc>
      </w:tr>
      <w:tr w:rsidR="00A21E7F" w:rsidRPr="006B5D7C" w14:paraId="1F697BD9" w14:textId="77777777" w:rsidTr="00694DBA">
        <w:tc>
          <w:tcPr>
            <w:tcW w:w="10456" w:type="dxa"/>
          </w:tcPr>
          <w:p w14:paraId="174610B4" w14:textId="5BCBDAC6" w:rsidR="00F875FD" w:rsidRPr="006B5D7C" w:rsidRDefault="00F875FD" w:rsidP="007222B7">
            <w:pPr>
              <w:contextualSpacing/>
              <w:rPr>
                <w:rFonts w:cstheme="minorHAnsi"/>
                <w:i/>
                <w:iCs/>
                <w:lang w:val="en-GB"/>
              </w:rPr>
            </w:pPr>
            <w:r w:rsidRPr="006B5D7C">
              <w:rPr>
                <w:rFonts w:cstheme="minorHAnsi"/>
                <w:i/>
                <w:iCs/>
                <w:lang w:val="en-GB"/>
              </w:rPr>
              <w:t>“</w:t>
            </w:r>
            <w:r w:rsidRPr="006B5D7C">
              <w:rPr>
                <w:rFonts w:cstheme="minorHAnsi"/>
                <w:i/>
                <w:iCs/>
                <w:lang w:val="en-GB"/>
              </w:rPr>
              <w:t>Decreased water, nutrients</w:t>
            </w:r>
            <w:proofErr w:type="gramStart"/>
            <w:r w:rsidRPr="006B5D7C">
              <w:rPr>
                <w:rFonts w:cstheme="minorHAnsi"/>
                <w:i/>
                <w:iCs/>
                <w:lang w:val="en-GB"/>
              </w:rPr>
              <w:t>”</w:t>
            </w:r>
            <w:r w:rsidR="00BE7517" w:rsidRPr="006B5D7C">
              <w:rPr>
                <w:rFonts w:cstheme="minorHAnsi"/>
                <w:i/>
                <w:iCs/>
                <w:lang w:val="en-GB"/>
              </w:rPr>
              <w:t xml:space="preserve"> ”</w:t>
            </w:r>
            <w:r w:rsidR="00BE7517" w:rsidRPr="006B5D7C">
              <w:rPr>
                <w:rFonts w:cstheme="minorHAnsi"/>
                <w:i/>
                <w:iCs/>
                <w:lang w:val="en-GB"/>
              </w:rPr>
              <w:t>resources</w:t>
            </w:r>
            <w:proofErr w:type="gramEnd"/>
            <w:r w:rsidR="00BE7517" w:rsidRPr="006B5D7C">
              <w:rPr>
                <w:rFonts w:cstheme="minorHAnsi"/>
                <w:i/>
                <w:iCs/>
                <w:lang w:val="en-GB"/>
              </w:rPr>
              <w:t xml:space="preserve"> efficient and sustainable (in terms of water use</w:t>
            </w:r>
            <w:r w:rsidR="00BE7517" w:rsidRPr="006B5D7C">
              <w:rPr>
                <w:rFonts w:cstheme="minorHAnsi"/>
                <w:i/>
                <w:iCs/>
                <w:lang w:val="en-GB"/>
              </w:rPr>
              <w:t>”</w:t>
            </w:r>
          </w:p>
          <w:p w14:paraId="7BBC0F69" w14:textId="77777777" w:rsidR="00203CE8" w:rsidRPr="006B5D7C" w:rsidRDefault="00203CE8" w:rsidP="007222B7">
            <w:pPr>
              <w:numPr>
                <w:ilvl w:val="0"/>
                <w:numId w:val="1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Sustainable water sourcing:</w:t>
            </w:r>
            <w:r w:rsidRPr="006B5D7C">
              <w:rPr>
                <w:rFonts w:cstheme="minorHAnsi"/>
                <w:lang w:val="en-GB"/>
              </w:rPr>
              <w:t> Collaborate with project partners to explore sustainable water sources for microalgae cultivation, such as treated wastewater or brackish water, minimizing freshwater consumption.</w:t>
            </w:r>
          </w:p>
          <w:p w14:paraId="78A8309E" w14:textId="77777777" w:rsidR="00203CE8" w:rsidRPr="006B5D7C" w:rsidRDefault="00203CE8" w:rsidP="007222B7">
            <w:pPr>
              <w:numPr>
                <w:ilvl w:val="0"/>
                <w:numId w:val="1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Water treatment and recycling:</w:t>
            </w:r>
            <w:r w:rsidRPr="006B5D7C">
              <w:rPr>
                <w:rFonts w:cstheme="minorHAnsi"/>
                <w:lang w:val="en-GB"/>
              </w:rPr>
              <w:t> Design and implement systems for treating and recycling water used in the microalgae cultivation process, reducing overall water requirements and wastewater generation.</w:t>
            </w:r>
          </w:p>
          <w:p w14:paraId="7C924889" w14:textId="77777777" w:rsidR="00606938" w:rsidRPr="006B5D7C" w:rsidRDefault="00606938" w:rsidP="007222B7">
            <w:pPr>
              <w:contextualSpacing/>
              <w:rPr>
                <w:rFonts w:cstheme="minorHAnsi"/>
                <w:b/>
                <w:bCs/>
                <w:lang w:val="en-GB"/>
              </w:rPr>
            </w:pPr>
          </w:p>
          <w:p w14:paraId="675E18CE" w14:textId="4B64FEDD" w:rsidR="00203CE8" w:rsidRPr="006B5D7C" w:rsidRDefault="00203CE8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Sustainability Considerations:</w:t>
            </w:r>
            <w:r w:rsidRPr="006B5D7C">
              <w:rPr>
                <w:rFonts w:cstheme="minorHAnsi"/>
                <w:lang w:val="en-GB"/>
              </w:rPr>
              <w:t xml:space="preserve"> TEDAGUA's commitment to </w:t>
            </w:r>
            <w:r w:rsidRPr="006B5D7C">
              <w:rPr>
                <w:rFonts w:cstheme="minorHAnsi"/>
                <w:b/>
                <w:bCs/>
                <w:lang w:val="en-GB"/>
              </w:rPr>
              <w:t>sustainable practices</w:t>
            </w:r>
            <w:r w:rsidRPr="006B5D7C">
              <w:rPr>
                <w:rFonts w:cstheme="minorHAnsi"/>
                <w:lang w:val="en-GB"/>
              </w:rPr>
              <w:t xml:space="preserve"> aligns with the project's goals and could contribute to:</w:t>
            </w:r>
          </w:p>
          <w:p w14:paraId="00E2E3A9" w14:textId="77777777" w:rsidR="00203CE8" w:rsidRPr="006B5D7C" w:rsidRDefault="00203CE8" w:rsidP="007222B7">
            <w:pPr>
              <w:numPr>
                <w:ilvl w:val="0"/>
                <w:numId w:val="19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lastRenderedPageBreak/>
              <w:t>Circular Economy Strategies:</w:t>
            </w:r>
            <w:r w:rsidRPr="006B5D7C">
              <w:rPr>
                <w:rFonts w:cstheme="minorHAnsi"/>
                <w:lang w:val="en-GB"/>
              </w:rPr>
              <w:t> Exploring opportunities for integrating circular economy principles into the process, such as using nutrients recovered from digestate (byproduct of anaerobic digestion) as fertilizer for microalgae growth.</w:t>
            </w:r>
          </w:p>
          <w:p w14:paraId="55AE6BC6" w14:textId="77777777" w:rsidR="00A21E7F" w:rsidRPr="006B5D7C" w:rsidRDefault="00A21E7F" w:rsidP="007222B7">
            <w:pPr>
              <w:contextualSpacing/>
              <w:rPr>
                <w:rFonts w:cstheme="minorHAnsi"/>
                <w:lang w:val="en-GB"/>
              </w:rPr>
            </w:pPr>
          </w:p>
        </w:tc>
      </w:tr>
    </w:tbl>
    <w:p w14:paraId="1756F340" w14:textId="77777777" w:rsidR="00A21E7F" w:rsidRPr="006B5D7C" w:rsidRDefault="00A21E7F" w:rsidP="007222B7">
      <w:pPr>
        <w:spacing w:after="0" w:line="240" w:lineRule="auto"/>
        <w:contextualSpacing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5943" w:rsidRPr="006B5D7C" w14:paraId="5CC1CE4F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78FEA9B7" w14:textId="77777777" w:rsidR="00585943" w:rsidRPr="006B5D7C" w:rsidRDefault="00585943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HORIZON-JU-CBE-2024-IA-04 Circular and </w:t>
            </w:r>
            <w:proofErr w:type="spellStart"/>
            <w:r w:rsidRPr="006B5D7C">
              <w:rPr>
                <w:rFonts w:cstheme="minorHAnsi"/>
                <w:lang w:val="en-GB"/>
              </w:rPr>
              <w:t>SSbD</w:t>
            </w:r>
            <w:proofErr w:type="spellEnd"/>
            <w:r w:rsidRPr="006B5D7C">
              <w:rPr>
                <w:rFonts w:cstheme="minorHAnsi"/>
                <w:lang w:val="en-GB"/>
              </w:rPr>
              <w:t xml:space="preserve"> bio-based construction &amp; building materials with functional properties</w:t>
            </w:r>
          </w:p>
        </w:tc>
      </w:tr>
      <w:tr w:rsidR="00585943" w:rsidRPr="006B5D7C" w14:paraId="6126C6AC" w14:textId="77777777" w:rsidTr="00694DBA">
        <w:tc>
          <w:tcPr>
            <w:tcW w:w="10456" w:type="dxa"/>
          </w:tcPr>
          <w:p w14:paraId="12149E38" w14:textId="77777777" w:rsidR="00585943" w:rsidRPr="006B5D7C" w:rsidRDefault="00585943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Innovation Action-Flagship</w:t>
            </w:r>
          </w:p>
          <w:p w14:paraId="3C0684F0" w14:textId="77777777" w:rsidR="00585943" w:rsidRPr="006B5D7C" w:rsidRDefault="00585943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total indicative budget for the topic is EUR 7.5 million</w:t>
            </w:r>
          </w:p>
        </w:tc>
      </w:tr>
      <w:tr w:rsidR="00585943" w:rsidRPr="006B5D7C" w14:paraId="424CDF58" w14:textId="77777777" w:rsidTr="00694DBA">
        <w:tc>
          <w:tcPr>
            <w:tcW w:w="10456" w:type="dxa"/>
          </w:tcPr>
          <w:p w14:paraId="578D1170" w14:textId="7578C082" w:rsidR="003504AC" w:rsidRPr="006B5D7C" w:rsidRDefault="003504AC" w:rsidP="007222B7">
            <w:pPr>
              <w:contextualSpacing/>
              <w:rPr>
                <w:rFonts w:cstheme="minorHAnsi"/>
                <w:i/>
                <w:iCs/>
                <w:lang w:val="en-GB"/>
              </w:rPr>
            </w:pPr>
            <w:r w:rsidRPr="006B5D7C">
              <w:rPr>
                <w:rFonts w:cstheme="minorHAnsi"/>
                <w:i/>
                <w:iCs/>
                <w:lang w:val="en-GB"/>
              </w:rPr>
              <w:t>“</w:t>
            </w:r>
            <w:r w:rsidRPr="006B5D7C">
              <w:rPr>
                <w:rFonts w:cstheme="minorHAnsi"/>
                <w:i/>
                <w:iCs/>
                <w:lang w:val="en-GB"/>
              </w:rPr>
              <w:t xml:space="preserve">Examples of target functionalities include water </w:t>
            </w:r>
            <w:proofErr w:type="gramStart"/>
            <w:r w:rsidRPr="006B5D7C">
              <w:rPr>
                <w:rFonts w:cstheme="minorHAnsi"/>
                <w:i/>
                <w:iCs/>
                <w:lang w:val="en-GB"/>
              </w:rPr>
              <w:t>barrier</w:t>
            </w:r>
            <w:r w:rsidRPr="006B5D7C">
              <w:rPr>
                <w:rFonts w:cstheme="minorHAnsi"/>
                <w:i/>
                <w:iCs/>
                <w:lang w:val="en-GB"/>
              </w:rPr>
              <w:t>”</w:t>
            </w:r>
            <w:proofErr w:type="gramEnd"/>
          </w:p>
          <w:p w14:paraId="5A0183F7" w14:textId="496CCFCF" w:rsidR="00585943" w:rsidRPr="006B5D7C" w:rsidRDefault="00585943" w:rsidP="007222B7">
            <w:pPr>
              <w:numPr>
                <w:ilvl w:val="0"/>
                <w:numId w:val="14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 xml:space="preserve">Testing and validating bio-based materials in real-world </w:t>
            </w:r>
            <w:r w:rsidR="005F5655" w:rsidRPr="006B5D7C">
              <w:rPr>
                <w:rFonts w:cstheme="minorHAnsi"/>
                <w:b/>
                <w:bCs/>
                <w:lang w:val="en-GB"/>
              </w:rPr>
              <w:t xml:space="preserve">water </w:t>
            </w:r>
            <w:r w:rsidRPr="006B5D7C">
              <w:rPr>
                <w:rFonts w:cstheme="minorHAnsi"/>
                <w:b/>
                <w:bCs/>
                <w:lang w:val="en-GB"/>
              </w:rPr>
              <w:t>construction settings.</w:t>
            </w:r>
            <w:r w:rsidRPr="006B5D7C">
              <w:rPr>
                <w:rFonts w:cstheme="minorHAnsi"/>
                <w:lang w:val="en-GB"/>
              </w:rPr>
              <w:t> This allows for practical evaluation of durability, performance, and compatibility with existing infrastructure under specific environmental conditions.</w:t>
            </w:r>
          </w:p>
          <w:p w14:paraId="5E2165D7" w14:textId="77777777" w:rsidR="00585943" w:rsidRPr="006B5D7C" w:rsidRDefault="00585943" w:rsidP="007222B7">
            <w:pPr>
              <w:contextualSpacing/>
              <w:rPr>
                <w:rFonts w:cstheme="minorHAnsi"/>
                <w:lang w:val="en-GB"/>
              </w:rPr>
            </w:pPr>
          </w:p>
        </w:tc>
      </w:tr>
    </w:tbl>
    <w:p w14:paraId="1B1E6B14" w14:textId="77777777" w:rsidR="00585943" w:rsidRPr="006B5D7C" w:rsidRDefault="00585943" w:rsidP="007222B7">
      <w:pPr>
        <w:spacing w:after="0" w:line="240" w:lineRule="auto"/>
        <w:contextualSpacing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1E6E" w:rsidRPr="006B5D7C" w14:paraId="09F15560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540CCBC0" w14:textId="77777777" w:rsidR="00C81E6E" w:rsidRPr="006B5D7C" w:rsidRDefault="00C81E6E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HORIZON-JU-CBE-2024-IA-07 Innovative conversion of biogenic gaseous carbon into bio-based chemicals, ingredients, materials</w:t>
            </w:r>
          </w:p>
        </w:tc>
      </w:tr>
      <w:tr w:rsidR="00C81E6E" w:rsidRPr="006B5D7C" w14:paraId="0E94839D" w14:textId="77777777" w:rsidTr="00694DBA">
        <w:tc>
          <w:tcPr>
            <w:tcW w:w="10456" w:type="dxa"/>
          </w:tcPr>
          <w:p w14:paraId="0A650870" w14:textId="77777777" w:rsidR="00C81E6E" w:rsidRPr="006B5D7C" w:rsidRDefault="00C81E6E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Innovation Action-Flagship</w:t>
            </w:r>
          </w:p>
          <w:p w14:paraId="61016BE1" w14:textId="77777777" w:rsidR="00C81E6E" w:rsidRPr="006B5D7C" w:rsidRDefault="00C81E6E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total indicative budget for the topic is EUR 7.5 million</w:t>
            </w:r>
          </w:p>
        </w:tc>
      </w:tr>
      <w:tr w:rsidR="00C81E6E" w:rsidRPr="006B5D7C" w14:paraId="37F6CDDA" w14:textId="77777777" w:rsidTr="00694DBA">
        <w:tc>
          <w:tcPr>
            <w:tcW w:w="10456" w:type="dxa"/>
          </w:tcPr>
          <w:p w14:paraId="2493C567" w14:textId="72DF4F67" w:rsidR="00716B87" w:rsidRPr="006B5D7C" w:rsidRDefault="000117A3" w:rsidP="00716B87">
            <w:pPr>
              <w:rPr>
                <w:rFonts w:cstheme="minorHAnsi"/>
                <w:i/>
                <w:iCs/>
                <w:lang w:val="en-GB"/>
              </w:rPr>
            </w:pPr>
            <w:r w:rsidRPr="006B5D7C">
              <w:rPr>
                <w:rFonts w:cstheme="minorHAnsi"/>
                <w:i/>
                <w:iCs/>
                <w:lang w:val="en-GB"/>
              </w:rPr>
              <w:t>“</w:t>
            </w:r>
            <w:proofErr w:type="gramStart"/>
            <w:r w:rsidRPr="006B5D7C">
              <w:rPr>
                <w:rFonts w:cstheme="minorHAnsi"/>
                <w:i/>
                <w:iCs/>
                <w:lang w:val="en-GB"/>
              </w:rPr>
              <w:t>gaseous</w:t>
            </w:r>
            <w:proofErr w:type="gramEnd"/>
            <w:r w:rsidRPr="006B5D7C">
              <w:rPr>
                <w:rFonts w:cstheme="minorHAnsi"/>
                <w:i/>
                <w:iCs/>
                <w:lang w:val="en-GB"/>
              </w:rPr>
              <w:t xml:space="preserve"> emissions from biomass-based systems and industrial biorefineries</w:t>
            </w:r>
            <w:r w:rsidRPr="006B5D7C">
              <w:rPr>
                <w:rFonts w:cstheme="minorHAnsi"/>
                <w:i/>
                <w:iCs/>
                <w:lang w:val="en-GB"/>
              </w:rPr>
              <w:t xml:space="preserve">” </w:t>
            </w:r>
            <w:r w:rsidR="00716B87" w:rsidRPr="006B5D7C">
              <w:rPr>
                <w:rFonts w:cstheme="minorHAnsi"/>
                <w:i/>
                <w:iCs/>
                <w:lang w:val="en-GB"/>
              </w:rPr>
              <w:t>“</w:t>
            </w:r>
            <w:r w:rsidR="00716B87" w:rsidRPr="006B5D7C">
              <w:rPr>
                <w:rFonts w:cstheme="minorHAnsi"/>
                <w:i/>
                <w:iCs/>
                <w:lang w:val="en-GB"/>
              </w:rPr>
              <w:t>recycle carbon from waste streams, from sustainable sources of biomass</w:t>
            </w:r>
            <w:r w:rsidR="00716B87" w:rsidRPr="006B5D7C">
              <w:rPr>
                <w:rFonts w:cstheme="minorHAnsi"/>
                <w:i/>
                <w:iCs/>
                <w:lang w:val="en-GB"/>
              </w:rPr>
              <w:t>”</w:t>
            </w:r>
          </w:p>
          <w:p w14:paraId="0A91056F" w14:textId="5408C7E6" w:rsidR="00504711" w:rsidRPr="006B5D7C" w:rsidRDefault="00504711" w:rsidP="007222B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Biogas: The project description clearly states that "biogenic gaseous carbon from bio-based systems and biorefineries" is a suitable feedstock. Biogas from wastewater treatment plants (WWTPs) falls under this category, making it relevant for the project.</w:t>
            </w:r>
          </w:p>
          <w:p w14:paraId="171A0D8A" w14:textId="77777777" w:rsidR="004721F1" w:rsidRPr="006B5D7C" w:rsidRDefault="004721F1" w:rsidP="007222B7">
            <w:pPr>
              <w:contextualSpacing/>
              <w:rPr>
                <w:rFonts w:cstheme="minorHAnsi"/>
                <w:lang w:val="en-GB"/>
              </w:rPr>
            </w:pPr>
          </w:p>
          <w:p w14:paraId="571FC474" w14:textId="2CECE500" w:rsidR="00504711" w:rsidRPr="006B5D7C" w:rsidRDefault="00504711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topic description excludes "</w:t>
            </w:r>
            <w:r w:rsidRPr="006B5D7C">
              <w:rPr>
                <w:rFonts w:cstheme="minorHAnsi"/>
                <w:i/>
                <w:iCs/>
                <w:lang w:val="en-GB"/>
              </w:rPr>
              <w:t>biogenic gaseous carbon emissions from plants dedicated to the production of bioenergy from biomass combustion and from syngas."</w:t>
            </w:r>
            <w:r w:rsidRPr="006B5D7C">
              <w:rPr>
                <w:rFonts w:cstheme="minorHAnsi"/>
                <w:lang w:val="en-GB"/>
              </w:rPr>
              <w:t xml:space="preserve"> </w:t>
            </w:r>
          </w:p>
          <w:p w14:paraId="7E97AEBE" w14:textId="77777777" w:rsidR="004721F1" w:rsidRPr="006B5D7C" w:rsidRDefault="004721F1" w:rsidP="007222B7">
            <w:pPr>
              <w:contextualSpacing/>
              <w:rPr>
                <w:rFonts w:cstheme="minorHAnsi"/>
                <w:lang w:val="en-GB"/>
              </w:rPr>
            </w:pPr>
          </w:p>
          <w:p w14:paraId="424590AB" w14:textId="77777777" w:rsidR="00C81E6E" w:rsidRPr="006B5D7C" w:rsidRDefault="000A26CF" w:rsidP="000A26CF">
            <w:pPr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We think that syngas from sludge is in scope because the exclusion focuses on capturing the </w:t>
            </w:r>
            <w:r w:rsidRPr="006B5D7C">
              <w:rPr>
                <w:rFonts w:cstheme="minorHAnsi"/>
                <w:u w:val="single"/>
                <w:lang w:val="en-GB"/>
              </w:rPr>
              <w:t>CO2 emissions</w:t>
            </w:r>
            <w:r w:rsidRPr="006B5D7C">
              <w:rPr>
                <w:rFonts w:cstheme="minorHAnsi"/>
                <w:lang w:val="en-GB"/>
              </w:rPr>
              <w:t xml:space="preserve"> generated after the syngas is used for bioenergy production.</w:t>
            </w:r>
          </w:p>
          <w:p w14:paraId="7F5AF334" w14:textId="77777777" w:rsidR="00CF6F15" w:rsidRPr="006B5D7C" w:rsidRDefault="00CF6F15" w:rsidP="000A26CF">
            <w:pPr>
              <w:rPr>
                <w:rFonts w:cstheme="minorHAnsi"/>
                <w:lang w:val="en-GB"/>
              </w:rPr>
            </w:pPr>
          </w:p>
          <w:p w14:paraId="6C8C813D" w14:textId="1FACDC05" w:rsidR="00CF6F15" w:rsidRPr="006B5D7C" w:rsidRDefault="00F80A31" w:rsidP="00F80A3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Waste </w:t>
            </w:r>
            <w:proofErr w:type="gramStart"/>
            <w:r w:rsidRPr="006B5D7C">
              <w:rPr>
                <w:rFonts w:cstheme="minorHAnsi"/>
                <w:lang w:val="en-GB"/>
              </w:rPr>
              <w:t>Valorisation</w:t>
            </w:r>
            <w:r w:rsidRPr="006B5D7C">
              <w:rPr>
                <w:rFonts w:cstheme="minorHAnsi"/>
                <w:lang w:val="en-GB"/>
              </w:rPr>
              <w:t>:</w:t>
            </w:r>
            <w:proofErr w:type="gramEnd"/>
            <w:r w:rsidRPr="006B5D7C">
              <w:rPr>
                <w:rFonts w:cstheme="minorHAnsi"/>
                <w:lang w:val="en-GB"/>
              </w:rPr>
              <w:t xml:space="preserve"> utili</w:t>
            </w:r>
            <w:r w:rsidRPr="006B5D7C">
              <w:rPr>
                <w:rFonts w:cstheme="minorHAnsi"/>
                <w:lang w:val="en-GB"/>
              </w:rPr>
              <w:t>s</w:t>
            </w:r>
            <w:r w:rsidRPr="006B5D7C">
              <w:rPr>
                <w:rFonts w:cstheme="minorHAnsi"/>
                <w:lang w:val="en-GB"/>
              </w:rPr>
              <w:t>es waste (sludge) as a feedstock for generating syngas</w:t>
            </w:r>
            <w:r w:rsidR="00904392" w:rsidRPr="006B5D7C">
              <w:rPr>
                <w:rFonts w:cstheme="minorHAnsi"/>
                <w:lang w:val="en-GB"/>
              </w:rPr>
              <w:t xml:space="preserve"> using gasification</w:t>
            </w:r>
            <w:r w:rsidRPr="006B5D7C">
              <w:rPr>
                <w:rFonts w:cstheme="minorHAnsi"/>
                <w:lang w:val="en-GB"/>
              </w:rPr>
              <w:t>, promoting a circular bioeconomy approach.</w:t>
            </w:r>
          </w:p>
          <w:p w14:paraId="5C68B50E" w14:textId="6289298F" w:rsidR="005537EC" w:rsidRPr="006B5D7C" w:rsidRDefault="005537EC" w:rsidP="005537EC">
            <w:pPr>
              <w:pStyle w:val="ListParagraph"/>
              <w:rPr>
                <w:rFonts w:cstheme="minorHAnsi"/>
                <w:lang w:val="en-GB"/>
              </w:rPr>
            </w:pPr>
          </w:p>
        </w:tc>
      </w:tr>
    </w:tbl>
    <w:p w14:paraId="1EE2F327" w14:textId="77777777" w:rsidR="00585943" w:rsidRPr="006B5D7C" w:rsidRDefault="00585943" w:rsidP="007222B7">
      <w:pPr>
        <w:spacing w:after="0" w:line="240" w:lineRule="auto"/>
        <w:contextualSpacing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0BE9" w:rsidRPr="006B5D7C" w14:paraId="05307D2E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7B22E823" w14:textId="136E7EF0" w:rsidR="00D30BE9" w:rsidRPr="006B5D7C" w:rsidRDefault="00EE0E0F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HORIZON-JU-CBE-2024-RIA-04</w:t>
            </w:r>
            <w:r w:rsidRPr="006B5D7C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365AD4" w:rsidRPr="006B5D7C">
              <w:rPr>
                <w:rFonts w:cstheme="minorHAnsi"/>
                <w:lang w:val="en-GB"/>
              </w:rPr>
              <w:t>SSbD</w:t>
            </w:r>
            <w:proofErr w:type="spellEnd"/>
            <w:r w:rsidR="00365AD4" w:rsidRPr="006B5D7C">
              <w:rPr>
                <w:rFonts w:cstheme="minorHAnsi"/>
                <w:lang w:val="en-GB"/>
              </w:rPr>
              <w:t xml:space="preserve"> bio-based coating materials for applications under demanding and/or extreme conditions</w:t>
            </w:r>
          </w:p>
        </w:tc>
      </w:tr>
      <w:tr w:rsidR="00D30BE9" w:rsidRPr="006B5D7C" w14:paraId="52BE25B8" w14:textId="77777777" w:rsidTr="00694DBA">
        <w:tc>
          <w:tcPr>
            <w:tcW w:w="10456" w:type="dxa"/>
          </w:tcPr>
          <w:p w14:paraId="303F07EE" w14:textId="77777777" w:rsidR="00D30BE9" w:rsidRPr="006B5D7C" w:rsidRDefault="00D30BE9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Research and Innovation Action</w:t>
            </w:r>
          </w:p>
          <w:p w14:paraId="7D201477" w14:textId="77777777" w:rsidR="00D30BE9" w:rsidRPr="006B5D7C" w:rsidRDefault="00D30BE9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total indicative budget for the topic is EUR 5 million</w:t>
            </w:r>
          </w:p>
        </w:tc>
      </w:tr>
      <w:tr w:rsidR="00D30BE9" w:rsidRPr="006B5D7C" w14:paraId="1DEB184F" w14:textId="77777777" w:rsidTr="00694DBA">
        <w:tc>
          <w:tcPr>
            <w:tcW w:w="10456" w:type="dxa"/>
          </w:tcPr>
          <w:p w14:paraId="50475AB9" w14:textId="4823D31F" w:rsidR="00D727D9" w:rsidRPr="006B5D7C" w:rsidRDefault="00850BB1" w:rsidP="00D727D9">
            <w:pPr>
              <w:contextualSpacing/>
              <w:rPr>
                <w:rFonts w:cstheme="minorHAnsi"/>
                <w:i/>
                <w:iCs/>
                <w:lang w:val="en-GB"/>
              </w:rPr>
            </w:pPr>
            <w:r w:rsidRPr="006B5D7C">
              <w:rPr>
                <w:rFonts w:cstheme="minorHAnsi"/>
                <w:i/>
                <w:iCs/>
                <w:lang w:val="en-GB"/>
              </w:rPr>
              <w:t>“</w:t>
            </w:r>
            <w:proofErr w:type="gramStart"/>
            <w:r w:rsidRPr="006B5D7C">
              <w:rPr>
                <w:rFonts w:cstheme="minorHAnsi"/>
                <w:i/>
                <w:iCs/>
                <w:lang w:val="en-GB"/>
              </w:rPr>
              <w:t>performance</w:t>
            </w:r>
            <w:proofErr w:type="gramEnd"/>
            <w:r w:rsidRPr="006B5D7C">
              <w:rPr>
                <w:rFonts w:cstheme="minorHAnsi"/>
                <w:i/>
                <w:iCs/>
                <w:lang w:val="en-GB"/>
              </w:rPr>
              <w:t xml:space="preserve"> and functionality (e.g. anticorrosion</w:t>
            </w:r>
            <w:r w:rsidRPr="006B5D7C">
              <w:rPr>
                <w:rFonts w:cstheme="minorHAnsi"/>
                <w:i/>
                <w:iCs/>
                <w:lang w:val="en-GB"/>
              </w:rPr>
              <w:t xml:space="preserve">” </w:t>
            </w:r>
            <w:r w:rsidR="005406B3" w:rsidRPr="006B5D7C">
              <w:rPr>
                <w:rFonts w:cstheme="minorHAnsi"/>
                <w:i/>
                <w:iCs/>
                <w:lang w:val="en-GB"/>
              </w:rPr>
              <w:t>“</w:t>
            </w:r>
            <w:r w:rsidR="005406B3" w:rsidRPr="006B5D7C">
              <w:rPr>
                <w:rFonts w:cstheme="minorHAnsi"/>
                <w:i/>
                <w:iCs/>
                <w:lang w:val="en-GB"/>
              </w:rPr>
              <w:t>chemical agents</w:t>
            </w:r>
            <w:r w:rsidR="005406B3" w:rsidRPr="006B5D7C">
              <w:rPr>
                <w:rFonts w:cstheme="minorHAnsi"/>
                <w:i/>
                <w:iCs/>
                <w:lang w:val="en-GB"/>
              </w:rPr>
              <w:t>”</w:t>
            </w:r>
          </w:p>
          <w:p w14:paraId="12DC0651" w14:textId="17D48D8F" w:rsidR="00D30BE9" w:rsidRPr="006B5D7C" w:rsidRDefault="00D727D9" w:rsidP="00D727D9">
            <w:pPr>
              <w:numPr>
                <w:ilvl w:val="0"/>
                <w:numId w:val="16"/>
              </w:num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Desalination plants often operate under demanding conditions, such as exposure to saltwater, harsh chemicals, and extreme temperatures. The call specifically seeks coatings for such applications.</w:t>
            </w:r>
          </w:p>
        </w:tc>
      </w:tr>
    </w:tbl>
    <w:p w14:paraId="14A40A54" w14:textId="77777777" w:rsidR="00A21E7F" w:rsidRPr="006B5D7C" w:rsidRDefault="00A21E7F" w:rsidP="007222B7">
      <w:pPr>
        <w:spacing w:after="0" w:line="240" w:lineRule="auto"/>
        <w:contextualSpacing/>
        <w:rPr>
          <w:rFonts w:cstheme="minorHAnsi"/>
          <w:lang w:val="en-GB"/>
        </w:rPr>
      </w:pPr>
    </w:p>
    <w:p w14:paraId="1A4C3BE4" w14:textId="10764C18" w:rsidR="00E4232C" w:rsidRPr="006B5D7C" w:rsidRDefault="007A0521" w:rsidP="007A0521">
      <w:pPr>
        <w:pStyle w:val="Heading1"/>
        <w:rPr>
          <w:rFonts w:asciiTheme="minorHAnsi" w:hAnsiTheme="minorHAnsi"/>
          <w:lang w:val="en-GB"/>
        </w:rPr>
      </w:pPr>
      <w:proofErr w:type="spellStart"/>
      <w:r w:rsidRPr="007A0521">
        <w:rPr>
          <w:rStyle w:val="Heading1Char"/>
        </w:rPr>
        <w:t>Other</w:t>
      </w:r>
      <w:proofErr w:type="spellEnd"/>
      <w:r>
        <w:rPr>
          <w:lang w:val="en-GB"/>
        </w:rPr>
        <w:t xml:space="preserve"> calls</w:t>
      </w:r>
    </w:p>
    <w:p w14:paraId="548EED9D" w14:textId="23365C51" w:rsidR="00E4232C" w:rsidRPr="006B5D7C" w:rsidRDefault="00E4232C" w:rsidP="00E4232C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t>Research and Development of Own Technologies: This involves launching pilot projects at national or cross-border levels to test emerging technologies, focusing on sustainable water treatment</w:t>
      </w:r>
      <w:r w:rsidR="00FD35D2" w:rsidRPr="006B5D7C">
        <w:rPr>
          <w:rFonts w:cstheme="minorHAnsi"/>
          <w:lang w:val="en-GB"/>
        </w:rPr>
        <w:t xml:space="preserve">, </w:t>
      </w:r>
      <w:r w:rsidR="00AC385D" w:rsidRPr="006B5D7C">
        <w:rPr>
          <w:rFonts w:cstheme="minorHAnsi"/>
          <w:lang w:val="en-GB"/>
        </w:rPr>
        <w:t>circular economy, nutrient and metal recovery</w:t>
      </w:r>
      <w:r w:rsidRPr="006B5D7C">
        <w:rPr>
          <w:rFonts w:cstheme="minorHAnsi"/>
          <w:lang w:val="en-GB"/>
        </w:rPr>
        <w:t xml:space="preserve"> and energy generation from byproducts.</w:t>
      </w:r>
    </w:p>
    <w:p w14:paraId="0A3E8857" w14:textId="77777777" w:rsidR="00E4232C" w:rsidRPr="006B5D7C" w:rsidRDefault="00E4232C" w:rsidP="00E4232C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t>Experimentation with Reuse: It includes developing strategies to comply with regulations, developing systems to reuse water in households and agriculture, and evaluating contaminants in reused water.</w:t>
      </w:r>
    </w:p>
    <w:p w14:paraId="1C011F17" w14:textId="77777777" w:rsidR="00E4232C" w:rsidRPr="006B5D7C" w:rsidRDefault="00E4232C" w:rsidP="00E4232C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t>Exploration of Chemical and Thermal Uses of Water and Waste: This focuses on innovative and sustainable applications of water and waste, such as converting sludge into chemical energy.</w:t>
      </w:r>
    </w:p>
    <w:p w14:paraId="21333D1E" w14:textId="77777777" w:rsidR="00E4232C" w:rsidRPr="006B5D7C" w:rsidRDefault="00E4232C" w:rsidP="0066723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t>Optimization of Water Collection and Treatment: This includes initiatives to increase energy and operational efficiency in treatment plants, as well as the implementation of digital infrastructures and remote monitoring systems.</w:t>
      </w:r>
    </w:p>
    <w:p w14:paraId="630F1469" w14:textId="7CC15DAA" w:rsidR="00E4232C" w:rsidRPr="006B5D7C" w:rsidRDefault="00E4232C" w:rsidP="0066723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lastRenderedPageBreak/>
        <w:t>Assessment for Digital Transformation: This involves analysing existing infrastructure, selecting technologies for digitization, and gradually implementing a plan for the effective adoption of these technologies.</w:t>
      </w:r>
    </w:p>
    <w:p w14:paraId="699C5A6B" w14:textId="01E31736" w:rsidR="00E4232C" w:rsidRPr="006B5D7C" w:rsidRDefault="00E4232C" w:rsidP="00E4232C">
      <w:pPr>
        <w:spacing w:after="0" w:line="240" w:lineRule="auto"/>
        <w:rPr>
          <w:rFonts w:cstheme="minorHAnsi"/>
          <w:lang w:val="en-GB"/>
        </w:rPr>
      </w:pPr>
      <w:r w:rsidRPr="006B5D7C">
        <w:rPr>
          <w:rFonts w:cstheme="minorHAnsi"/>
          <w:lang w:val="en-GB"/>
        </w:rPr>
        <w:t>In the following calls:</w:t>
      </w:r>
    </w:p>
    <w:p w14:paraId="54B4B0A2" w14:textId="77777777" w:rsidR="00E4232C" w:rsidRPr="006B5D7C" w:rsidRDefault="00E4232C" w:rsidP="00E4232C">
      <w:pPr>
        <w:spacing w:after="0" w:line="240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6AD0" w:rsidRPr="006B5D7C" w14:paraId="3C200128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22FF6DB2" w14:textId="77777777" w:rsidR="00336AD0" w:rsidRPr="006B5D7C" w:rsidRDefault="00336AD0" w:rsidP="007222B7">
            <w:pPr>
              <w:contextualSpacing/>
              <w:rPr>
                <w:rFonts w:cstheme="minorHAnsi"/>
                <w:color w:val="000000"/>
                <w:lang w:val="en-GB"/>
              </w:rPr>
            </w:pPr>
            <w:r w:rsidRPr="006B5D7C">
              <w:rPr>
                <w:rFonts w:cstheme="minorHAnsi"/>
                <w:color w:val="000000"/>
                <w:lang w:val="en-GB"/>
              </w:rPr>
              <w:t xml:space="preserve">INTERREG-EUROPE: </w:t>
            </w:r>
            <w:hyperlink r:id="rId13" w:history="1">
              <w:r w:rsidRPr="006B5D7C">
                <w:rPr>
                  <w:rStyle w:val="Hyperlink"/>
                  <w:rFonts w:cstheme="minorHAnsi"/>
                  <w:lang w:val="en-GB"/>
                </w:rPr>
                <w:t>T</w:t>
              </w:r>
              <w:r w:rsidRPr="006B5D7C">
                <w:rPr>
                  <w:rStyle w:val="Hyperlink"/>
                  <w:rFonts w:cstheme="minorHAnsi"/>
                  <w:lang w:val="en-GB"/>
                </w:rPr>
                <w:t>h</w:t>
              </w:r>
              <w:r w:rsidRPr="006B5D7C">
                <w:rPr>
                  <w:rStyle w:val="Hyperlink"/>
                  <w:rFonts w:cstheme="minorHAnsi"/>
                  <w:lang w:val="en-GB"/>
                </w:rPr>
                <w:t>e third call application pack now available | Interreg Europe - Sharing solutions for better policy</w:t>
              </w:r>
            </w:hyperlink>
            <w:r w:rsidRPr="006B5D7C">
              <w:rPr>
                <w:rFonts w:cstheme="minorHAnsi"/>
                <w:color w:val="000000"/>
                <w:lang w:val="en-GB"/>
              </w:rPr>
              <w:br/>
            </w:r>
            <w:r w:rsidRPr="006B5D7C">
              <w:rPr>
                <w:rFonts w:cstheme="minorHAnsi"/>
                <w:u w:val="single"/>
                <w:lang w:val="en-GB"/>
              </w:rPr>
              <w:t>(v) Access to water and sustainable water management (vi) Circular and resource efficient economy</w:t>
            </w:r>
          </w:p>
        </w:tc>
      </w:tr>
      <w:tr w:rsidR="00336AD0" w:rsidRPr="006B5D7C" w14:paraId="6702BEFF" w14:textId="77777777" w:rsidTr="00254DCF">
        <w:tc>
          <w:tcPr>
            <w:tcW w:w="10456" w:type="dxa"/>
          </w:tcPr>
          <w:p w14:paraId="32D93DEA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will be open from 20 March to </w:t>
            </w:r>
            <w:r w:rsidRPr="006B5D7C">
              <w:rPr>
                <w:rFonts w:cstheme="minorHAnsi"/>
                <w:highlight w:val="yellow"/>
                <w:lang w:val="en-GB"/>
              </w:rPr>
              <w:t>7 June 2024</w:t>
            </w:r>
            <w:r w:rsidRPr="006B5D7C">
              <w:rPr>
                <w:rFonts w:cstheme="minorHAnsi"/>
                <w:lang w:val="en-GB"/>
              </w:rPr>
              <w:t xml:space="preserve"> (12:00 noon CEST - Paris time)</w:t>
            </w:r>
          </w:p>
          <w:p w14:paraId="53290071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average total budget per project is 1-2 MEUR: EU member state partners receive up to 70% of project activities;</w:t>
            </w:r>
          </w:p>
        </w:tc>
      </w:tr>
    </w:tbl>
    <w:p w14:paraId="16BFED5E" w14:textId="77777777" w:rsidR="00336AD0" w:rsidRPr="006B5D7C" w:rsidRDefault="00336AD0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6AD0" w:rsidRPr="006B5D7C" w14:paraId="4EFB4A53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5C01E000" w14:textId="77777777" w:rsidR="00336AD0" w:rsidRPr="006B5D7C" w:rsidRDefault="00336AD0" w:rsidP="007222B7">
            <w:pPr>
              <w:contextualSpacing/>
              <w:rPr>
                <w:rFonts w:cstheme="minorHAnsi"/>
                <w:color w:val="000000"/>
                <w:lang w:val="en-GB"/>
              </w:rPr>
            </w:pPr>
            <w:r w:rsidRPr="006B5D7C">
              <w:rPr>
                <w:rFonts w:cstheme="minorHAnsi"/>
                <w:color w:val="000000"/>
                <w:lang w:val="en-GB"/>
              </w:rPr>
              <w:t xml:space="preserve">INTERREG-SUDOE </w:t>
            </w:r>
            <w:hyperlink r:id="rId14" w:history="1">
              <w:r w:rsidRPr="006B5D7C">
                <w:rPr>
                  <w:rStyle w:val="Hyperlink"/>
                  <w:rFonts w:cstheme="minorHAnsi"/>
                  <w:lang w:val="en-GB"/>
                </w:rPr>
                <w:t xml:space="preserve">V </w:t>
              </w:r>
              <w:proofErr w:type="spellStart"/>
              <w:r w:rsidRPr="006B5D7C">
                <w:rPr>
                  <w:rStyle w:val="Hyperlink"/>
                  <w:rFonts w:cstheme="minorHAnsi"/>
                  <w:lang w:val="en-GB"/>
                </w:rPr>
                <w:t>Sudoe</w:t>
              </w:r>
              <w:proofErr w:type="spellEnd"/>
              <w:r w:rsidRPr="006B5D7C">
                <w:rPr>
                  <w:rStyle w:val="Hyperlink"/>
                  <w:rFonts w:cstheme="minorHAnsi"/>
                  <w:lang w:val="en-GB"/>
                </w:rPr>
                <w:t xml:space="preserve"> Interreg - In</w:t>
              </w:r>
              <w:r w:rsidRPr="006B5D7C">
                <w:rPr>
                  <w:rStyle w:val="Hyperlink"/>
                  <w:rFonts w:cstheme="minorHAnsi"/>
                  <w:lang w:val="en-GB"/>
                </w:rPr>
                <w:t>t</w:t>
              </w:r>
              <w:r w:rsidRPr="006B5D7C">
                <w:rPr>
                  <w:rStyle w:val="Hyperlink"/>
                  <w:rFonts w:cstheme="minorHAnsi"/>
                  <w:lang w:val="en-GB"/>
                </w:rPr>
                <w:t xml:space="preserve">erreg Program </w:t>
              </w:r>
              <w:proofErr w:type="spellStart"/>
              <w:r w:rsidRPr="006B5D7C">
                <w:rPr>
                  <w:rStyle w:val="Hyperlink"/>
                  <w:rFonts w:cstheme="minorHAnsi"/>
                  <w:lang w:val="en-GB"/>
                </w:rPr>
                <w:t>Sudoe</w:t>
              </w:r>
              <w:proofErr w:type="spellEnd"/>
              <w:r w:rsidRPr="006B5D7C">
                <w:rPr>
                  <w:rStyle w:val="Hyperlink"/>
                  <w:rFonts w:cstheme="minorHAnsi"/>
                  <w:lang w:val="en-GB"/>
                </w:rPr>
                <w:t xml:space="preserve"> - The </w:t>
              </w:r>
              <w:proofErr w:type="spellStart"/>
              <w:r w:rsidRPr="006B5D7C">
                <w:rPr>
                  <w:rStyle w:val="Hyperlink"/>
                  <w:rFonts w:cstheme="minorHAnsi"/>
                  <w:lang w:val="en-GB"/>
                </w:rPr>
                <w:t>Sudoe</w:t>
              </w:r>
              <w:proofErr w:type="spellEnd"/>
              <w:r w:rsidRPr="006B5D7C">
                <w:rPr>
                  <w:rStyle w:val="Hyperlink"/>
                  <w:rFonts w:cstheme="minorHAnsi"/>
                  <w:lang w:val="en-GB"/>
                </w:rPr>
                <w:t xml:space="preserve"> Programme (interreg-sudoe.eu)</w:t>
              </w:r>
            </w:hyperlink>
          </w:p>
        </w:tc>
      </w:tr>
      <w:tr w:rsidR="00336AD0" w:rsidRPr="006B5D7C" w14:paraId="3C0F4169" w14:textId="77777777" w:rsidTr="00254DCF">
        <w:tc>
          <w:tcPr>
            <w:tcW w:w="10456" w:type="dxa"/>
          </w:tcPr>
          <w:p w14:paraId="195F2254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proofErr w:type="gramStart"/>
            <w:r w:rsidRPr="006B5D7C">
              <w:rPr>
                <w:rFonts w:cstheme="minorHAnsi"/>
                <w:lang w:val="en-GB"/>
              </w:rPr>
              <w:t>SO</w:t>
            </w:r>
            <w:proofErr w:type="gramEnd"/>
            <w:r w:rsidRPr="006B5D7C">
              <w:rPr>
                <w:rFonts w:cstheme="minorHAnsi"/>
                <w:lang w:val="en-GB"/>
              </w:rPr>
              <w:t xml:space="preserve"> 2.5 Promoting access to water and sustainable water management (15 M€)</w:t>
            </w:r>
          </w:p>
          <w:p w14:paraId="71B4B1A0" w14:textId="24276BD2" w:rsidR="00336AD0" w:rsidRPr="006B5D7C" w:rsidRDefault="004F05ED" w:rsidP="007222B7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 xml:space="preserve">31 </w:t>
            </w:r>
            <w:proofErr w:type="spellStart"/>
            <w:r w:rsidRPr="006B5D7C">
              <w:rPr>
                <w:rFonts w:cstheme="minorHAnsi"/>
              </w:rPr>
              <w:t>may</w:t>
            </w:r>
            <w:proofErr w:type="spellEnd"/>
            <w:r w:rsidRPr="006B5D7C">
              <w:rPr>
                <w:rFonts w:cstheme="minorHAnsi"/>
              </w:rPr>
              <w:t xml:space="preserve"> 2024 a las 12:00 horas</w:t>
            </w:r>
          </w:p>
        </w:tc>
      </w:tr>
    </w:tbl>
    <w:p w14:paraId="27E28039" w14:textId="77777777" w:rsidR="00336AD0" w:rsidRPr="006B5D7C" w:rsidRDefault="00336AD0" w:rsidP="007222B7">
      <w:pPr>
        <w:spacing w:after="0" w:line="240" w:lineRule="auto"/>
        <w:contextualSpacing/>
        <w:rPr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6AD0" w:rsidRPr="006B5D7C" w14:paraId="276C082A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79929F77" w14:textId="77777777" w:rsidR="00336AD0" w:rsidRDefault="00336AD0" w:rsidP="007222B7">
            <w:pPr>
              <w:contextualSpacing/>
              <w:rPr>
                <w:rStyle w:val="Hyperlink"/>
                <w:rFonts w:cstheme="minorHAnsi"/>
                <w:lang w:val="en-GB"/>
              </w:rPr>
            </w:pPr>
            <w:r w:rsidRPr="006B5D7C">
              <w:rPr>
                <w:rFonts w:cstheme="minorHAnsi"/>
                <w:color w:val="000000"/>
                <w:lang w:val="en-GB"/>
              </w:rPr>
              <w:t xml:space="preserve">LIFE-2023-STRAT-ENV-SIP </w:t>
            </w:r>
            <w:hyperlink r:id="rId15" w:history="1">
              <w:r w:rsidRPr="006B5D7C">
                <w:rPr>
                  <w:rStyle w:val="Hyperlink"/>
                  <w:rFonts w:cstheme="minorHAnsi"/>
                  <w:lang w:val="en-GB"/>
                </w:rPr>
                <w:t>What’s new for LIFE in 2024 - European Commission (europa.eu)</w:t>
              </w:r>
            </w:hyperlink>
          </w:p>
          <w:p w14:paraId="375DE020" w14:textId="791BF606" w:rsidR="001D1032" w:rsidRPr="006B5D7C" w:rsidRDefault="001D1032" w:rsidP="007222B7">
            <w:pPr>
              <w:contextualSpacing/>
              <w:rPr>
                <w:rFonts w:cstheme="minorHAnsi"/>
                <w:color w:val="000000"/>
                <w:lang w:val="en-GB"/>
              </w:rPr>
            </w:pPr>
          </w:p>
        </w:tc>
      </w:tr>
      <w:tr w:rsidR="00336AD0" w:rsidRPr="006B5D7C" w14:paraId="46B8CF14" w14:textId="77777777" w:rsidTr="00254DCF">
        <w:tc>
          <w:tcPr>
            <w:tcW w:w="10456" w:type="dxa"/>
          </w:tcPr>
          <w:p w14:paraId="7681F33E" w14:textId="77777777" w:rsidR="00336AD0" w:rsidRPr="006B5D7C" w:rsidRDefault="00336AD0" w:rsidP="007222B7">
            <w:pPr>
              <w:contextualSpacing/>
              <w:rPr>
                <w:rFonts w:cstheme="minorHAnsi"/>
                <w:b/>
                <w:bCs/>
                <w:lang w:val="en-GB"/>
              </w:rPr>
            </w:pPr>
            <w:r w:rsidRPr="006B5D7C">
              <w:rPr>
                <w:rFonts w:cstheme="minorHAnsi"/>
                <w:b/>
                <w:bCs/>
                <w:lang w:val="en-GB"/>
              </w:rPr>
              <w:t>are expected to be published there on 18 April 2024</w:t>
            </w:r>
          </w:p>
          <w:p w14:paraId="725D965E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0076AC">
              <w:rPr>
                <w:rFonts w:cstheme="minorHAnsi"/>
                <w:b/>
                <w:bCs/>
                <w:highlight w:val="yellow"/>
                <w:lang w:val="en-GB"/>
              </w:rPr>
              <w:t>5 September 2024</w:t>
            </w:r>
            <w:r w:rsidRPr="006B5D7C">
              <w:rPr>
                <w:rFonts w:cstheme="minorHAnsi"/>
                <w:b/>
                <w:bCs/>
                <w:lang w:val="en-GB"/>
              </w:rPr>
              <w:t xml:space="preserve">: </w:t>
            </w:r>
            <w:r w:rsidRPr="006B5D7C">
              <w:rPr>
                <w:rFonts w:cstheme="minorHAnsi"/>
                <w:lang w:val="en-GB"/>
              </w:rPr>
              <w:t xml:space="preserve">This will be the last day to submit Concept Notes for Strategic Integrated Projects (SIP) and Strategic Nature Projects (SNAP), </w:t>
            </w:r>
            <w:proofErr w:type="gramStart"/>
            <w:r w:rsidRPr="006B5D7C">
              <w:rPr>
                <w:rFonts w:cstheme="minorHAnsi"/>
                <w:lang w:val="en-GB"/>
              </w:rPr>
              <w:t>and also</w:t>
            </w:r>
            <w:proofErr w:type="gramEnd"/>
            <w:r w:rsidRPr="006B5D7C">
              <w:rPr>
                <w:rFonts w:cstheme="minorHAnsi"/>
                <w:lang w:val="en-GB"/>
              </w:rPr>
              <w:t xml:space="preserve"> for Framework Partnership Agreements (FPA OG).</w:t>
            </w:r>
          </w:p>
          <w:p w14:paraId="0B5E964D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0076AC">
              <w:rPr>
                <w:rFonts w:cstheme="minorHAnsi"/>
                <w:b/>
                <w:bCs/>
                <w:highlight w:val="yellow"/>
                <w:lang w:val="en-GB"/>
              </w:rPr>
              <w:t>17 September 2024</w:t>
            </w:r>
            <w:r w:rsidRPr="006B5D7C">
              <w:rPr>
                <w:rFonts w:cstheme="minorHAnsi"/>
                <w:b/>
                <w:bCs/>
                <w:lang w:val="en-GB"/>
              </w:rPr>
              <w:t xml:space="preserve">: </w:t>
            </w:r>
            <w:r w:rsidRPr="006B5D7C">
              <w:rPr>
                <w:rFonts w:cstheme="minorHAnsi"/>
                <w:lang w:val="en-GB"/>
              </w:rPr>
              <w:t>This is the closing date for Standard Action Projects (SAP) to mitigate and adapt to climate change, and for Specific Operating Grant Agreements (SGA OG).</w:t>
            </w:r>
          </w:p>
        </w:tc>
      </w:tr>
    </w:tbl>
    <w:p w14:paraId="4E1DD1F8" w14:textId="77777777" w:rsidR="00336AD0" w:rsidRPr="006B5D7C" w:rsidRDefault="00336AD0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6928" w:rsidRPr="006B5D7C" w14:paraId="28B3CFEE" w14:textId="77777777" w:rsidTr="00254DCF">
        <w:tc>
          <w:tcPr>
            <w:tcW w:w="10456" w:type="dxa"/>
            <w:shd w:val="clear" w:color="auto" w:fill="A8D08D" w:themeFill="accent6" w:themeFillTint="99"/>
          </w:tcPr>
          <w:p w14:paraId="23E52471" w14:textId="77777777" w:rsidR="00616928" w:rsidRPr="006B5D7C" w:rsidRDefault="00616928" w:rsidP="00254DCF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HORIZON-CL3-2024-DRS-01-04: Hi-tech capacities for crisis response and recovery after a natural-technological (</w:t>
            </w:r>
            <w:proofErr w:type="spellStart"/>
            <w:r w:rsidRPr="006B5D7C">
              <w:rPr>
                <w:rFonts w:cstheme="minorHAnsi"/>
                <w:lang w:val="en-GB"/>
              </w:rPr>
              <w:t>NaTech</w:t>
            </w:r>
            <w:proofErr w:type="spellEnd"/>
            <w:r w:rsidRPr="006B5D7C">
              <w:rPr>
                <w:rFonts w:cstheme="minorHAnsi"/>
                <w:lang w:val="en-GB"/>
              </w:rPr>
              <w:t xml:space="preserve">) disaster </w:t>
            </w:r>
            <w:hyperlink r:id="rId16" w:history="1">
              <w:r w:rsidRPr="006B5D7C">
                <w:rPr>
                  <w:rStyle w:val="Hyperlink"/>
                  <w:rFonts w:cstheme="minorHAnsi"/>
                  <w:lang w:val="en-GB"/>
                </w:rPr>
                <w:t>Funding &amp; tenders (europa.eu)</w:t>
              </w:r>
            </w:hyperlink>
          </w:p>
        </w:tc>
      </w:tr>
      <w:tr w:rsidR="00616928" w:rsidRPr="006B5D7C" w14:paraId="51A7C0CE" w14:textId="77777777" w:rsidTr="00254DCF">
        <w:tc>
          <w:tcPr>
            <w:tcW w:w="10456" w:type="dxa"/>
          </w:tcPr>
          <w:p w14:paraId="153C9EE0" w14:textId="77777777" w:rsidR="00616928" w:rsidRPr="006B5D7C" w:rsidRDefault="00616928" w:rsidP="00254DCF">
            <w:pPr>
              <w:contextualSpacing/>
              <w:rPr>
                <w:rFonts w:cstheme="minorHAnsi"/>
                <w:lang w:val="en-GB"/>
              </w:rPr>
            </w:pPr>
            <w:r w:rsidRPr="000076AC">
              <w:rPr>
                <w:rFonts w:cstheme="minorHAnsi"/>
                <w:highlight w:val="yellow"/>
                <w:lang w:val="en-GB"/>
              </w:rPr>
              <w:t>20 November 2024</w:t>
            </w:r>
            <w:r w:rsidRPr="006B5D7C">
              <w:rPr>
                <w:rFonts w:cstheme="minorHAnsi"/>
                <w:lang w:val="en-GB"/>
              </w:rPr>
              <w:t xml:space="preserve"> 17:00:00 Brussels time</w:t>
            </w:r>
          </w:p>
        </w:tc>
      </w:tr>
      <w:tr w:rsidR="00616928" w:rsidRPr="006B5D7C" w14:paraId="6E43CC69" w14:textId="77777777" w:rsidTr="00254DCF">
        <w:tc>
          <w:tcPr>
            <w:tcW w:w="10456" w:type="dxa"/>
          </w:tcPr>
          <w:p w14:paraId="2B9C78FA" w14:textId="77777777" w:rsidR="00616928" w:rsidRPr="006B5D7C" w:rsidRDefault="00616928" w:rsidP="00254DCF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In the aftermath of a crisis, critical infrastructure like traditional water treatment plants might be damaged or disrupted. </w:t>
            </w:r>
            <w:proofErr w:type="spellStart"/>
            <w:r w:rsidRPr="006B5D7C">
              <w:rPr>
                <w:rFonts w:cstheme="minorHAnsi"/>
                <w:lang w:val="en-GB"/>
              </w:rPr>
              <w:t>Tedagua's</w:t>
            </w:r>
            <w:proofErr w:type="spellEnd"/>
            <w:r w:rsidRPr="006B5D7C">
              <w:rPr>
                <w:rFonts w:cstheme="minorHAnsi"/>
                <w:lang w:val="en-GB"/>
              </w:rPr>
              <w:t xml:space="preserve"> rapidly deployable containerized units can provide an emergency water supply solution for affected communities.</w:t>
            </w:r>
          </w:p>
          <w:p w14:paraId="2CD9D601" w14:textId="77777777" w:rsidR="00616928" w:rsidRPr="006B5D7C" w:rsidRDefault="00616928" w:rsidP="00254DCF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The company can offer technical assistance and expertise in setting up and operating these units, ensuring safe and reliable access to clean water during the crisis.</w:t>
            </w:r>
          </w:p>
          <w:p w14:paraId="3BF3AD45" w14:textId="77777777" w:rsidR="00616928" w:rsidRPr="006B5D7C" w:rsidRDefault="00616928" w:rsidP="00254DCF">
            <w:pPr>
              <w:contextualSpacing/>
              <w:rPr>
                <w:rFonts w:cstheme="minorHAnsi"/>
                <w:lang w:val="en-GB"/>
              </w:rPr>
            </w:pPr>
            <w:proofErr w:type="spellStart"/>
            <w:r w:rsidRPr="006B5D7C">
              <w:rPr>
                <w:rFonts w:cstheme="minorHAnsi"/>
                <w:lang w:val="en-GB"/>
              </w:rPr>
              <w:t>Tedagua's</w:t>
            </w:r>
            <w:proofErr w:type="spellEnd"/>
            <w:r w:rsidRPr="006B5D7C">
              <w:rPr>
                <w:rFonts w:cstheme="minorHAnsi"/>
                <w:lang w:val="en-GB"/>
              </w:rPr>
              <w:t xml:space="preserve"> containerized units can be equipped with pre-treatment systems specifically designed to handle contaminants such as volcanic ash and other.</w:t>
            </w:r>
          </w:p>
          <w:p w14:paraId="0E4AFFCB" w14:textId="77777777" w:rsidR="00616928" w:rsidRPr="006B5D7C" w:rsidRDefault="00616928" w:rsidP="00254DCF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This allows for desalinating even ash-affected seawater and providing a reliable source of clean water for critical needs like drinking, sanitation, and healthcare.</w:t>
            </w:r>
          </w:p>
        </w:tc>
      </w:tr>
    </w:tbl>
    <w:p w14:paraId="6F5D8E1A" w14:textId="77777777" w:rsidR="00616928" w:rsidRPr="006B5D7C" w:rsidRDefault="00616928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6AD0" w:rsidRPr="006B5D7C" w14:paraId="33DC6BF5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690D0742" w14:textId="77777777" w:rsidR="00336AD0" w:rsidRPr="006B5D7C" w:rsidRDefault="00336AD0" w:rsidP="007222B7">
            <w:pPr>
              <w:contextualSpacing/>
              <w:rPr>
                <w:rFonts w:cstheme="minorHAnsi"/>
                <w:color w:val="000000"/>
                <w:lang w:val="en-GB"/>
              </w:rPr>
            </w:pPr>
            <w:r w:rsidRPr="006B5D7C">
              <w:rPr>
                <w:rFonts w:cstheme="minorHAnsi"/>
                <w:color w:val="000000"/>
                <w:lang w:val="en-GB"/>
              </w:rPr>
              <w:t xml:space="preserve">HORIZON-CL5-2024-D4-02-03 BIM-based processes and digital twins for facilitating and optimising circular energy renovation (Built4People Partnership) </w:t>
            </w:r>
            <w:hyperlink r:id="rId17" w:history="1">
              <w:r w:rsidRPr="006B5D7C">
                <w:rPr>
                  <w:rStyle w:val="Hyperlink"/>
                  <w:rFonts w:cstheme="minorHAnsi"/>
                  <w:lang w:val="en-GB"/>
                </w:rPr>
                <w:t>Funding &amp; tenders (europa.eu)</w:t>
              </w:r>
            </w:hyperlink>
          </w:p>
        </w:tc>
      </w:tr>
      <w:tr w:rsidR="00336AD0" w:rsidRPr="006B5D7C" w14:paraId="4D6FDEC7" w14:textId="77777777" w:rsidTr="00254DCF">
        <w:tc>
          <w:tcPr>
            <w:tcW w:w="10456" w:type="dxa"/>
          </w:tcPr>
          <w:p w14:paraId="2A266EF2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21 January 2025 17:00:00 Brussels time</w:t>
            </w:r>
          </w:p>
          <w:p w14:paraId="1F7B04B2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4 </w:t>
            </w:r>
            <w:proofErr w:type="gramStart"/>
            <w:r w:rsidRPr="006B5D7C">
              <w:rPr>
                <w:rFonts w:cstheme="minorHAnsi"/>
                <w:lang w:val="en-GB"/>
              </w:rPr>
              <w:t>millions</w:t>
            </w:r>
            <w:proofErr w:type="gramEnd"/>
          </w:p>
        </w:tc>
      </w:tr>
    </w:tbl>
    <w:p w14:paraId="1518FD19" w14:textId="77777777" w:rsidR="00336AD0" w:rsidRPr="006B5D7C" w:rsidRDefault="00336AD0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6AD0" w:rsidRPr="006B5D7C" w14:paraId="2ADEE70D" w14:textId="77777777" w:rsidTr="006846A6">
        <w:tc>
          <w:tcPr>
            <w:tcW w:w="10456" w:type="dxa"/>
            <w:shd w:val="clear" w:color="auto" w:fill="A8D08D" w:themeFill="accent6" w:themeFillTint="99"/>
          </w:tcPr>
          <w:p w14:paraId="7AB2727C" w14:textId="77777777" w:rsidR="00336AD0" w:rsidRPr="006B5D7C" w:rsidRDefault="00336AD0" w:rsidP="007222B7">
            <w:pPr>
              <w:contextualSpacing/>
              <w:rPr>
                <w:rFonts w:cstheme="minorHAnsi"/>
                <w:color w:val="000000"/>
                <w:lang w:val="en-GB"/>
              </w:rPr>
            </w:pPr>
            <w:r w:rsidRPr="006B5D7C">
              <w:rPr>
                <w:rFonts w:cstheme="minorHAnsi"/>
                <w:color w:val="000000"/>
                <w:lang w:val="en-GB"/>
              </w:rPr>
              <w:t xml:space="preserve">HORIZON-CL5-2024-D3-02-03 Development of smart concepts of integrated energy driven bio-refineries for co-production of advanced biofuels, bio-chemicals and biomaterials </w:t>
            </w:r>
            <w:hyperlink r:id="rId18" w:history="1">
              <w:r w:rsidRPr="006B5D7C">
                <w:rPr>
                  <w:rStyle w:val="Hyperlink"/>
                  <w:rFonts w:cstheme="minorHAnsi"/>
                  <w:lang w:val="en-GB"/>
                </w:rPr>
                <w:t>Funding &amp; tenders (europa.eu)</w:t>
              </w:r>
            </w:hyperlink>
          </w:p>
        </w:tc>
      </w:tr>
      <w:tr w:rsidR="00336AD0" w:rsidRPr="006B5D7C" w14:paraId="1C69065C" w14:textId="77777777" w:rsidTr="00254DCF">
        <w:tc>
          <w:tcPr>
            <w:tcW w:w="10456" w:type="dxa"/>
          </w:tcPr>
          <w:p w14:paraId="445295B2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>21 January 2025 17:00:00 Brussels time</w:t>
            </w:r>
          </w:p>
          <w:p w14:paraId="2F459B71" w14:textId="77777777" w:rsidR="00336AD0" w:rsidRPr="006B5D7C" w:rsidRDefault="00336AD0" w:rsidP="007222B7">
            <w:pPr>
              <w:contextualSpacing/>
              <w:rPr>
                <w:rFonts w:cstheme="minorHAnsi"/>
                <w:lang w:val="en-GB"/>
              </w:rPr>
            </w:pPr>
            <w:r w:rsidRPr="006B5D7C">
              <w:rPr>
                <w:rFonts w:cstheme="minorHAnsi"/>
                <w:lang w:val="en-GB"/>
              </w:rPr>
              <w:t xml:space="preserve">3.5 </w:t>
            </w:r>
            <w:proofErr w:type="gramStart"/>
            <w:r w:rsidRPr="006B5D7C">
              <w:rPr>
                <w:rFonts w:cstheme="minorHAnsi"/>
                <w:lang w:val="en-GB"/>
              </w:rPr>
              <w:t>millions</w:t>
            </w:r>
            <w:proofErr w:type="gramEnd"/>
          </w:p>
        </w:tc>
      </w:tr>
    </w:tbl>
    <w:p w14:paraId="5C0F839B" w14:textId="77777777" w:rsidR="00336AD0" w:rsidRPr="006B5D7C" w:rsidRDefault="00336AD0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p w14:paraId="45C706DB" w14:textId="77777777" w:rsidR="00336AD0" w:rsidRPr="006B5D7C" w:rsidRDefault="00336AD0" w:rsidP="007222B7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p w14:paraId="4F9A119D" w14:textId="2D6B655B" w:rsidR="001E39C7" w:rsidRPr="006B5D7C" w:rsidRDefault="001E39C7" w:rsidP="007222B7">
      <w:pPr>
        <w:spacing w:after="0" w:line="240" w:lineRule="auto"/>
        <w:contextualSpacing/>
        <w:rPr>
          <w:rStyle w:val="Hyperlink"/>
          <w:rFonts w:cstheme="minorHAnsi"/>
          <w:color w:val="auto"/>
          <w:lang w:val="en-GB"/>
        </w:rPr>
      </w:pPr>
      <w:proofErr w:type="spellStart"/>
      <w:r w:rsidRPr="006B5D7C">
        <w:rPr>
          <w:rStyle w:val="Hyperlink"/>
          <w:rFonts w:cstheme="minorHAnsi"/>
          <w:color w:val="auto"/>
          <w:lang w:val="en-GB"/>
        </w:rPr>
        <w:t>Tedagua</w:t>
      </w:r>
      <w:proofErr w:type="spellEnd"/>
      <w:r w:rsidRPr="006B5D7C">
        <w:rPr>
          <w:rStyle w:val="Hyperlink"/>
          <w:rFonts w:cstheme="minorHAnsi"/>
          <w:color w:val="auto"/>
          <w:lang w:val="en-GB"/>
        </w:rPr>
        <w:t xml:space="preserve"> </w:t>
      </w:r>
      <w:r w:rsidR="0087388F" w:rsidRPr="006B5D7C">
        <w:rPr>
          <w:rStyle w:val="Hyperlink"/>
          <w:rFonts w:cstheme="minorHAnsi"/>
          <w:color w:val="auto"/>
          <w:lang w:val="en-GB"/>
        </w:rPr>
        <w:t>has the following</w:t>
      </w:r>
      <w:r w:rsidRPr="006B5D7C">
        <w:rPr>
          <w:rStyle w:val="Hyperlink"/>
          <w:rFonts w:cstheme="minorHAnsi"/>
          <w:color w:val="auto"/>
          <w:lang w:val="en-GB"/>
        </w:rPr>
        <w:t xml:space="preserve"> capabilities:</w:t>
      </w:r>
    </w:p>
    <w:p w14:paraId="77F0395C" w14:textId="28B6EF98" w:rsidR="00B80913" w:rsidRPr="006B5D7C" w:rsidRDefault="00B80913" w:rsidP="007222B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Style w:val="Hyperlink"/>
          <w:rFonts w:cstheme="minorHAnsi"/>
          <w:b/>
          <w:bCs/>
          <w:color w:val="auto"/>
          <w:u w:val="none"/>
          <w:lang w:val="en-GB"/>
        </w:rPr>
      </w:pPr>
      <w:r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Project coordination</w:t>
      </w:r>
      <w:r w:rsidR="00152C00" w:rsidRPr="006B5D7C">
        <w:rPr>
          <w:rStyle w:val="Hyperlink"/>
          <w:rFonts w:cstheme="minorHAnsi"/>
          <w:color w:val="auto"/>
          <w:u w:val="none"/>
          <w:lang w:val="en-GB"/>
        </w:rPr>
        <w:t xml:space="preserve">: We </w:t>
      </w:r>
      <w:proofErr w:type="gramStart"/>
      <w:r w:rsidR="00152C00" w:rsidRPr="006B5D7C">
        <w:rPr>
          <w:rStyle w:val="Hyperlink"/>
          <w:rFonts w:cstheme="minorHAnsi"/>
          <w:color w:val="auto"/>
          <w:u w:val="none"/>
          <w:lang w:val="en-GB"/>
        </w:rPr>
        <w:t>are able to</w:t>
      </w:r>
      <w:proofErr w:type="gramEnd"/>
      <w:r w:rsidR="00152C00" w:rsidRPr="006B5D7C">
        <w:rPr>
          <w:rStyle w:val="Hyperlink"/>
          <w:rFonts w:cstheme="minorHAnsi"/>
          <w:color w:val="auto"/>
          <w:u w:val="none"/>
          <w:lang w:val="en-GB"/>
        </w:rPr>
        <w:t xml:space="preserve"> coordinate EU project from the administrative,</w:t>
      </w:r>
      <w:r w:rsidR="0006459B" w:rsidRPr="006B5D7C">
        <w:rPr>
          <w:rStyle w:val="Hyperlink"/>
          <w:rFonts w:cstheme="minorHAnsi"/>
          <w:color w:val="auto"/>
          <w:u w:val="none"/>
          <w:lang w:val="en-GB"/>
        </w:rPr>
        <w:t xml:space="preserve"> monitoring,</w:t>
      </w:r>
      <w:r w:rsidR="00152C00" w:rsidRPr="006B5D7C">
        <w:rPr>
          <w:rStyle w:val="Hyperlink"/>
          <w:rFonts w:cstheme="minorHAnsi"/>
          <w:color w:val="auto"/>
          <w:u w:val="none"/>
          <w:lang w:val="en-GB"/>
        </w:rPr>
        <w:t xml:space="preserve"> technical and financial side.</w:t>
      </w:r>
    </w:p>
    <w:p w14:paraId="2A370F03" w14:textId="77777777" w:rsidR="00B80913" w:rsidRPr="006B5D7C" w:rsidRDefault="00B80913" w:rsidP="007222B7">
      <w:pPr>
        <w:spacing w:after="0" w:line="240" w:lineRule="auto"/>
        <w:contextualSpacing/>
        <w:jc w:val="both"/>
        <w:rPr>
          <w:rStyle w:val="Hyperlink"/>
          <w:rFonts w:cstheme="minorHAnsi"/>
          <w:b/>
          <w:bCs/>
          <w:color w:val="auto"/>
          <w:u w:val="none"/>
          <w:lang w:val="en-GB"/>
        </w:rPr>
      </w:pPr>
    </w:p>
    <w:p w14:paraId="360AEA46" w14:textId="3215EDDF" w:rsidR="00EC3A7D" w:rsidRPr="006B5D7C" w:rsidRDefault="00EC3A7D" w:rsidP="007222B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Style w:val="Hyperlink"/>
          <w:rFonts w:cstheme="minorHAnsi"/>
          <w:color w:val="auto"/>
          <w:u w:val="none"/>
          <w:lang w:val="en-GB"/>
        </w:rPr>
      </w:pPr>
      <w:r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Technological Showcase:</w:t>
      </w:r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 Proficiency in designing, constructing, and operating pilot plants</w:t>
      </w:r>
      <w:r w:rsidR="008B477C" w:rsidRPr="006B5D7C">
        <w:rPr>
          <w:rStyle w:val="Hyperlink"/>
          <w:rFonts w:cstheme="minorHAnsi"/>
          <w:color w:val="auto"/>
          <w:u w:val="none"/>
          <w:lang w:val="en-GB"/>
        </w:rPr>
        <w:t>/demo</w:t>
      </w:r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 to demonstrate the effectiveness of sewage and industrial wastewater treatment technologies. This encompasses all stages of treatment - pre-treatment, biological, tertiary, anaerobic digestion, dewatering, sludge drying, deodorization</w:t>
      </w:r>
      <w:r w:rsidR="00D553C9" w:rsidRPr="006B5D7C">
        <w:rPr>
          <w:rStyle w:val="Hyperlink"/>
          <w:rFonts w:cstheme="minorHAnsi"/>
          <w:color w:val="auto"/>
          <w:u w:val="none"/>
          <w:lang w:val="en-GB"/>
        </w:rPr>
        <w:t>, etc</w:t>
      </w:r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. Furthermore, </w:t>
      </w:r>
      <w:proofErr w:type="spellStart"/>
      <w:r w:rsidRPr="006B5D7C">
        <w:rPr>
          <w:rStyle w:val="Hyperlink"/>
          <w:rFonts w:cstheme="minorHAnsi"/>
          <w:color w:val="auto"/>
          <w:u w:val="none"/>
          <w:lang w:val="en-GB"/>
        </w:rPr>
        <w:t>Tedagua's</w:t>
      </w:r>
      <w:proofErr w:type="spellEnd"/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 expertise extends to the purification of drinking water from various sources</w:t>
      </w:r>
      <w:r w:rsidR="0094393A" w:rsidRPr="006B5D7C">
        <w:rPr>
          <w:rStyle w:val="Hyperlink"/>
          <w:rFonts w:cstheme="minorHAnsi"/>
          <w:color w:val="auto"/>
          <w:u w:val="none"/>
          <w:lang w:val="en-GB"/>
        </w:rPr>
        <w:t xml:space="preserve"> such as </w:t>
      </w:r>
      <w:r w:rsidRPr="006B5D7C">
        <w:rPr>
          <w:rStyle w:val="Hyperlink"/>
          <w:rFonts w:cstheme="minorHAnsi"/>
          <w:color w:val="auto"/>
          <w:u w:val="none"/>
          <w:lang w:val="en-GB"/>
        </w:rPr>
        <w:t>rivers, seas, or brackish water. The suite of services covers DWTPs, SWROs, and BWROs.</w:t>
      </w:r>
    </w:p>
    <w:p w14:paraId="5BCA5CB7" w14:textId="77777777" w:rsidR="00EC3A7D" w:rsidRPr="006B5D7C" w:rsidRDefault="00EC3A7D" w:rsidP="007222B7">
      <w:pPr>
        <w:spacing w:after="0" w:line="240" w:lineRule="auto"/>
        <w:contextualSpacing/>
        <w:jc w:val="both"/>
        <w:rPr>
          <w:rStyle w:val="Hyperlink"/>
          <w:rFonts w:cstheme="minorHAnsi"/>
          <w:color w:val="auto"/>
          <w:u w:val="none"/>
          <w:lang w:val="en-GB"/>
        </w:rPr>
      </w:pPr>
    </w:p>
    <w:p w14:paraId="7D53B7C9" w14:textId="2B020C09" w:rsidR="00EC3A7D" w:rsidRPr="006B5D7C" w:rsidRDefault="009A3496" w:rsidP="007222B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Style w:val="Hyperlink"/>
          <w:rFonts w:cstheme="minorHAnsi"/>
          <w:color w:val="auto"/>
          <w:u w:val="none"/>
          <w:lang w:val="en-GB"/>
        </w:rPr>
      </w:pPr>
      <w:r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 xml:space="preserve">Access to </w:t>
      </w:r>
      <w:r w:rsidR="008C00F9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b</w:t>
      </w:r>
      <w:r w:rsidR="00EC3A7D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rackish</w:t>
      </w:r>
      <w:r w:rsidR="009C6CED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 xml:space="preserve"> water, w</w:t>
      </w:r>
      <w:r w:rsidR="00C36991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aste</w:t>
      </w:r>
      <w:r w:rsidR="009C6CED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w</w:t>
      </w:r>
      <w:r w:rsidR="00EC3A7D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ater</w:t>
      </w:r>
      <w:r w:rsidR="009C6CED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 xml:space="preserve"> and sludge</w:t>
      </w:r>
      <w:r w:rsidR="008C00F9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 xml:space="preserve"> and side-streams from the plants</w:t>
      </w:r>
      <w:r w:rsidR="00EC3A7D" w:rsidRPr="006B5D7C">
        <w:rPr>
          <w:rStyle w:val="Hyperlink"/>
          <w:rFonts w:cstheme="minorHAnsi"/>
          <w:color w:val="auto"/>
          <w:u w:val="none"/>
          <w:lang w:val="en-GB"/>
        </w:rPr>
        <w:t xml:space="preserve">: </w:t>
      </w:r>
      <w:r w:rsidR="00AE1BC7" w:rsidRPr="006B5D7C">
        <w:rPr>
          <w:rStyle w:val="Hyperlink"/>
          <w:rFonts w:cstheme="minorHAnsi"/>
          <w:color w:val="auto"/>
          <w:u w:val="none"/>
          <w:lang w:val="en-GB"/>
        </w:rPr>
        <w:t>We operate</w:t>
      </w:r>
      <w:r w:rsidR="00EC3A7D" w:rsidRPr="006B5D7C">
        <w:rPr>
          <w:rStyle w:val="Hyperlink"/>
          <w:rFonts w:cstheme="minorHAnsi"/>
          <w:color w:val="auto"/>
          <w:u w:val="none"/>
          <w:lang w:val="en-GB"/>
        </w:rPr>
        <w:t xml:space="preserve"> </w:t>
      </w:r>
      <w:r w:rsidR="008F1DCF" w:rsidRPr="006B5D7C">
        <w:rPr>
          <w:rStyle w:val="Hyperlink"/>
          <w:rFonts w:cstheme="minorHAnsi"/>
          <w:color w:val="auto"/>
          <w:u w:val="none"/>
          <w:lang w:val="en-GB"/>
        </w:rPr>
        <w:t>in Spain</w:t>
      </w:r>
      <w:r w:rsidR="00EC3A7D" w:rsidRPr="006B5D7C">
        <w:rPr>
          <w:rStyle w:val="Hyperlink"/>
          <w:rFonts w:cstheme="minorHAnsi"/>
          <w:color w:val="auto"/>
          <w:u w:val="none"/>
          <w:lang w:val="en-GB"/>
        </w:rPr>
        <w:t xml:space="preserve">. </w:t>
      </w:r>
      <w:r w:rsidR="00AE1BC7" w:rsidRPr="006B5D7C">
        <w:rPr>
          <w:rStyle w:val="Hyperlink"/>
          <w:rFonts w:cstheme="minorHAnsi"/>
          <w:color w:val="auto"/>
          <w:u w:val="none"/>
          <w:lang w:val="en-GB"/>
        </w:rPr>
        <w:t>We can offer</w:t>
      </w:r>
      <w:r w:rsidR="00EC3A7D" w:rsidRPr="006B5D7C">
        <w:rPr>
          <w:rStyle w:val="Hyperlink"/>
          <w:rFonts w:cstheme="minorHAnsi"/>
          <w:color w:val="auto"/>
          <w:u w:val="none"/>
          <w:lang w:val="en-GB"/>
        </w:rPr>
        <w:t xml:space="preserve"> both offsite provisions and onsite connections, ensuring a direct link to our plants for immediate utilization.</w:t>
      </w:r>
    </w:p>
    <w:p w14:paraId="0FBE9C06" w14:textId="77777777" w:rsidR="00EC3A7D" w:rsidRPr="006B5D7C" w:rsidRDefault="00EC3A7D" w:rsidP="007222B7">
      <w:pPr>
        <w:spacing w:after="0" w:line="240" w:lineRule="auto"/>
        <w:contextualSpacing/>
        <w:jc w:val="both"/>
        <w:rPr>
          <w:rStyle w:val="Hyperlink"/>
          <w:rFonts w:cstheme="minorHAnsi"/>
          <w:color w:val="auto"/>
          <w:u w:val="none"/>
          <w:lang w:val="en-GB"/>
        </w:rPr>
      </w:pPr>
    </w:p>
    <w:p w14:paraId="2FE22F91" w14:textId="47408A52" w:rsidR="006E276E" w:rsidRPr="006B5D7C" w:rsidRDefault="006E276E" w:rsidP="007222B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Style w:val="Hyperlink"/>
          <w:rFonts w:cstheme="minorHAnsi"/>
          <w:color w:val="auto"/>
          <w:u w:val="none"/>
          <w:lang w:val="en-GB"/>
        </w:rPr>
      </w:pPr>
      <w:r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Strategic Collaboration</w:t>
      </w:r>
      <w:r w:rsidR="008D11AA"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 xml:space="preserve"> and Regulations</w:t>
      </w:r>
      <w:r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:</w:t>
      </w:r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 Providing valuable industrial guidance by actively participating in exploitation, business planning, C&amp;D and strategic collaborations with esteemed partners, such as Canal de Isabel II.</w:t>
      </w:r>
      <w:r w:rsidR="00191572" w:rsidRPr="006B5D7C">
        <w:rPr>
          <w:rStyle w:val="Hyperlink"/>
          <w:rFonts w:cstheme="minorHAnsi"/>
          <w:color w:val="auto"/>
          <w:u w:val="none"/>
          <w:lang w:val="en-GB"/>
        </w:rPr>
        <w:t xml:space="preserve"> </w:t>
      </w:r>
      <w:proofErr w:type="spellStart"/>
      <w:r w:rsidR="001E525A" w:rsidRPr="006B5D7C">
        <w:rPr>
          <w:rStyle w:val="Hyperlink"/>
          <w:rFonts w:cstheme="minorHAnsi"/>
          <w:color w:val="auto"/>
          <w:u w:val="none"/>
          <w:lang w:val="en-GB"/>
        </w:rPr>
        <w:t>Tedagua</w:t>
      </w:r>
      <w:proofErr w:type="spellEnd"/>
      <w:r w:rsidR="001E525A" w:rsidRPr="006B5D7C">
        <w:rPr>
          <w:rStyle w:val="Hyperlink"/>
          <w:rFonts w:cstheme="minorHAnsi"/>
          <w:color w:val="auto"/>
          <w:u w:val="none"/>
          <w:lang w:val="en-GB"/>
        </w:rPr>
        <w:t xml:space="preserve"> maintains an active engagement with water regulation to consistently stay at the forefront of industry standards and practices.</w:t>
      </w:r>
    </w:p>
    <w:p w14:paraId="39F05B37" w14:textId="77777777" w:rsidR="001E525A" w:rsidRPr="006B5D7C" w:rsidRDefault="001E525A" w:rsidP="007222B7">
      <w:pPr>
        <w:spacing w:after="0" w:line="240" w:lineRule="auto"/>
        <w:contextualSpacing/>
        <w:jc w:val="both"/>
        <w:rPr>
          <w:rStyle w:val="Hyperlink"/>
          <w:rFonts w:cstheme="minorHAnsi"/>
          <w:color w:val="auto"/>
          <w:u w:val="none"/>
          <w:lang w:val="en-GB"/>
        </w:rPr>
      </w:pPr>
    </w:p>
    <w:p w14:paraId="13030EAB" w14:textId="1D55A3A5" w:rsidR="009A7B16" w:rsidRDefault="00EC3A7D" w:rsidP="007222B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Style w:val="Hyperlink"/>
          <w:rFonts w:cstheme="minorHAnsi"/>
          <w:color w:val="auto"/>
          <w:u w:val="none"/>
          <w:lang w:val="en-GB"/>
        </w:rPr>
      </w:pPr>
      <w:r w:rsidRPr="006B5D7C">
        <w:rPr>
          <w:rStyle w:val="Hyperlink"/>
          <w:rFonts w:cstheme="minorHAnsi"/>
          <w:b/>
          <w:bCs/>
          <w:color w:val="auto"/>
          <w:u w:val="none"/>
          <w:lang w:val="en-GB"/>
        </w:rPr>
        <w:t>Holistic Analysis:</w:t>
      </w:r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 Active engagement in Life Cycle Assessment (LCA), Life Cycle Costing (LCC), and Techno-Economic Assessments (TEAs). By participating in these methodologies, </w:t>
      </w:r>
      <w:proofErr w:type="spellStart"/>
      <w:r w:rsidRPr="006B5D7C">
        <w:rPr>
          <w:rStyle w:val="Hyperlink"/>
          <w:rFonts w:cstheme="minorHAnsi"/>
          <w:color w:val="auto"/>
          <w:u w:val="none"/>
          <w:lang w:val="en-GB"/>
        </w:rPr>
        <w:t>Tedagua</w:t>
      </w:r>
      <w:proofErr w:type="spellEnd"/>
      <w:r w:rsidRPr="006B5D7C">
        <w:rPr>
          <w:rStyle w:val="Hyperlink"/>
          <w:rFonts w:cstheme="minorHAnsi"/>
          <w:color w:val="auto"/>
          <w:u w:val="none"/>
          <w:lang w:val="en-GB"/>
        </w:rPr>
        <w:t xml:space="preserve"> demonstrates its commitment to a comprehensive understanding of projects, evaluating not only technical aspects but also environmental impact, financial considerations, and long-term viability.</w:t>
      </w:r>
    </w:p>
    <w:p w14:paraId="60D89C10" w14:textId="77777777" w:rsidR="002B50D1" w:rsidRPr="002B50D1" w:rsidRDefault="002B50D1" w:rsidP="002B50D1">
      <w:pPr>
        <w:pStyle w:val="ListParagraph"/>
        <w:rPr>
          <w:rStyle w:val="Hyperlink"/>
          <w:rFonts w:cstheme="minorHAnsi"/>
          <w:color w:val="auto"/>
          <w:u w:val="none"/>
          <w:lang w:val="en-GB"/>
        </w:rPr>
      </w:pPr>
    </w:p>
    <w:p w14:paraId="4029A85A" w14:textId="77777777" w:rsidR="002B50D1" w:rsidRPr="006B5D7C" w:rsidRDefault="002B50D1" w:rsidP="002B50D1">
      <w:pPr>
        <w:spacing w:after="0" w:line="240" w:lineRule="auto"/>
        <w:contextualSpacing/>
        <w:rPr>
          <w:rFonts w:cstheme="minorHAnsi"/>
          <w:u w:val="single"/>
          <w:lang w:val="en-GB"/>
        </w:rPr>
      </w:pPr>
      <w:r w:rsidRPr="006B5D7C">
        <w:rPr>
          <w:rFonts w:cstheme="minorHAnsi"/>
          <w:u w:val="single"/>
          <w:lang w:val="en-GB"/>
        </w:rPr>
        <w:t>NATIONAL:</w:t>
      </w:r>
    </w:p>
    <w:p w14:paraId="192C51F3" w14:textId="77777777" w:rsidR="002B50D1" w:rsidRPr="006B5D7C" w:rsidRDefault="002B50D1" w:rsidP="002B50D1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0D1" w:rsidRPr="006B5D7C" w14:paraId="32776DCF" w14:textId="77777777" w:rsidTr="00254DCF">
        <w:tc>
          <w:tcPr>
            <w:tcW w:w="10456" w:type="dxa"/>
            <w:shd w:val="clear" w:color="auto" w:fill="A8D08D" w:themeFill="accent6" w:themeFillTint="99"/>
          </w:tcPr>
          <w:p w14:paraId="5450952B" w14:textId="77777777" w:rsidR="002B50D1" w:rsidRPr="006B5D7C" w:rsidRDefault="002B50D1" w:rsidP="00254DCF">
            <w:pPr>
              <w:contextualSpacing/>
              <w:rPr>
                <w:rFonts w:cstheme="minorHAnsi"/>
                <w:color w:val="000000"/>
              </w:rPr>
            </w:pPr>
            <w:r w:rsidRPr="006B5D7C">
              <w:rPr>
                <w:rFonts w:cstheme="minorHAnsi"/>
                <w:color w:val="000000"/>
              </w:rPr>
              <w:t xml:space="preserve">Misiones Ciencia e Innovación: Prioridades temáticas centradas en la transición verde, incluyendo la transición energética y la lucha contra el cambio climático y sus consecuencias. </w:t>
            </w:r>
            <w:hyperlink r:id="rId19" w:history="1">
              <w:r w:rsidRPr="006B5D7C">
                <w:rPr>
                  <w:rStyle w:val="Hyperlink"/>
                  <w:rFonts w:cstheme="minorHAnsi"/>
                </w:rPr>
                <w:t>Misiones Ciencia e Innovación 2023 (</w:t>
              </w:r>
              <w:proofErr w:type="spellStart"/>
              <w:r w:rsidRPr="006B5D7C">
                <w:rPr>
                  <w:rStyle w:val="Hyperlink"/>
                  <w:rFonts w:cstheme="minorHAnsi"/>
                </w:rPr>
                <w:t>TransMisiones</w:t>
              </w:r>
              <w:proofErr w:type="spellEnd"/>
              <w:r w:rsidRPr="006B5D7C">
                <w:rPr>
                  <w:rStyle w:val="Hyperlink"/>
                  <w:rFonts w:cstheme="minorHAnsi"/>
                </w:rPr>
                <w:t>) | CDTI</w:t>
              </w:r>
            </w:hyperlink>
          </w:p>
        </w:tc>
      </w:tr>
      <w:tr w:rsidR="002B50D1" w:rsidRPr="006B5D7C" w14:paraId="47DE2D8E" w14:textId="77777777" w:rsidTr="00254DCF">
        <w:tc>
          <w:tcPr>
            <w:tcW w:w="10456" w:type="dxa"/>
          </w:tcPr>
          <w:p w14:paraId="2ABC7A36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>Presupuesto elegible mínimo de 3.000.000 euros y máximo de 10.000.000.</w:t>
            </w:r>
          </w:p>
          <w:p w14:paraId="1BA9458F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>03/07/2023</w:t>
            </w:r>
            <w:r w:rsidRPr="006B5D7C">
              <w:rPr>
                <w:rFonts w:cstheme="minorHAnsi"/>
                <w:color w:val="444444"/>
                <w:sz w:val="21"/>
                <w:szCs w:val="21"/>
              </w:rPr>
              <w:t> - </w:t>
            </w:r>
            <w:r w:rsidRPr="006B3620">
              <w:rPr>
                <w:rFonts w:cstheme="minorHAnsi"/>
                <w:highlight w:val="yellow"/>
              </w:rPr>
              <w:t>28/07/2023</w:t>
            </w:r>
            <w:r w:rsidRPr="006B5D7C">
              <w:rPr>
                <w:rFonts w:cstheme="minorHAnsi"/>
              </w:rPr>
              <w:t xml:space="preserve"> ¿?</w:t>
            </w:r>
          </w:p>
        </w:tc>
      </w:tr>
      <w:tr w:rsidR="002B50D1" w:rsidRPr="006B5D7C" w14:paraId="0EF6BA91" w14:textId="77777777" w:rsidTr="00254DCF">
        <w:tc>
          <w:tcPr>
            <w:tcW w:w="10456" w:type="dxa"/>
          </w:tcPr>
          <w:p w14:paraId="318679AD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</w:p>
        </w:tc>
      </w:tr>
    </w:tbl>
    <w:p w14:paraId="2A60028D" w14:textId="77777777" w:rsidR="002B50D1" w:rsidRPr="006B5D7C" w:rsidRDefault="002B50D1" w:rsidP="002B50D1">
      <w:pPr>
        <w:spacing w:after="0" w:line="240" w:lineRule="auto"/>
        <w:contextualSpacing/>
        <w:rPr>
          <w:rFonts w:cstheme="minorHAnsi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0D1" w:rsidRPr="006B5D7C" w14:paraId="2437B300" w14:textId="77777777" w:rsidTr="00254DCF">
        <w:tc>
          <w:tcPr>
            <w:tcW w:w="10456" w:type="dxa"/>
            <w:shd w:val="clear" w:color="auto" w:fill="A8D08D" w:themeFill="accent6" w:themeFillTint="99"/>
          </w:tcPr>
          <w:p w14:paraId="404EA5B4" w14:textId="77777777" w:rsidR="002B50D1" w:rsidRPr="006B5D7C" w:rsidRDefault="002B50D1" w:rsidP="00254DCF">
            <w:pPr>
              <w:contextualSpacing/>
              <w:rPr>
                <w:rFonts w:cstheme="minorHAnsi"/>
                <w:color w:val="000000"/>
              </w:rPr>
            </w:pPr>
            <w:r w:rsidRPr="006B5D7C">
              <w:rPr>
                <w:rFonts w:cstheme="minorHAnsi"/>
                <w:color w:val="000000"/>
              </w:rPr>
              <w:t xml:space="preserve">PERTE de Descarbonización Industrial </w:t>
            </w:r>
            <w:hyperlink r:id="rId20" w:history="1">
              <w:r w:rsidRPr="006B5D7C">
                <w:rPr>
                  <w:rStyle w:val="Hyperlink"/>
                  <w:rFonts w:cstheme="minorHAnsi"/>
                </w:rPr>
                <w:t>Ayuda</w:t>
              </w:r>
              <w:r w:rsidRPr="006B5D7C">
                <w:rPr>
                  <w:rStyle w:val="Hyperlink"/>
                  <w:rFonts w:cstheme="minorHAnsi"/>
                </w:rPr>
                <w:t>s</w:t>
              </w:r>
              <w:r w:rsidRPr="006B5D7C">
                <w:rPr>
                  <w:rStyle w:val="Hyperlink"/>
                  <w:rFonts w:cstheme="minorHAnsi"/>
                </w:rPr>
                <w:t xml:space="preserve"> (miteco.gob.es)</w:t>
              </w:r>
            </w:hyperlink>
          </w:p>
        </w:tc>
      </w:tr>
      <w:tr w:rsidR="002B50D1" w:rsidRPr="006B5D7C" w14:paraId="26A31A1E" w14:textId="77777777" w:rsidTr="00254DCF">
        <w:tc>
          <w:tcPr>
            <w:tcW w:w="10456" w:type="dxa"/>
          </w:tcPr>
          <w:p w14:paraId="07DABADB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>Borrador: Se espera que el borrador del PERTE de Descarbonización Industrial se publique a finales de marzo o principios de abril de 2024.</w:t>
            </w:r>
          </w:p>
          <w:p w14:paraId="6D3F0B58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 xml:space="preserve">Aprobación final: La aprobación final del PERTE por parte del Consejo de </w:t>
            </w:r>
            <w:proofErr w:type="gramStart"/>
            <w:r w:rsidRPr="006B5D7C">
              <w:rPr>
                <w:rFonts w:cstheme="minorHAnsi"/>
              </w:rPr>
              <w:t>Ministros</w:t>
            </w:r>
            <w:proofErr w:type="gramEnd"/>
            <w:r w:rsidRPr="006B5D7C">
              <w:rPr>
                <w:rFonts w:cstheme="minorHAnsi"/>
              </w:rPr>
              <w:t xml:space="preserve"> se espera para mayo o junio de 2024.</w:t>
            </w:r>
          </w:p>
        </w:tc>
      </w:tr>
      <w:tr w:rsidR="002B50D1" w:rsidRPr="006B5D7C" w14:paraId="285796E3" w14:textId="77777777" w:rsidTr="00254DCF">
        <w:tc>
          <w:tcPr>
            <w:tcW w:w="10456" w:type="dxa"/>
          </w:tcPr>
          <w:p w14:paraId="5A2DC125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</w:p>
        </w:tc>
      </w:tr>
    </w:tbl>
    <w:p w14:paraId="43445243" w14:textId="77777777" w:rsidR="002B50D1" w:rsidRPr="006B5D7C" w:rsidRDefault="002B50D1" w:rsidP="002B50D1">
      <w:pPr>
        <w:spacing w:after="0" w:line="240" w:lineRule="auto"/>
        <w:contextualSpacing/>
        <w:rPr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0D1" w:rsidRPr="006B5D7C" w14:paraId="49FD2EC4" w14:textId="77777777" w:rsidTr="00254DCF">
        <w:tc>
          <w:tcPr>
            <w:tcW w:w="10456" w:type="dxa"/>
            <w:shd w:val="clear" w:color="auto" w:fill="A8D08D" w:themeFill="accent6" w:themeFillTint="99"/>
          </w:tcPr>
          <w:p w14:paraId="2F14BF57" w14:textId="77777777" w:rsidR="002B50D1" w:rsidRPr="006B5D7C" w:rsidRDefault="002B50D1" w:rsidP="00254DCF">
            <w:pPr>
              <w:contextualSpacing/>
              <w:rPr>
                <w:rFonts w:cstheme="minorHAnsi"/>
                <w:color w:val="000000"/>
              </w:rPr>
            </w:pPr>
            <w:r w:rsidRPr="006B5D7C">
              <w:rPr>
                <w:rFonts w:cstheme="minorHAnsi"/>
                <w:color w:val="000000"/>
              </w:rPr>
              <w:t xml:space="preserve">PERTE de Economía Circular </w:t>
            </w:r>
            <w:hyperlink r:id="rId21" w:history="1">
              <w:r w:rsidRPr="006B5D7C">
                <w:rPr>
                  <w:rStyle w:val="Hyperlink"/>
                  <w:rFonts w:cstheme="minorHAnsi"/>
                </w:rPr>
                <w:t>Ayudas (miteco.gob.es)</w:t>
              </w:r>
            </w:hyperlink>
          </w:p>
        </w:tc>
      </w:tr>
      <w:tr w:rsidR="002B50D1" w:rsidRPr="006B5D7C" w14:paraId="7CEBABC0" w14:textId="77777777" w:rsidTr="00254DCF">
        <w:tc>
          <w:tcPr>
            <w:tcW w:w="10456" w:type="dxa"/>
          </w:tcPr>
          <w:p w14:paraId="10F7FDF5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>Borrador: Se espera que el borrador del PERTE de Economía Circular se publique a finales de abril o principios de mayo de 2024.</w:t>
            </w:r>
          </w:p>
          <w:p w14:paraId="14D650EF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 xml:space="preserve">Aprobación final: La aprobación final del PERTE por parte del Consejo de </w:t>
            </w:r>
            <w:proofErr w:type="gramStart"/>
            <w:r w:rsidRPr="006B5D7C">
              <w:rPr>
                <w:rFonts w:cstheme="minorHAnsi"/>
              </w:rPr>
              <w:t>Ministros</w:t>
            </w:r>
            <w:proofErr w:type="gramEnd"/>
            <w:r w:rsidRPr="006B5D7C">
              <w:rPr>
                <w:rFonts w:cstheme="minorHAnsi"/>
              </w:rPr>
              <w:t xml:space="preserve"> se espera para junio o julio de 2024.</w:t>
            </w:r>
          </w:p>
        </w:tc>
      </w:tr>
      <w:tr w:rsidR="002B50D1" w:rsidRPr="006B5D7C" w14:paraId="51D34E2F" w14:textId="77777777" w:rsidTr="00254DCF">
        <w:tc>
          <w:tcPr>
            <w:tcW w:w="10456" w:type="dxa"/>
          </w:tcPr>
          <w:p w14:paraId="7828D72A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</w:p>
        </w:tc>
      </w:tr>
    </w:tbl>
    <w:p w14:paraId="326B3884" w14:textId="77777777" w:rsidR="002B50D1" w:rsidRPr="006B5D7C" w:rsidRDefault="002B50D1" w:rsidP="002B50D1">
      <w:pPr>
        <w:spacing w:after="0" w:line="240" w:lineRule="auto"/>
        <w:contextualSpacing/>
        <w:rPr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0D1" w:rsidRPr="006B5D7C" w14:paraId="35A02BAF" w14:textId="77777777" w:rsidTr="00254DCF">
        <w:tc>
          <w:tcPr>
            <w:tcW w:w="10456" w:type="dxa"/>
            <w:shd w:val="clear" w:color="auto" w:fill="A8D08D" w:themeFill="accent6" w:themeFillTint="99"/>
          </w:tcPr>
          <w:p w14:paraId="5663F8D1" w14:textId="77777777" w:rsidR="002B50D1" w:rsidRPr="006B5D7C" w:rsidRDefault="002B50D1" w:rsidP="00254DCF">
            <w:pPr>
              <w:contextualSpacing/>
              <w:rPr>
                <w:rFonts w:cstheme="minorHAnsi"/>
                <w:color w:val="000000"/>
              </w:rPr>
            </w:pPr>
            <w:r w:rsidRPr="006B5D7C">
              <w:rPr>
                <w:rFonts w:cstheme="minorHAnsi"/>
                <w:color w:val="000000"/>
              </w:rPr>
              <w:t xml:space="preserve">Ecosistemas de Innovación </w:t>
            </w:r>
            <w:hyperlink r:id="rId22" w:history="1">
              <w:r w:rsidRPr="006B5D7C">
                <w:rPr>
                  <w:rStyle w:val="Hyperlink"/>
                  <w:rFonts w:cstheme="minorHAnsi"/>
                </w:rPr>
                <w:t>Ecosistemas de Innovación | CDTI</w:t>
              </w:r>
            </w:hyperlink>
          </w:p>
          <w:p w14:paraId="544D5419" w14:textId="77777777" w:rsidR="002B50D1" w:rsidRPr="006B5D7C" w:rsidRDefault="002B50D1" w:rsidP="00254DCF">
            <w:pPr>
              <w:contextualSpacing/>
              <w:rPr>
                <w:rFonts w:cstheme="minorHAnsi"/>
                <w:color w:val="000000"/>
                <w:lang w:val="en-GB"/>
              </w:rPr>
            </w:pPr>
            <w:r w:rsidRPr="006B5D7C">
              <w:rPr>
                <w:rFonts w:cstheme="minorHAnsi"/>
                <w:color w:val="000000"/>
                <w:lang w:val="en-GB"/>
              </w:rPr>
              <w:t>Economía circular</w:t>
            </w:r>
          </w:p>
        </w:tc>
      </w:tr>
      <w:tr w:rsidR="002B50D1" w:rsidRPr="006B5D7C" w14:paraId="6923E427" w14:textId="77777777" w:rsidTr="00254DCF">
        <w:tc>
          <w:tcPr>
            <w:tcW w:w="10456" w:type="dxa"/>
          </w:tcPr>
          <w:p w14:paraId="5CB8A1ED" w14:textId="77777777" w:rsidR="002B50D1" w:rsidRPr="006B5D7C" w:rsidRDefault="002B50D1" w:rsidP="00254DCF">
            <w:pPr>
              <w:contextualSpacing/>
              <w:rPr>
                <w:rFonts w:cstheme="minorHAnsi"/>
              </w:rPr>
            </w:pPr>
            <w:r w:rsidRPr="006B5D7C">
              <w:rPr>
                <w:rFonts w:cstheme="minorHAnsi"/>
              </w:rPr>
              <w:t>Intensidad máxima: 50% de los gastos elegibles.</w:t>
            </w:r>
          </w:p>
          <w:p w14:paraId="3228FAA2" w14:textId="77777777" w:rsidR="002B50D1" w:rsidRPr="006B5D7C" w:rsidRDefault="002B50D1" w:rsidP="002B50D1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</w:rPr>
            </w:pPr>
            <w:proofErr w:type="spellStart"/>
            <w:r w:rsidRPr="006B5D7C">
              <w:rPr>
                <w:rFonts w:cstheme="minorHAnsi"/>
              </w:rPr>
              <w:t>milliones</w:t>
            </w:r>
            <w:proofErr w:type="spellEnd"/>
          </w:p>
        </w:tc>
      </w:tr>
    </w:tbl>
    <w:p w14:paraId="481821E1" w14:textId="77777777" w:rsidR="002B50D1" w:rsidRPr="002B50D1" w:rsidRDefault="002B50D1" w:rsidP="002B50D1">
      <w:pPr>
        <w:spacing w:after="0" w:line="240" w:lineRule="auto"/>
        <w:jc w:val="both"/>
        <w:rPr>
          <w:rStyle w:val="Hyperlink"/>
          <w:rFonts w:cstheme="minorHAnsi"/>
          <w:color w:val="auto"/>
          <w:u w:val="none"/>
          <w:lang w:val="en-GB"/>
        </w:rPr>
      </w:pPr>
    </w:p>
    <w:sectPr w:rsidR="002B50D1" w:rsidRPr="002B50D1" w:rsidSect="00A737E3">
      <w:headerReference w:type="default" r:id="rId23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52C9D" w14:textId="77777777" w:rsidR="00A737E3" w:rsidRDefault="00A737E3" w:rsidP="00E83EC5">
      <w:pPr>
        <w:spacing w:after="0" w:line="240" w:lineRule="auto"/>
      </w:pPr>
      <w:r>
        <w:separator/>
      </w:r>
    </w:p>
  </w:endnote>
  <w:endnote w:type="continuationSeparator" w:id="0">
    <w:p w14:paraId="10852A35" w14:textId="77777777" w:rsidR="00A737E3" w:rsidRDefault="00A737E3" w:rsidP="00E83EC5">
      <w:pPr>
        <w:spacing w:after="0" w:line="240" w:lineRule="auto"/>
      </w:pPr>
      <w:r>
        <w:continuationSeparator/>
      </w:r>
    </w:p>
  </w:endnote>
  <w:endnote w:type="continuationNotice" w:id="1">
    <w:p w14:paraId="23B54CE6" w14:textId="77777777" w:rsidR="00A737E3" w:rsidRDefault="00A73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D6F01" w14:textId="77777777" w:rsidR="00A737E3" w:rsidRDefault="00A737E3" w:rsidP="00E83EC5">
      <w:pPr>
        <w:spacing w:after="0" w:line="240" w:lineRule="auto"/>
      </w:pPr>
      <w:r>
        <w:separator/>
      </w:r>
    </w:p>
  </w:footnote>
  <w:footnote w:type="continuationSeparator" w:id="0">
    <w:p w14:paraId="5172DA53" w14:textId="77777777" w:rsidR="00A737E3" w:rsidRDefault="00A737E3" w:rsidP="00E83EC5">
      <w:pPr>
        <w:spacing w:after="0" w:line="240" w:lineRule="auto"/>
      </w:pPr>
      <w:r>
        <w:continuationSeparator/>
      </w:r>
    </w:p>
  </w:footnote>
  <w:footnote w:type="continuationNotice" w:id="1">
    <w:p w14:paraId="17BC57EF" w14:textId="77777777" w:rsidR="00A737E3" w:rsidRDefault="00A73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72B2" w14:textId="1B94B6DC" w:rsidR="006C0F4F" w:rsidRDefault="00272FB6" w:rsidP="00272FB6">
    <w:pPr>
      <w:pStyle w:val="Header"/>
      <w:jc w:val="right"/>
    </w:pPr>
    <w:r>
      <w:rPr>
        <w:noProof/>
      </w:rPr>
      <w:drawing>
        <wp:inline distT="0" distB="0" distL="0" distR="0" wp14:anchorId="20DB7339" wp14:editId="183BAE26">
          <wp:extent cx="800364" cy="381301"/>
          <wp:effectExtent l="0" t="0" r="0" b="0"/>
          <wp:docPr id="1122247255" name="Picture 112224725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46" b="25584"/>
                  <a:stretch/>
                </pic:blipFill>
                <pic:spPr bwMode="auto">
                  <a:xfrm>
                    <a:off x="0" y="0"/>
                    <a:ext cx="817436" cy="389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48D"/>
    <w:multiLevelType w:val="multilevel"/>
    <w:tmpl w:val="1E4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646A4"/>
    <w:multiLevelType w:val="multilevel"/>
    <w:tmpl w:val="8748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52819"/>
    <w:multiLevelType w:val="hybridMultilevel"/>
    <w:tmpl w:val="D4C8B46E"/>
    <w:lvl w:ilvl="0" w:tplc="5F6C4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704"/>
    <w:multiLevelType w:val="multilevel"/>
    <w:tmpl w:val="A2B4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705D5"/>
    <w:multiLevelType w:val="multilevel"/>
    <w:tmpl w:val="B96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A2053"/>
    <w:multiLevelType w:val="multilevel"/>
    <w:tmpl w:val="75F6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E4C37"/>
    <w:multiLevelType w:val="multilevel"/>
    <w:tmpl w:val="1E4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A0E48"/>
    <w:multiLevelType w:val="multilevel"/>
    <w:tmpl w:val="38EA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25289"/>
    <w:multiLevelType w:val="multilevel"/>
    <w:tmpl w:val="249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410EE"/>
    <w:multiLevelType w:val="multilevel"/>
    <w:tmpl w:val="60DA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97AC6"/>
    <w:multiLevelType w:val="hybridMultilevel"/>
    <w:tmpl w:val="CE6A2D58"/>
    <w:lvl w:ilvl="0" w:tplc="099E7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80959"/>
    <w:multiLevelType w:val="multilevel"/>
    <w:tmpl w:val="1E4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504BD"/>
    <w:multiLevelType w:val="multilevel"/>
    <w:tmpl w:val="E536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17E4D"/>
    <w:multiLevelType w:val="multilevel"/>
    <w:tmpl w:val="5CBA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80619"/>
    <w:multiLevelType w:val="hybridMultilevel"/>
    <w:tmpl w:val="58A87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F2F05"/>
    <w:multiLevelType w:val="multilevel"/>
    <w:tmpl w:val="046880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CA4A06"/>
    <w:multiLevelType w:val="multilevel"/>
    <w:tmpl w:val="127C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64F0E"/>
    <w:multiLevelType w:val="multilevel"/>
    <w:tmpl w:val="363C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A0C30"/>
    <w:multiLevelType w:val="multilevel"/>
    <w:tmpl w:val="1E4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4793F"/>
    <w:multiLevelType w:val="multilevel"/>
    <w:tmpl w:val="79A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91AB6"/>
    <w:multiLevelType w:val="multilevel"/>
    <w:tmpl w:val="E8B6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F045D"/>
    <w:multiLevelType w:val="hybridMultilevel"/>
    <w:tmpl w:val="0DCA4360"/>
    <w:lvl w:ilvl="0" w:tplc="0B0A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244E1"/>
    <w:multiLevelType w:val="hybridMultilevel"/>
    <w:tmpl w:val="5F049572"/>
    <w:lvl w:ilvl="0" w:tplc="D8AE2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67D26"/>
    <w:multiLevelType w:val="multilevel"/>
    <w:tmpl w:val="B9E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F34F3"/>
    <w:multiLevelType w:val="multilevel"/>
    <w:tmpl w:val="FF46D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F8F16DE"/>
    <w:multiLevelType w:val="multilevel"/>
    <w:tmpl w:val="F35C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E3923"/>
    <w:multiLevelType w:val="hybridMultilevel"/>
    <w:tmpl w:val="5C28E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C7D87"/>
    <w:multiLevelType w:val="multilevel"/>
    <w:tmpl w:val="EEF6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C25EA"/>
    <w:multiLevelType w:val="hybridMultilevel"/>
    <w:tmpl w:val="DB68B67E"/>
    <w:lvl w:ilvl="0" w:tplc="98046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85B22"/>
    <w:multiLevelType w:val="hybridMultilevel"/>
    <w:tmpl w:val="C5168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C7F21"/>
    <w:multiLevelType w:val="hybridMultilevel"/>
    <w:tmpl w:val="EFAA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6265">
    <w:abstractNumId w:val="27"/>
  </w:num>
  <w:num w:numId="2" w16cid:durableId="630095774">
    <w:abstractNumId w:val="10"/>
  </w:num>
  <w:num w:numId="3" w16cid:durableId="517624676">
    <w:abstractNumId w:val="21"/>
  </w:num>
  <w:num w:numId="4" w16cid:durableId="1354770914">
    <w:abstractNumId w:val="2"/>
  </w:num>
  <w:num w:numId="5" w16cid:durableId="1203128850">
    <w:abstractNumId w:val="14"/>
  </w:num>
  <w:num w:numId="6" w16cid:durableId="1961187283">
    <w:abstractNumId w:val="26"/>
  </w:num>
  <w:num w:numId="7" w16cid:durableId="1157578819">
    <w:abstractNumId w:val="29"/>
  </w:num>
  <w:num w:numId="8" w16cid:durableId="299269493">
    <w:abstractNumId w:val="5"/>
  </w:num>
  <w:num w:numId="9" w16cid:durableId="145585455">
    <w:abstractNumId w:val="13"/>
  </w:num>
  <w:num w:numId="10" w16cid:durableId="1326398748">
    <w:abstractNumId w:val="17"/>
  </w:num>
  <w:num w:numId="11" w16cid:durableId="1978491954">
    <w:abstractNumId w:val="20"/>
  </w:num>
  <w:num w:numId="12" w16cid:durableId="335155223">
    <w:abstractNumId w:val="1"/>
  </w:num>
  <w:num w:numId="13" w16cid:durableId="1231310561">
    <w:abstractNumId w:val="19"/>
  </w:num>
  <w:num w:numId="14" w16cid:durableId="387652547">
    <w:abstractNumId w:val="25"/>
  </w:num>
  <w:num w:numId="15" w16cid:durableId="585265573">
    <w:abstractNumId w:val="9"/>
  </w:num>
  <w:num w:numId="16" w16cid:durableId="771319280">
    <w:abstractNumId w:val="7"/>
  </w:num>
  <w:num w:numId="17" w16cid:durableId="1382897328">
    <w:abstractNumId w:val="6"/>
  </w:num>
  <w:num w:numId="18" w16cid:durableId="2083679946">
    <w:abstractNumId w:val="4"/>
  </w:num>
  <w:num w:numId="19" w16cid:durableId="26299136">
    <w:abstractNumId w:val="3"/>
  </w:num>
  <w:num w:numId="20" w16cid:durableId="1470129359">
    <w:abstractNumId w:val="12"/>
  </w:num>
  <w:num w:numId="21" w16cid:durableId="1512914274">
    <w:abstractNumId w:val="23"/>
  </w:num>
  <w:num w:numId="22" w16cid:durableId="537812613">
    <w:abstractNumId w:val="8"/>
  </w:num>
  <w:num w:numId="23" w16cid:durableId="1939479346">
    <w:abstractNumId w:val="16"/>
  </w:num>
  <w:num w:numId="24" w16cid:durableId="693771647">
    <w:abstractNumId w:val="28"/>
  </w:num>
  <w:num w:numId="25" w16cid:durableId="177693328">
    <w:abstractNumId w:val="24"/>
  </w:num>
  <w:num w:numId="26" w16cid:durableId="1743867031">
    <w:abstractNumId w:val="15"/>
  </w:num>
  <w:num w:numId="27" w16cid:durableId="1653409595">
    <w:abstractNumId w:val="0"/>
  </w:num>
  <w:num w:numId="28" w16cid:durableId="395978955">
    <w:abstractNumId w:val="11"/>
  </w:num>
  <w:num w:numId="29" w16cid:durableId="1716856336">
    <w:abstractNumId w:val="18"/>
  </w:num>
  <w:num w:numId="30" w16cid:durableId="1042284949">
    <w:abstractNumId w:val="22"/>
  </w:num>
  <w:num w:numId="31" w16cid:durableId="20977505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C"/>
    <w:rsid w:val="00004123"/>
    <w:rsid w:val="000076AC"/>
    <w:rsid w:val="00007E4D"/>
    <w:rsid w:val="00010853"/>
    <w:rsid w:val="000117A3"/>
    <w:rsid w:val="000227B6"/>
    <w:rsid w:val="000333DB"/>
    <w:rsid w:val="0004725D"/>
    <w:rsid w:val="0005057C"/>
    <w:rsid w:val="00053955"/>
    <w:rsid w:val="00055ED1"/>
    <w:rsid w:val="0006459B"/>
    <w:rsid w:val="00071EFF"/>
    <w:rsid w:val="000738C9"/>
    <w:rsid w:val="00080D1B"/>
    <w:rsid w:val="00082FC7"/>
    <w:rsid w:val="00096708"/>
    <w:rsid w:val="0009735E"/>
    <w:rsid w:val="0009769F"/>
    <w:rsid w:val="000A1873"/>
    <w:rsid w:val="000A26CF"/>
    <w:rsid w:val="000B2148"/>
    <w:rsid w:val="000D0ED6"/>
    <w:rsid w:val="000D76AE"/>
    <w:rsid w:val="000E2A5F"/>
    <w:rsid w:val="000E2A83"/>
    <w:rsid w:val="000F6700"/>
    <w:rsid w:val="00101840"/>
    <w:rsid w:val="0011021C"/>
    <w:rsid w:val="00127A3A"/>
    <w:rsid w:val="00152C00"/>
    <w:rsid w:val="001536F8"/>
    <w:rsid w:val="00155412"/>
    <w:rsid w:val="001566D6"/>
    <w:rsid w:val="0016423F"/>
    <w:rsid w:val="00164A42"/>
    <w:rsid w:val="00172F89"/>
    <w:rsid w:val="001737B1"/>
    <w:rsid w:val="00174ACE"/>
    <w:rsid w:val="001761D2"/>
    <w:rsid w:val="00182724"/>
    <w:rsid w:val="0019129C"/>
    <w:rsid w:val="00191572"/>
    <w:rsid w:val="00191D6C"/>
    <w:rsid w:val="001A1F83"/>
    <w:rsid w:val="001A5063"/>
    <w:rsid w:val="001B45D5"/>
    <w:rsid w:val="001C6BF8"/>
    <w:rsid w:val="001D1032"/>
    <w:rsid w:val="001D4780"/>
    <w:rsid w:val="001E0749"/>
    <w:rsid w:val="001E2C3F"/>
    <w:rsid w:val="001E39C7"/>
    <w:rsid w:val="001E525A"/>
    <w:rsid w:val="001E6BB3"/>
    <w:rsid w:val="00200CD2"/>
    <w:rsid w:val="00203CE8"/>
    <w:rsid w:val="00211FCA"/>
    <w:rsid w:val="00213A55"/>
    <w:rsid w:val="002248D8"/>
    <w:rsid w:val="00236A7F"/>
    <w:rsid w:val="002434A2"/>
    <w:rsid w:val="0024395D"/>
    <w:rsid w:val="002543AE"/>
    <w:rsid w:val="0026420A"/>
    <w:rsid w:val="00266CAD"/>
    <w:rsid w:val="00270246"/>
    <w:rsid w:val="00272FB6"/>
    <w:rsid w:val="0027477A"/>
    <w:rsid w:val="002778DE"/>
    <w:rsid w:val="00284BFF"/>
    <w:rsid w:val="00284F69"/>
    <w:rsid w:val="0028612B"/>
    <w:rsid w:val="00292CE4"/>
    <w:rsid w:val="0029373E"/>
    <w:rsid w:val="002A192B"/>
    <w:rsid w:val="002A4581"/>
    <w:rsid w:val="002B50D1"/>
    <w:rsid w:val="002C60EC"/>
    <w:rsid w:val="002E740A"/>
    <w:rsid w:val="002F2544"/>
    <w:rsid w:val="002F3738"/>
    <w:rsid w:val="002F4D9A"/>
    <w:rsid w:val="002F7A56"/>
    <w:rsid w:val="00310005"/>
    <w:rsid w:val="00313A7A"/>
    <w:rsid w:val="00316DFA"/>
    <w:rsid w:val="00336AD0"/>
    <w:rsid w:val="0034138D"/>
    <w:rsid w:val="0034261D"/>
    <w:rsid w:val="003504AC"/>
    <w:rsid w:val="003635ED"/>
    <w:rsid w:val="00365AD4"/>
    <w:rsid w:val="00381B28"/>
    <w:rsid w:val="003829AE"/>
    <w:rsid w:val="00385D08"/>
    <w:rsid w:val="00394BAD"/>
    <w:rsid w:val="003B164D"/>
    <w:rsid w:val="003B7250"/>
    <w:rsid w:val="003B7B7D"/>
    <w:rsid w:val="003E2BF4"/>
    <w:rsid w:val="003E3B99"/>
    <w:rsid w:val="00404912"/>
    <w:rsid w:val="00406337"/>
    <w:rsid w:val="004146A7"/>
    <w:rsid w:val="00420949"/>
    <w:rsid w:val="004227EC"/>
    <w:rsid w:val="0043106D"/>
    <w:rsid w:val="00437B72"/>
    <w:rsid w:val="0044037F"/>
    <w:rsid w:val="00440E0F"/>
    <w:rsid w:val="00444D10"/>
    <w:rsid w:val="00445994"/>
    <w:rsid w:val="00447FE6"/>
    <w:rsid w:val="00452218"/>
    <w:rsid w:val="0047036E"/>
    <w:rsid w:val="004721F1"/>
    <w:rsid w:val="004751E3"/>
    <w:rsid w:val="00480432"/>
    <w:rsid w:val="00481EF7"/>
    <w:rsid w:val="004830B7"/>
    <w:rsid w:val="00486383"/>
    <w:rsid w:val="00494DA1"/>
    <w:rsid w:val="00494E33"/>
    <w:rsid w:val="004A1ABD"/>
    <w:rsid w:val="004A66CB"/>
    <w:rsid w:val="004B16D6"/>
    <w:rsid w:val="004B3C54"/>
    <w:rsid w:val="004C36AD"/>
    <w:rsid w:val="004C5CE9"/>
    <w:rsid w:val="004D23B6"/>
    <w:rsid w:val="004F05ED"/>
    <w:rsid w:val="004F1ED2"/>
    <w:rsid w:val="00504711"/>
    <w:rsid w:val="005056F3"/>
    <w:rsid w:val="0052632C"/>
    <w:rsid w:val="005318FC"/>
    <w:rsid w:val="00533304"/>
    <w:rsid w:val="00533832"/>
    <w:rsid w:val="005347A8"/>
    <w:rsid w:val="005371C2"/>
    <w:rsid w:val="005406B3"/>
    <w:rsid w:val="00544C2A"/>
    <w:rsid w:val="00545014"/>
    <w:rsid w:val="00550A16"/>
    <w:rsid w:val="005537EC"/>
    <w:rsid w:val="00553DCF"/>
    <w:rsid w:val="00555C78"/>
    <w:rsid w:val="00562067"/>
    <w:rsid w:val="005628C9"/>
    <w:rsid w:val="0056608A"/>
    <w:rsid w:val="00566A5A"/>
    <w:rsid w:val="00573221"/>
    <w:rsid w:val="005741E7"/>
    <w:rsid w:val="0058328D"/>
    <w:rsid w:val="00585943"/>
    <w:rsid w:val="0058689E"/>
    <w:rsid w:val="00587352"/>
    <w:rsid w:val="005963B3"/>
    <w:rsid w:val="005A50C8"/>
    <w:rsid w:val="005B6403"/>
    <w:rsid w:val="005C0778"/>
    <w:rsid w:val="005C1309"/>
    <w:rsid w:val="005D28BA"/>
    <w:rsid w:val="005D79B7"/>
    <w:rsid w:val="005F5655"/>
    <w:rsid w:val="006038EF"/>
    <w:rsid w:val="00605A9D"/>
    <w:rsid w:val="00606938"/>
    <w:rsid w:val="00616928"/>
    <w:rsid w:val="00624C18"/>
    <w:rsid w:val="00635132"/>
    <w:rsid w:val="00636E01"/>
    <w:rsid w:val="0064759E"/>
    <w:rsid w:val="006505C2"/>
    <w:rsid w:val="00654890"/>
    <w:rsid w:val="00657947"/>
    <w:rsid w:val="00665C49"/>
    <w:rsid w:val="00670604"/>
    <w:rsid w:val="006846A6"/>
    <w:rsid w:val="0069158C"/>
    <w:rsid w:val="006A7E1A"/>
    <w:rsid w:val="006B3620"/>
    <w:rsid w:val="006B5D7C"/>
    <w:rsid w:val="006C0F4F"/>
    <w:rsid w:val="006C6B36"/>
    <w:rsid w:val="006D6045"/>
    <w:rsid w:val="006E276E"/>
    <w:rsid w:val="006E3917"/>
    <w:rsid w:val="006E622A"/>
    <w:rsid w:val="006E721B"/>
    <w:rsid w:val="00700B5F"/>
    <w:rsid w:val="00716B87"/>
    <w:rsid w:val="00721CEF"/>
    <w:rsid w:val="007222B7"/>
    <w:rsid w:val="00743404"/>
    <w:rsid w:val="0074378B"/>
    <w:rsid w:val="00743A7A"/>
    <w:rsid w:val="007454D9"/>
    <w:rsid w:val="00746C6F"/>
    <w:rsid w:val="0075090E"/>
    <w:rsid w:val="007634FC"/>
    <w:rsid w:val="00772B68"/>
    <w:rsid w:val="00787CA6"/>
    <w:rsid w:val="00790228"/>
    <w:rsid w:val="007951EA"/>
    <w:rsid w:val="007A0521"/>
    <w:rsid w:val="007A2488"/>
    <w:rsid w:val="007C1886"/>
    <w:rsid w:val="007D40E1"/>
    <w:rsid w:val="007E0B5D"/>
    <w:rsid w:val="007E54E1"/>
    <w:rsid w:val="007E6F0B"/>
    <w:rsid w:val="00805F3F"/>
    <w:rsid w:val="00807B50"/>
    <w:rsid w:val="00814819"/>
    <w:rsid w:val="00817D17"/>
    <w:rsid w:val="0082299B"/>
    <w:rsid w:val="008350DE"/>
    <w:rsid w:val="008361E5"/>
    <w:rsid w:val="008402AD"/>
    <w:rsid w:val="00842544"/>
    <w:rsid w:val="00843F5F"/>
    <w:rsid w:val="008466B9"/>
    <w:rsid w:val="00847206"/>
    <w:rsid w:val="00850BB1"/>
    <w:rsid w:val="00853301"/>
    <w:rsid w:val="00856279"/>
    <w:rsid w:val="0086007C"/>
    <w:rsid w:val="0087388F"/>
    <w:rsid w:val="00874272"/>
    <w:rsid w:val="00875757"/>
    <w:rsid w:val="00876A38"/>
    <w:rsid w:val="008803A0"/>
    <w:rsid w:val="00891930"/>
    <w:rsid w:val="00897E15"/>
    <w:rsid w:val="008A0C9F"/>
    <w:rsid w:val="008A38B5"/>
    <w:rsid w:val="008A630B"/>
    <w:rsid w:val="008B477C"/>
    <w:rsid w:val="008B682A"/>
    <w:rsid w:val="008C00F9"/>
    <w:rsid w:val="008C1023"/>
    <w:rsid w:val="008C24B1"/>
    <w:rsid w:val="008C33E9"/>
    <w:rsid w:val="008C795D"/>
    <w:rsid w:val="008D11AA"/>
    <w:rsid w:val="008E4908"/>
    <w:rsid w:val="008E7727"/>
    <w:rsid w:val="008F1DCF"/>
    <w:rsid w:val="00904392"/>
    <w:rsid w:val="009044CE"/>
    <w:rsid w:val="00911A0F"/>
    <w:rsid w:val="00911E60"/>
    <w:rsid w:val="00916276"/>
    <w:rsid w:val="00922D1C"/>
    <w:rsid w:val="0092625D"/>
    <w:rsid w:val="009274DE"/>
    <w:rsid w:val="00931AF4"/>
    <w:rsid w:val="009321EE"/>
    <w:rsid w:val="00934721"/>
    <w:rsid w:val="00935281"/>
    <w:rsid w:val="009361C6"/>
    <w:rsid w:val="009372C8"/>
    <w:rsid w:val="0094194E"/>
    <w:rsid w:val="00941FD0"/>
    <w:rsid w:val="0094393A"/>
    <w:rsid w:val="00944132"/>
    <w:rsid w:val="009626AF"/>
    <w:rsid w:val="00981A9E"/>
    <w:rsid w:val="009867FE"/>
    <w:rsid w:val="0099140A"/>
    <w:rsid w:val="0099398F"/>
    <w:rsid w:val="009A3496"/>
    <w:rsid w:val="009A47C8"/>
    <w:rsid w:val="009A7B16"/>
    <w:rsid w:val="009C599C"/>
    <w:rsid w:val="009C6CED"/>
    <w:rsid w:val="009D40B3"/>
    <w:rsid w:val="009E229F"/>
    <w:rsid w:val="009E3F5F"/>
    <w:rsid w:val="009F419F"/>
    <w:rsid w:val="009F4366"/>
    <w:rsid w:val="00A01873"/>
    <w:rsid w:val="00A040D4"/>
    <w:rsid w:val="00A11AF7"/>
    <w:rsid w:val="00A16A49"/>
    <w:rsid w:val="00A2082A"/>
    <w:rsid w:val="00A21E7F"/>
    <w:rsid w:val="00A24695"/>
    <w:rsid w:val="00A26E08"/>
    <w:rsid w:val="00A35592"/>
    <w:rsid w:val="00A37E17"/>
    <w:rsid w:val="00A45FFD"/>
    <w:rsid w:val="00A4711A"/>
    <w:rsid w:val="00A64053"/>
    <w:rsid w:val="00A737E3"/>
    <w:rsid w:val="00A85B8B"/>
    <w:rsid w:val="00A94F06"/>
    <w:rsid w:val="00A97EFC"/>
    <w:rsid w:val="00AA2166"/>
    <w:rsid w:val="00AB0DDF"/>
    <w:rsid w:val="00AB139B"/>
    <w:rsid w:val="00AB1C1E"/>
    <w:rsid w:val="00AC3774"/>
    <w:rsid w:val="00AC385D"/>
    <w:rsid w:val="00AD14B0"/>
    <w:rsid w:val="00AD69D6"/>
    <w:rsid w:val="00AD6BA3"/>
    <w:rsid w:val="00AD7752"/>
    <w:rsid w:val="00AE1BC7"/>
    <w:rsid w:val="00AE217F"/>
    <w:rsid w:val="00AE4F87"/>
    <w:rsid w:val="00AF2ED0"/>
    <w:rsid w:val="00B0023F"/>
    <w:rsid w:val="00B02DDC"/>
    <w:rsid w:val="00B03794"/>
    <w:rsid w:val="00B062AC"/>
    <w:rsid w:val="00B23B23"/>
    <w:rsid w:val="00B30741"/>
    <w:rsid w:val="00B32FCE"/>
    <w:rsid w:val="00B36F2F"/>
    <w:rsid w:val="00B40895"/>
    <w:rsid w:val="00B51971"/>
    <w:rsid w:val="00B51D43"/>
    <w:rsid w:val="00B52A2B"/>
    <w:rsid w:val="00B531C6"/>
    <w:rsid w:val="00B60C25"/>
    <w:rsid w:val="00B64272"/>
    <w:rsid w:val="00B80913"/>
    <w:rsid w:val="00B8499E"/>
    <w:rsid w:val="00B84AC6"/>
    <w:rsid w:val="00B90F5B"/>
    <w:rsid w:val="00BA1513"/>
    <w:rsid w:val="00BB0179"/>
    <w:rsid w:val="00BD1615"/>
    <w:rsid w:val="00BD534C"/>
    <w:rsid w:val="00BE03C4"/>
    <w:rsid w:val="00BE5685"/>
    <w:rsid w:val="00BE7517"/>
    <w:rsid w:val="00BF6C5B"/>
    <w:rsid w:val="00C129F6"/>
    <w:rsid w:val="00C13135"/>
    <w:rsid w:val="00C15F7D"/>
    <w:rsid w:val="00C2711A"/>
    <w:rsid w:val="00C36991"/>
    <w:rsid w:val="00C41A05"/>
    <w:rsid w:val="00C456B2"/>
    <w:rsid w:val="00C51987"/>
    <w:rsid w:val="00C52E36"/>
    <w:rsid w:val="00C57084"/>
    <w:rsid w:val="00C6793A"/>
    <w:rsid w:val="00C81E6E"/>
    <w:rsid w:val="00C93135"/>
    <w:rsid w:val="00C9659D"/>
    <w:rsid w:val="00CE2ED2"/>
    <w:rsid w:val="00CE4790"/>
    <w:rsid w:val="00CF0F02"/>
    <w:rsid w:val="00CF17E8"/>
    <w:rsid w:val="00CF5B54"/>
    <w:rsid w:val="00CF6F15"/>
    <w:rsid w:val="00D003C3"/>
    <w:rsid w:val="00D01CAB"/>
    <w:rsid w:val="00D15CD3"/>
    <w:rsid w:val="00D16FD6"/>
    <w:rsid w:val="00D2149C"/>
    <w:rsid w:val="00D23DE1"/>
    <w:rsid w:val="00D26176"/>
    <w:rsid w:val="00D30BE9"/>
    <w:rsid w:val="00D37133"/>
    <w:rsid w:val="00D45B97"/>
    <w:rsid w:val="00D47843"/>
    <w:rsid w:val="00D47B9E"/>
    <w:rsid w:val="00D553C9"/>
    <w:rsid w:val="00D6592A"/>
    <w:rsid w:val="00D727D9"/>
    <w:rsid w:val="00D73B71"/>
    <w:rsid w:val="00D740BE"/>
    <w:rsid w:val="00D8447C"/>
    <w:rsid w:val="00D9145D"/>
    <w:rsid w:val="00DA1575"/>
    <w:rsid w:val="00DB68C4"/>
    <w:rsid w:val="00DC3970"/>
    <w:rsid w:val="00DC4E71"/>
    <w:rsid w:val="00DF3A70"/>
    <w:rsid w:val="00DF725D"/>
    <w:rsid w:val="00E14EA3"/>
    <w:rsid w:val="00E22E4B"/>
    <w:rsid w:val="00E23BD1"/>
    <w:rsid w:val="00E26AA5"/>
    <w:rsid w:val="00E30093"/>
    <w:rsid w:val="00E3025B"/>
    <w:rsid w:val="00E4232C"/>
    <w:rsid w:val="00E5472F"/>
    <w:rsid w:val="00E75B72"/>
    <w:rsid w:val="00E77E77"/>
    <w:rsid w:val="00E83EC5"/>
    <w:rsid w:val="00E84616"/>
    <w:rsid w:val="00EA02FC"/>
    <w:rsid w:val="00EA0984"/>
    <w:rsid w:val="00EA5203"/>
    <w:rsid w:val="00EA6110"/>
    <w:rsid w:val="00EC3A7D"/>
    <w:rsid w:val="00EC6F55"/>
    <w:rsid w:val="00ED544A"/>
    <w:rsid w:val="00EE07EB"/>
    <w:rsid w:val="00EE0E0F"/>
    <w:rsid w:val="00EE4512"/>
    <w:rsid w:val="00EE47D9"/>
    <w:rsid w:val="00EE6BF4"/>
    <w:rsid w:val="00F12A8C"/>
    <w:rsid w:val="00F12CEC"/>
    <w:rsid w:val="00F168CF"/>
    <w:rsid w:val="00F1695A"/>
    <w:rsid w:val="00F2331A"/>
    <w:rsid w:val="00F372FF"/>
    <w:rsid w:val="00F40CDE"/>
    <w:rsid w:val="00F4529A"/>
    <w:rsid w:val="00F549E8"/>
    <w:rsid w:val="00F57B09"/>
    <w:rsid w:val="00F64223"/>
    <w:rsid w:val="00F721B2"/>
    <w:rsid w:val="00F80A31"/>
    <w:rsid w:val="00F822CB"/>
    <w:rsid w:val="00F84A46"/>
    <w:rsid w:val="00F84FDC"/>
    <w:rsid w:val="00F86938"/>
    <w:rsid w:val="00F87461"/>
    <w:rsid w:val="00F875FD"/>
    <w:rsid w:val="00FA5D8E"/>
    <w:rsid w:val="00FB2FDA"/>
    <w:rsid w:val="00FC51E5"/>
    <w:rsid w:val="00FD35D2"/>
    <w:rsid w:val="00FF3366"/>
    <w:rsid w:val="00FF44F0"/>
    <w:rsid w:val="00FF4902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36766"/>
  <w15:chartTrackingRefBased/>
  <w15:docId w15:val="{8E982B1C-34C8-4A79-A87C-62163D8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AE"/>
  </w:style>
  <w:style w:type="paragraph" w:styleId="Heading1">
    <w:name w:val="heading 1"/>
    <w:basedOn w:val="Normal"/>
    <w:next w:val="Normal"/>
    <w:link w:val="Heading1Char"/>
    <w:uiPriority w:val="9"/>
    <w:qFormat/>
    <w:rsid w:val="00EE0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00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0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C5"/>
  </w:style>
  <w:style w:type="paragraph" w:styleId="Footer">
    <w:name w:val="footer"/>
    <w:basedOn w:val="Normal"/>
    <w:link w:val="FooterChar"/>
    <w:uiPriority w:val="99"/>
    <w:unhideWhenUsed/>
    <w:rsid w:val="00E8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C5"/>
  </w:style>
  <w:style w:type="table" w:styleId="TableGrid">
    <w:name w:val="Table Grid"/>
    <w:basedOn w:val="TableNormal"/>
    <w:uiPriority w:val="39"/>
    <w:rsid w:val="0004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3A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1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148761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48839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2975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4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652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66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8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992867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28785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7089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99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15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68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2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erregeurope.eu/news-and-events/news/the-third-call-application-pack-now-available" TargetMode="External"/><Relationship Id="rId18" Type="http://schemas.openxmlformats.org/officeDocument/2006/relationships/hyperlink" Target="https://ec.europa.eu/info/funding-tenders/opportunities/portal/screen/opportunities/topic-details/horizon-cl5-2024-d3-02-03?tenders=false&amp;frameworkProgramme=43108390&amp;programmePart=43120193,43120821,43121563&amp;pageSize=50&amp;pageNumber=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rtr.miteco.gob.es/es/ayudas.html?year=prtr%3Adetalle_ayudas_anio%2F2024&amp;year=prtr%3Adetalle_ayudas_anio%2F2025&amp;year=prtr%3Adetalle_ayudas_anio%2F2026&amp;benefitStatus=&amp;targetArea=prtr%3Acomunidades%2F-mbito-nacional&amp;targetArea=prtr%3Acomunidades%2Fandaluc-a&amp;targetArea=prtr%3Acomunidades%2Farag-n&amp;targetArea=prtr%3Acomunidades%2Fasturias-%28principado-de%29&amp;targetArea=prtr%3Acomunidades%2Fbalears-%28las-illes%29&amp;targetArea=prtr%3Acomunidades%2Fcanarias&amp;targetArea=prtr%3Acomunidades%2Fcantabria&amp;targetArea=prtr%3Acomunidades%2Fcastilla-y-le-n&amp;targetArea=prtr%3Acomunidades%2Fcastilla-la-mancha&amp;targetArea=prtr%3Acomunidades%2Fcatalu-a&amp;targetArea=prtr%3Acomunidades%2Fceuta&amp;targetArea=prtr%3Acomunidades%2Fcomunidad-valenciana&amp;targetArea=prtr%3Acomunidades%2Fextremadura&amp;targetArea=prtr%3Acomunidades%2Fgalicia&amp;targetArea=prtr%3Acomunidades%2Fmadrid&amp;targetArea=prtr%3Acomunidades%2Fmelilla&amp;targetArea=prtr%3Acomunidades%2Fmurcia-%28regi-n-de%29&amp;targetArea=prtr%3Acomunidades%2Fnavarra-%28com--foral-de%29&amp;targetArea=prtr%3Acomunidades%2Fpais-vasco&amp;targetArea=prtr%3Acomunidades%2Frioja-%28la%29&amp;performanceArea=prtr%3Adetalle_ayudas-tipo%2Fbiodiversidad&amp;performanceArea=prtr%3Adetalle_ayudas-tipo%2Feconom-a-circular&amp;performanceArea=prtr%3Adetalle_ayudas-tipo%2Feficiencia-energ-tica&amp;performanceArea=prtr%3Adetalle_ayudas-tipo%2Fgesti-n-del-agua&amp;performanceArea=prtr%3Adetalle_ayudas-tipo%2Fhidr-geno&amp;performanceArea=prtr%3Adetalle_ayudas-tipo%2Fmovilidad-sostenible&amp;performanceArea=prtr%3Adetalle_ayudas-tipo%2Frenovables&amp;performanceArea=prtr%3Adetalle_ayudas-tipo%2Ftransici-n-justa-y-reto-demogr-fico&amp;beneficiary=prtr%3Adetalle_ayudas_beneficiario%2Fayuntamientos-o-entidades-p-blicas-asimilables&amp;beneficiary=prtr%3Adetalle_ayudas_beneficiario%2Fccaa&amp;beneficiary=prtr%3Adetalle_ayudas_beneficiario%2Fempresa&amp;beneficiary=prtr%3Adetalle_ayudas_beneficiario%2Finstituciones-de-educaci-n-o-investigaci-n&amp;perteAnnouncement=prtr%3Adetalle_ayudas_convocatoria_perte%2Fno&amp;perteAnnouncement=prtr%3Adetalle_ayudas_convocatoria_perte%2Fperte-veh-culo-el-ctrico-y-conectado&amp;perteAn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lmolto@grupocobra.com" TargetMode="External"/><Relationship Id="rId17" Type="http://schemas.openxmlformats.org/officeDocument/2006/relationships/hyperlink" Target="https://ec.europa.eu/info/funding-tenders/opportunities/portal/screen/opportunities/topic-details/horizon-cl5-2024-d4-02-03?tenders=false&amp;frameworkProgramme=43108390&amp;programmePart=43120193,43120821,43121563&amp;pageSize=50&amp;pageNumber=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portal/screen/opportunities/topic-details/horizon-cl3-2024-drs-01-04" TargetMode="External"/><Relationship Id="rId20" Type="http://schemas.openxmlformats.org/officeDocument/2006/relationships/hyperlink" Target="https://www.prtr.miteco.gob.es/es/ayudas.html?year=prtr%3Adetalle_ayudas_anio%2F2024&amp;year=prtr%3Adetalle_ayudas_anio%2F2025&amp;year=prtr%3Adetalle_ayudas_anio%2F2026&amp;benefitStatus=&amp;targetArea=prtr%3Acomunidades%2F-mbito-nacional&amp;targetArea=prtr%3Acomunidades%2Fandaluc-a&amp;targetArea=prtr%3Acomunidades%2Farag-n&amp;targetArea=prtr%3Acomunidades%2Fasturias-%28principado-de%29&amp;targetArea=prtr%3Acomunidades%2Fbalears-%28las-illes%29&amp;targetArea=prtr%3Acomunidades%2Fcanarias&amp;targetArea=prtr%3Acomunidades%2Fcantabria&amp;targetArea=prtr%3Acomunidades%2Fcastilla-y-le-n&amp;targetArea=prtr%3Acomunidades%2Fcastilla-la-mancha&amp;targetArea=prtr%3Acomunidades%2Fcatalu-a&amp;targetArea=prtr%3Acomunidades%2Fceuta&amp;targetArea=prtr%3Acomunidades%2Fcomunidad-valenciana&amp;targetArea=prtr%3Acomunidades%2Fextremadura&amp;targetArea=prtr%3Acomunidades%2Fgalicia&amp;targetArea=prtr%3Acomunidades%2Fmadrid&amp;targetArea=prtr%3Acomunidades%2Fmelilla&amp;targetArea=prtr%3Acomunidades%2Fmurcia-%28regi-n-de%29&amp;targetArea=prtr%3Acomunidades%2Fnavarra-%28com--foral-de%29&amp;targetArea=prtr%3Acomunidades%2Fpais-vasco&amp;targetArea=prtr%3Acomunidades%2Frioja-%28la%29&amp;performanceArea=prtr%3Adetalle_ayudas-tipo%2Fbiodiversidad&amp;performanceArea=prtr%3Adetalle_ayudas-tipo%2Feconom-a-circular&amp;performanceArea=prtr%3Adetalle_ayudas-tipo%2Feficiencia-energ-tica&amp;performanceArea=prtr%3Adetalle_ayudas-tipo%2Fgesti-n-del-agua&amp;performanceArea=prtr%3Adetalle_ayudas-tipo%2Fhidr-geno&amp;performanceArea=prtr%3Adetalle_ayudas-tipo%2Fmovilidad-sostenible&amp;performanceArea=prtr%3Adetalle_ayudas-tipo%2Frenovables&amp;performanceArea=prtr%3Adetalle_ayudas-tipo%2Ftransici-n-justa-y-reto-demogr-fico&amp;beneficiary=prtr%3Adetalle_ayudas_beneficiario%2Fayuntamientos-o-entidades-p-blicas-asimilables&amp;beneficiary=prtr%3Adetalle_ayudas_beneficiario%2Fccaa&amp;beneficiary=prtr%3Adetalle_ayudas_beneficiario%2Fempresa&amp;beneficiary=prtr%3Adetalle_ayudas_beneficiario%2Finstituciones-de-educaci-n-o-investigaci-n&amp;perteAnnouncement=prtr%3Adetalle_ayudas_convocatoria_perte%2Fno&amp;perteAnnouncement=prtr%3Adetalle_ayudas_convocatoria_perte%2Fperte-veh-culo-el-ctrico-y-conectado&amp;perteAn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varo.diaz@tedagua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inea.ec.europa.eu/news-events/news/whats-new-life-2024-2024-01-03_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dti.es/ayudas/misiones-ciencia-e-innovacion-2023-transmisio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5.interreg-sudoe.eu/gbr/sudoe-2021-2027/the-sudoe-programme" TargetMode="External"/><Relationship Id="rId22" Type="http://schemas.openxmlformats.org/officeDocument/2006/relationships/hyperlink" Target="https://www.cdti.es/ayudas/ecosistemas-de-innova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EA2A8A-B769-4FB8-8639-8699B1D9193F}">
  <we:reference id="wa104382081" version="1.55.1.0" store="en-GB" storeType="OMEX"/>
  <we:alternateReferences>
    <we:reference id="WA104382081" version="1.55.1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D8ED57649FC4C9214C0E6BB622CDD" ma:contentTypeVersion="16" ma:contentTypeDescription="Create a new document." ma:contentTypeScope="" ma:versionID="2d582c0a5bbdd12b0004429033901172">
  <xsd:schema xmlns:xsd="http://www.w3.org/2001/XMLSchema" xmlns:xs="http://www.w3.org/2001/XMLSchema" xmlns:p="http://schemas.microsoft.com/office/2006/metadata/properties" xmlns:ns2="bad8a7c9-03ba-429f-90c1-1ce372e4ceca" xmlns:ns3="8065b9d6-9985-4359-be93-09bc7491c50e" targetNamespace="http://schemas.microsoft.com/office/2006/metadata/properties" ma:root="true" ma:fieldsID="2aa5d1ee2031fc44f2364d03ec0f973f" ns2:_="" ns3:_="">
    <xsd:import namespace="bad8a7c9-03ba-429f-90c1-1ce372e4ceca"/>
    <xsd:import namespace="8065b9d6-9985-4359-be93-09bc7491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a7c9-03ba-429f-90c1-1ce372e4c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640e65-e1da-4ed5-af06-7f583e4a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b9d6-9985-4359-be93-09bc7491c5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7731ec-13cd-4ed5-8caf-f86fe387c947}" ma:internalName="TaxCatchAll" ma:showField="CatchAllData" ma:web="8065b9d6-9985-4359-be93-09bc7491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8a7c9-03ba-429f-90c1-1ce372e4ceca">
      <Terms xmlns="http://schemas.microsoft.com/office/infopath/2007/PartnerControls"/>
    </lcf76f155ced4ddcb4097134ff3c332f>
    <TaxCatchAll xmlns="8065b9d6-9985-4359-be93-09bc7491c50e" xsi:nil="true"/>
    <_Flow_SignoffStatus xmlns="bad8a7c9-03ba-429f-90c1-1ce372e4ceca" xsi:nil="true"/>
  </documentManagement>
</p:properties>
</file>

<file path=customXml/itemProps1.xml><?xml version="1.0" encoding="utf-8"?>
<ds:datastoreItem xmlns:ds="http://schemas.openxmlformats.org/officeDocument/2006/customXml" ds:itemID="{104F2322-69A6-4719-A65F-533A0D1A3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67E8C-DA94-4953-82BE-7B77FACE9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5590E-A25E-4D54-8C1E-AFD94F86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a7c9-03ba-429f-90c1-1ce372e4ceca"/>
    <ds:schemaRef ds:uri="8065b9d6-9985-4359-be93-09bc7491c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31CE0-074E-4793-A2D5-6B8EB35DD82B}">
  <ds:schemaRefs>
    <ds:schemaRef ds:uri="http://schemas.microsoft.com/office/2006/metadata/properties"/>
    <ds:schemaRef ds:uri="http://schemas.microsoft.com/office/infopath/2007/PartnerControls"/>
    <ds:schemaRef ds:uri="bad8a7c9-03ba-429f-90c1-1ce372e4ceca"/>
    <ds:schemaRef ds:uri="8065b9d6-9985-4359-be93-09bc7491c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4129</TotalTime>
  <Pages>4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Molto Marin</dc:creator>
  <cp:keywords/>
  <dc:description/>
  <cp:lastModifiedBy>Jose Luis Molto Marin</cp:lastModifiedBy>
  <cp:revision>414</cp:revision>
  <dcterms:created xsi:type="dcterms:W3CDTF">2023-08-29T05:42:00Z</dcterms:created>
  <dcterms:modified xsi:type="dcterms:W3CDTF">2024-05-07T13:14:00Z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0x010100CCED8ED57649FC4C9214C0E6BB622CDD</vt:lpwstr>
  </property>
  <property fmtid="{D5CDD505-2E9C-101B-9397-08002B2CF9AE}" pid="3" name="MediaServiceImageTags">
    <vt:lpwstr/>
  </property>
</Properties>
</file>