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85DA4" w14:textId="65D8CCE8" w:rsidR="00F622EF" w:rsidRDefault="00B607D9">
      <w:pPr>
        <w:rPr>
          <w:lang w:val="de-DE"/>
        </w:rPr>
      </w:pPr>
      <w:bookmarkStart w:id="0" w:name="_GoBack"/>
      <w:bookmarkEnd w:id="0"/>
      <w:r>
        <w:rPr>
          <w:lang w:val="de-DE"/>
        </w:rPr>
        <w:t>Concept Research project PSI Hamid</w:t>
      </w:r>
    </w:p>
    <w:p w14:paraId="4939BAB8" w14:textId="46BD07E6" w:rsidR="00B607D9" w:rsidRDefault="00B607D9">
      <w:pPr>
        <w:rPr>
          <w:lang w:val="de-DE"/>
        </w:rPr>
      </w:pPr>
    </w:p>
    <w:p w14:paraId="1177FD99" w14:textId="77777777" w:rsidR="00B607D9" w:rsidRDefault="00B607D9">
      <w:r w:rsidRPr="00B607D9">
        <w:t xml:space="preserve">Topic: </w:t>
      </w:r>
      <w:r>
        <w:tab/>
      </w:r>
      <w:r w:rsidRPr="00B607D9">
        <w:t xml:space="preserve">Characterization of degradation pathways of </w:t>
      </w:r>
      <w:r>
        <w:t xml:space="preserve">supra molecular photocatalysts under </w:t>
      </w:r>
    </w:p>
    <w:p w14:paraId="5CE4E156" w14:textId="4348A33C" w:rsidR="00B607D9" w:rsidRDefault="00B607D9" w:rsidP="00B607D9">
      <w:pPr>
        <w:ind w:firstLine="708"/>
      </w:pPr>
      <w:r>
        <w:t>repair with HPLC</w:t>
      </w:r>
    </w:p>
    <w:p w14:paraId="24F9EA06" w14:textId="2293B9EE" w:rsidR="00B607D9" w:rsidRDefault="00B607D9" w:rsidP="00B607D9"/>
    <w:p w14:paraId="18509975" w14:textId="671BE79B" w:rsidR="00B607D9" w:rsidRDefault="00B607D9" w:rsidP="00B607D9"/>
    <w:p w14:paraId="349117CD" w14:textId="668AC36D" w:rsidR="00B607D9" w:rsidRDefault="00B607D9" w:rsidP="00B607D9">
      <w:r>
        <w:t>Background</w:t>
      </w:r>
    </w:p>
    <w:p w14:paraId="74782A66" w14:textId="40FF8A49" w:rsidR="00B607D9" w:rsidRDefault="00B607D9" w:rsidP="00B607D9"/>
    <w:p w14:paraId="2668D67B" w14:textId="201D3D54" w:rsidR="00B607D9" w:rsidRDefault="00B607D9" w:rsidP="00B607D9">
      <w:pPr>
        <w:pStyle w:val="a3"/>
        <w:numPr>
          <w:ilvl w:val="0"/>
          <w:numId w:val="1"/>
        </w:numPr>
      </w:pPr>
      <w:r>
        <w:t>Photocatalytic water splitting with supra molecular photocatalysts leads to formation of hydrogen using visible light</w:t>
      </w:r>
    </w:p>
    <w:p w14:paraId="1CC67611" w14:textId="3585C60B" w:rsidR="00B607D9" w:rsidRDefault="00B607D9" w:rsidP="00B607D9">
      <w:pPr>
        <w:pStyle w:val="a3"/>
        <w:numPr>
          <w:ilvl w:val="0"/>
          <w:numId w:val="1"/>
        </w:numPr>
      </w:pPr>
      <w:r>
        <w:t>Long term catalytic activity is hampered by limited TON’s (</w:t>
      </w:r>
      <w:proofErr w:type="spellStart"/>
      <w:r>
        <w:t>upto</w:t>
      </w:r>
      <w:proofErr w:type="spellEnd"/>
      <w:r>
        <w:t xml:space="preserve"> 500) and life times of active catalysis of 48 h max.</w:t>
      </w:r>
    </w:p>
    <w:p w14:paraId="680B6E22" w14:textId="30C10FE8" w:rsidR="00B607D9" w:rsidRDefault="00B607D9" w:rsidP="00B607D9">
      <w:pPr>
        <w:pStyle w:val="a3"/>
        <w:numPr>
          <w:ilvl w:val="0"/>
          <w:numId w:val="1"/>
        </w:numPr>
      </w:pPr>
      <w:r>
        <w:t xml:space="preserve">Analysis of </w:t>
      </w:r>
      <w:r w:rsidR="00FB13CA">
        <w:t>degradation products at the endpoint of catalysis have revealed that the catalyst is intact but the bridging ligand hydrogenated</w:t>
      </w:r>
    </w:p>
    <w:p w14:paraId="45CBE17C" w14:textId="7D15F0BC" w:rsidR="00FB13CA" w:rsidRDefault="00FB13CA" w:rsidP="00FB13CA">
      <w:pPr>
        <w:pStyle w:val="a3"/>
        <w:numPr>
          <w:ilvl w:val="0"/>
          <w:numId w:val="1"/>
        </w:numPr>
      </w:pPr>
      <w:r>
        <w:t xml:space="preserve">Reoxidation of the bridging ligand with 1O2 was accomplished and lead to regeneration of the photocatalytic activity </w:t>
      </w:r>
    </w:p>
    <w:p w14:paraId="4DC14B44" w14:textId="7F5AF4F6" w:rsidR="00FB13CA" w:rsidRDefault="00FB13CA" w:rsidP="00FB13CA">
      <w:pPr>
        <w:pStyle w:val="a3"/>
        <w:numPr>
          <w:ilvl w:val="0"/>
          <w:numId w:val="1"/>
        </w:numPr>
      </w:pPr>
      <w:r>
        <w:t>Successive repetition of this repair process improved overall TON and lifetime</w:t>
      </w:r>
    </w:p>
    <w:p w14:paraId="52D23C46" w14:textId="6DA77F68" w:rsidR="00D32280" w:rsidRDefault="00FB13CA" w:rsidP="00D32280">
      <w:pPr>
        <w:spacing w:after="240"/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</w:pPr>
      <w:r w:rsidRPr="00A83BF2">
        <w:rPr>
          <w:rFonts w:ascii="Arial" w:hAnsi="Arial" w:cs="Arial"/>
          <w:noProof/>
          <w:lang w:val="en-GB" w:eastAsia="en-GB"/>
        </w:rPr>
        <w:drawing>
          <wp:inline distT="0" distB="0" distL="0" distR="0" wp14:anchorId="745FCA9D" wp14:editId="19ECDF6D">
            <wp:extent cx="2873453" cy="5244649"/>
            <wp:effectExtent l="0" t="0" r="317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53" cy="524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C1CD6B" w14:textId="77777777" w:rsidR="00D32280" w:rsidRPr="00D32280" w:rsidRDefault="00D32280" w:rsidP="00D32280">
      <w:pPr>
        <w:spacing w:after="240" w:line="480" w:lineRule="auto"/>
        <w:jc w:val="both"/>
        <w:rPr>
          <w:rFonts w:ascii="Arial" w:hAnsi="Arial" w:cs="Arial"/>
          <w:sz w:val="20"/>
          <w:szCs w:val="20"/>
          <w:lang w:val="en-IE"/>
        </w:rPr>
      </w:pPr>
      <w:r w:rsidRPr="00D32280">
        <w:rPr>
          <w:rFonts w:ascii="Arial" w:hAnsi="Arial" w:cs="Arial"/>
          <w:b/>
          <w:sz w:val="20"/>
          <w:szCs w:val="20"/>
          <w:lang w:val="en-IE"/>
        </w:rPr>
        <w:t xml:space="preserve">Fig. 1. Visible light-driven hydrogen production with a photochemical molecular device (PMD). </w:t>
      </w:r>
      <w:r w:rsidRPr="00D32280">
        <w:rPr>
          <w:rFonts w:ascii="Arial" w:hAnsi="Arial" w:cs="Arial"/>
          <w:sz w:val="20"/>
          <w:szCs w:val="20"/>
          <w:lang w:val="en-IE"/>
        </w:rPr>
        <w:t>Molecular structure of the</w:t>
      </w:r>
      <w:r w:rsidRPr="00D32280">
        <w:rPr>
          <w:rFonts w:ascii="Arial" w:hAnsi="Arial" w:cs="Arial"/>
          <w:b/>
          <w:sz w:val="20"/>
          <w:szCs w:val="20"/>
          <w:lang w:val="en-IE"/>
        </w:rPr>
        <w:t xml:space="preserve"> </w:t>
      </w:r>
      <w:proofErr w:type="spellStart"/>
      <w:r w:rsidRPr="00D32280">
        <w:rPr>
          <w:rFonts w:ascii="Arial" w:hAnsi="Arial" w:cs="Arial"/>
          <w:b/>
          <w:sz w:val="20"/>
          <w:szCs w:val="20"/>
          <w:lang w:val="en-IE"/>
        </w:rPr>
        <w:t>Ru</w:t>
      </w:r>
      <w:proofErr w:type="spellEnd"/>
      <w:r w:rsidRPr="00D32280">
        <w:rPr>
          <w:rFonts w:ascii="Arial" w:hAnsi="Arial" w:cs="Arial"/>
          <w:b/>
          <w:sz w:val="20"/>
          <w:szCs w:val="20"/>
          <w:lang w:val="en-IE"/>
        </w:rPr>
        <w:t>(</w:t>
      </w:r>
      <w:proofErr w:type="spellStart"/>
      <w:r w:rsidRPr="00D32280">
        <w:rPr>
          <w:rFonts w:ascii="Arial" w:hAnsi="Arial" w:cs="Arial"/>
          <w:b/>
          <w:sz w:val="20"/>
          <w:szCs w:val="20"/>
          <w:lang w:val="en-IE"/>
        </w:rPr>
        <w:t>tpphz</w:t>
      </w:r>
      <w:proofErr w:type="spellEnd"/>
      <w:r w:rsidRPr="00D32280">
        <w:rPr>
          <w:rFonts w:ascii="Arial" w:hAnsi="Arial" w:cs="Arial"/>
          <w:b/>
          <w:sz w:val="20"/>
          <w:szCs w:val="20"/>
          <w:lang w:val="en-IE"/>
        </w:rPr>
        <w:t>)PtI</w:t>
      </w:r>
      <w:r w:rsidRPr="00D32280">
        <w:rPr>
          <w:rFonts w:ascii="Arial" w:hAnsi="Arial" w:cs="Arial"/>
          <w:b/>
          <w:sz w:val="20"/>
          <w:szCs w:val="20"/>
          <w:vertAlign w:val="subscript"/>
          <w:lang w:val="en-IE"/>
        </w:rPr>
        <w:t>2</w:t>
      </w:r>
      <w:r w:rsidRPr="00D32280">
        <w:rPr>
          <w:rFonts w:ascii="Arial" w:hAnsi="Arial" w:cs="Arial"/>
          <w:sz w:val="20"/>
          <w:szCs w:val="20"/>
          <w:lang w:val="en-IE"/>
        </w:rPr>
        <w:t xml:space="preserve"> </w:t>
      </w:r>
      <w:proofErr w:type="spellStart"/>
      <w:r w:rsidRPr="00D32280">
        <w:rPr>
          <w:rFonts w:ascii="Arial" w:hAnsi="Arial" w:cs="Arial"/>
          <w:sz w:val="20"/>
          <w:szCs w:val="20"/>
          <w:lang w:val="en-IE"/>
        </w:rPr>
        <w:t>photocatalyst</w:t>
      </w:r>
      <w:proofErr w:type="spellEnd"/>
      <w:r w:rsidRPr="00D32280">
        <w:rPr>
          <w:rFonts w:ascii="Arial" w:hAnsi="Arial" w:cs="Arial"/>
          <w:sz w:val="20"/>
          <w:szCs w:val="20"/>
          <w:lang w:val="en-IE"/>
        </w:rPr>
        <w:t>, consisting of a bis(</w:t>
      </w:r>
      <w:r w:rsidRPr="00D32280">
        <w:rPr>
          <w:rFonts w:ascii="Arial" w:hAnsi="Arial" w:cs="Arial"/>
          <w:i/>
          <w:sz w:val="20"/>
          <w:szCs w:val="20"/>
          <w:lang w:val="en-IE"/>
        </w:rPr>
        <w:t>tert</w:t>
      </w:r>
      <w:r w:rsidRPr="00D32280">
        <w:rPr>
          <w:rFonts w:ascii="Arial" w:hAnsi="Arial" w:cs="Arial"/>
          <w:sz w:val="20"/>
          <w:szCs w:val="20"/>
          <w:lang w:val="en-IE"/>
        </w:rPr>
        <w:t>-butyl-bipyridine)-</w:t>
      </w:r>
      <w:r w:rsidRPr="00D32280">
        <w:rPr>
          <w:rFonts w:ascii="Arial" w:hAnsi="Arial" w:cs="Arial"/>
          <w:sz w:val="20"/>
          <w:szCs w:val="20"/>
          <w:lang w:val="en-IE"/>
        </w:rPr>
        <w:lastRenderedPageBreak/>
        <w:t xml:space="preserve">ruthenium (II) </w:t>
      </w:r>
      <w:proofErr w:type="spellStart"/>
      <w:r w:rsidRPr="00D32280">
        <w:rPr>
          <w:rFonts w:ascii="Arial" w:hAnsi="Arial" w:cs="Arial"/>
          <w:sz w:val="20"/>
          <w:szCs w:val="20"/>
          <w:lang w:val="en-IE"/>
        </w:rPr>
        <w:t>photocenter</w:t>
      </w:r>
      <w:proofErr w:type="spellEnd"/>
      <w:r w:rsidRPr="00D32280">
        <w:rPr>
          <w:rFonts w:ascii="Arial" w:hAnsi="Arial" w:cs="Arial"/>
          <w:sz w:val="20"/>
          <w:szCs w:val="20"/>
          <w:lang w:val="en-IE"/>
        </w:rPr>
        <w:t xml:space="preserve">, a </w:t>
      </w:r>
      <w:proofErr w:type="spellStart"/>
      <w:r w:rsidRPr="00D32280">
        <w:rPr>
          <w:rFonts w:ascii="Arial" w:hAnsi="Arial" w:cs="Arial"/>
          <w:sz w:val="20"/>
          <w:szCs w:val="20"/>
          <w:lang w:val="en-IE"/>
        </w:rPr>
        <w:t>tetrapyridophenazine</w:t>
      </w:r>
      <w:proofErr w:type="spellEnd"/>
      <w:r w:rsidRPr="00D32280">
        <w:rPr>
          <w:rFonts w:ascii="Arial" w:hAnsi="Arial" w:cs="Arial"/>
          <w:sz w:val="20"/>
          <w:szCs w:val="20"/>
          <w:lang w:val="en-IE"/>
        </w:rPr>
        <w:t xml:space="preserve"> (</w:t>
      </w:r>
      <w:proofErr w:type="spellStart"/>
      <w:r w:rsidRPr="00D32280">
        <w:rPr>
          <w:rFonts w:ascii="Arial" w:hAnsi="Arial" w:cs="Arial"/>
          <w:sz w:val="20"/>
          <w:szCs w:val="20"/>
          <w:lang w:val="en-IE"/>
        </w:rPr>
        <w:t>tpphz</w:t>
      </w:r>
      <w:proofErr w:type="spellEnd"/>
      <w:r w:rsidRPr="00D32280">
        <w:rPr>
          <w:rFonts w:ascii="Arial" w:hAnsi="Arial" w:cs="Arial"/>
          <w:sz w:val="20"/>
          <w:szCs w:val="20"/>
          <w:lang w:val="en-IE"/>
        </w:rPr>
        <w:t xml:space="preserve">) bridging ligand and a </w:t>
      </w:r>
      <w:proofErr w:type="spellStart"/>
      <w:r w:rsidRPr="00D32280">
        <w:rPr>
          <w:rFonts w:ascii="Arial" w:hAnsi="Arial" w:cs="Arial"/>
          <w:sz w:val="20"/>
          <w:szCs w:val="20"/>
          <w:lang w:val="en-IE"/>
        </w:rPr>
        <w:t>diiodo</w:t>
      </w:r>
      <w:proofErr w:type="spellEnd"/>
      <w:r w:rsidRPr="00D32280">
        <w:rPr>
          <w:rFonts w:ascii="Arial" w:hAnsi="Arial" w:cs="Arial"/>
          <w:sz w:val="20"/>
          <w:szCs w:val="20"/>
          <w:lang w:val="en-IE"/>
        </w:rPr>
        <w:t xml:space="preserve">-platinum(II) catalytic </w:t>
      </w:r>
      <w:proofErr w:type="spellStart"/>
      <w:r w:rsidRPr="00D32280">
        <w:rPr>
          <w:rFonts w:ascii="Arial" w:hAnsi="Arial" w:cs="Arial"/>
          <w:sz w:val="20"/>
          <w:szCs w:val="20"/>
          <w:lang w:val="en-IE"/>
        </w:rPr>
        <w:t>center</w:t>
      </w:r>
      <w:proofErr w:type="spellEnd"/>
      <w:r w:rsidRPr="00D32280">
        <w:rPr>
          <w:rFonts w:ascii="Arial" w:hAnsi="Arial" w:cs="Arial"/>
          <w:sz w:val="20"/>
          <w:szCs w:val="20"/>
          <w:lang w:val="en-IE"/>
        </w:rPr>
        <w:t xml:space="preserve"> (</w:t>
      </w:r>
      <w:r w:rsidRPr="00D32280">
        <w:rPr>
          <w:rFonts w:ascii="Arial" w:hAnsi="Arial" w:cs="Arial"/>
          <w:b/>
          <w:bCs/>
          <w:sz w:val="20"/>
          <w:szCs w:val="20"/>
          <w:lang w:val="en-IE"/>
        </w:rPr>
        <w:t>a</w:t>
      </w:r>
      <w:r w:rsidRPr="00D32280">
        <w:rPr>
          <w:rFonts w:ascii="Arial" w:hAnsi="Arial" w:cs="Arial"/>
          <w:sz w:val="20"/>
          <w:szCs w:val="20"/>
          <w:lang w:val="en-IE"/>
        </w:rPr>
        <w:t xml:space="preserve">). Photocatalytic hydrogen production with </w:t>
      </w:r>
      <w:proofErr w:type="spellStart"/>
      <w:r w:rsidRPr="00D32280">
        <w:rPr>
          <w:rFonts w:ascii="Arial" w:hAnsi="Arial" w:cs="Arial"/>
          <w:b/>
          <w:sz w:val="20"/>
          <w:szCs w:val="20"/>
          <w:lang w:val="en-IE"/>
        </w:rPr>
        <w:t>Ru</w:t>
      </w:r>
      <w:proofErr w:type="spellEnd"/>
      <w:r w:rsidRPr="00D32280">
        <w:rPr>
          <w:rFonts w:ascii="Arial" w:hAnsi="Arial" w:cs="Arial"/>
          <w:b/>
          <w:sz w:val="20"/>
          <w:szCs w:val="20"/>
          <w:lang w:val="en-IE"/>
        </w:rPr>
        <w:t>(</w:t>
      </w:r>
      <w:proofErr w:type="spellStart"/>
      <w:r w:rsidRPr="00D32280">
        <w:rPr>
          <w:rFonts w:ascii="Arial" w:hAnsi="Arial" w:cs="Arial"/>
          <w:b/>
          <w:sz w:val="20"/>
          <w:szCs w:val="20"/>
          <w:lang w:val="en-IE"/>
        </w:rPr>
        <w:t>tpphz</w:t>
      </w:r>
      <w:proofErr w:type="spellEnd"/>
      <w:r w:rsidRPr="00D32280">
        <w:rPr>
          <w:rFonts w:ascii="Arial" w:hAnsi="Arial" w:cs="Arial"/>
          <w:b/>
          <w:sz w:val="20"/>
          <w:szCs w:val="20"/>
          <w:lang w:val="en-IE"/>
        </w:rPr>
        <w:t>)PtI</w:t>
      </w:r>
      <w:r w:rsidRPr="00D32280">
        <w:rPr>
          <w:rFonts w:ascii="Arial" w:hAnsi="Arial" w:cs="Arial"/>
          <w:b/>
          <w:sz w:val="20"/>
          <w:szCs w:val="20"/>
          <w:vertAlign w:val="subscript"/>
          <w:lang w:val="en-IE"/>
        </w:rPr>
        <w:t>2</w:t>
      </w:r>
      <w:r w:rsidRPr="00D32280">
        <w:rPr>
          <w:rFonts w:ascii="Arial" w:hAnsi="Arial" w:cs="Arial"/>
          <w:sz w:val="20"/>
          <w:szCs w:val="20"/>
          <w:lang w:val="en-IE"/>
        </w:rPr>
        <w:t xml:space="preserve"> (</w:t>
      </w:r>
      <w:r w:rsidRPr="00D32280">
        <w:rPr>
          <w:rFonts w:ascii="Arial" w:hAnsi="Arial" w:cs="Arial"/>
          <w:b/>
          <w:bCs/>
          <w:sz w:val="20"/>
          <w:szCs w:val="20"/>
          <w:lang w:val="en-IE"/>
        </w:rPr>
        <w:t>b</w:t>
      </w:r>
      <w:r w:rsidRPr="00D32280">
        <w:rPr>
          <w:rFonts w:ascii="Arial" w:hAnsi="Arial" w:cs="Arial"/>
          <w:sz w:val="20"/>
          <w:szCs w:val="20"/>
          <w:lang w:val="en-IE"/>
        </w:rPr>
        <w:t xml:space="preserve">, TON = turnover number). Through the short exposure of the hydrogenated PMD to </w:t>
      </w:r>
      <w:r w:rsidRPr="00D32280">
        <w:rPr>
          <w:rFonts w:ascii="Arial" w:hAnsi="Arial" w:cs="Arial"/>
          <w:i/>
          <w:sz w:val="20"/>
          <w:szCs w:val="20"/>
          <w:lang w:val="en-IE"/>
        </w:rPr>
        <w:t>in situ</w:t>
      </w:r>
      <w:r w:rsidRPr="00D32280">
        <w:rPr>
          <w:rFonts w:ascii="Arial" w:hAnsi="Arial" w:cs="Arial"/>
          <w:sz w:val="20"/>
          <w:szCs w:val="20"/>
          <w:lang w:val="en-IE"/>
        </w:rPr>
        <w:t xml:space="preserve"> generated singlet oxygen (</w:t>
      </w:r>
      <w:r w:rsidRPr="00D32280">
        <w:rPr>
          <w:rFonts w:ascii="Arial" w:hAnsi="Arial" w:cs="Arial"/>
          <w:sz w:val="20"/>
          <w:szCs w:val="20"/>
          <w:vertAlign w:val="superscript"/>
          <w:lang w:val="en-IE"/>
        </w:rPr>
        <w:t>1</w:t>
      </w:r>
      <w:r w:rsidRPr="00D32280">
        <w:rPr>
          <w:rFonts w:ascii="Arial" w:hAnsi="Arial" w:cs="Arial"/>
          <w:sz w:val="20"/>
          <w:szCs w:val="20"/>
          <w:lang w:val="en-IE"/>
        </w:rPr>
        <w:t>O</w:t>
      </w:r>
      <w:r w:rsidRPr="00D32280">
        <w:rPr>
          <w:rFonts w:ascii="Arial" w:hAnsi="Arial" w:cs="Arial"/>
          <w:sz w:val="20"/>
          <w:szCs w:val="20"/>
          <w:vertAlign w:val="subscript"/>
          <w:lang w:val="en-IE"/>
        </w:rPr>
        <w:t>2</w:t>
      </w:r>
      <w:r w:rsidRPr="00D32280">
        <w:rPr>
          <w:rFonts w:ascii="Arial" w:hAnsi="Arial" w:cs="Arial"/>
          <w:sz w:val="20"/>
          <w:szCs w:val="20"/>
          <w:lang w:val="en-IE"/>
        </w:rPr>
        <w:t>), the photocatalyst</w:t>
      </w:r>
      <w:r w:rsidRPr="00D32280">
        <w:rPr>
          <w:rFonts w:ascii="Arial" w:hAnsi="Arial" w:cs="Arial"/>
          <w:b/>
          <w:sz w:val="20"/>
          <w:szCs w:val="20"/>
          <w:lang w:val="en-IE"/>
        </w:rPr>
        <w:t xml:space="preserve"> </w:t>
      </w:r>
      <w:r w:rsidRPr="00D32280">
        <w:rPr>
          <w:rFonts w:ascii="Arial" w:hAnsi="Arial" w:cs="Arial"/>
          <w:sz w:val="20"/>
          <w:szCs w:val="20"/>
          <w:lang w:val="en-IE"/>
        </w:rPr>
        <w:t xml:space="preserve">is re-oxidized to its active form and is again applicable for light-driven hydrogen production. By the repetitive active repair of the </w:t>
      </w:r>
      <w:r w:rsidRPr="00D32280">
        <w:rPr>
          <w:rFonts w:ascii="Arial" w:hAnsi="Arial" w:cs="Arial"/>
          <w:i/>
          <w:iCs/>
          <w:sz w:val="20"/>
          <w:szCs w:val="20"/>
          <w:lang w:val="en-IE"/>
        </w:rPr>
        <w:t>damaged</w:t>
      </w:r>
      <w:r w:rsidRPr="00D32280">
        <w:rPr>
          <w:rFonts w:ascii="Arial" w:hAnsi="Arial" w:cs="Arial"/>
          <w:sz w:val="20"/>
          <w:szCs w:val="20"/>
          <w:lang w:val="en-IE"/>
        </w:rPr>
        <w:t xml:space="preserve"> photocatalyst, the long-term activity of the PMD is prolonged to weeks of active hydrogen formation.</w:t>
      </w:r>
    </w:p>
    <w:p w14:paraId="4DCF97B7" w14:textId="77777777" w:rsidR="00D32280" w:rsidRPr="00D32280" w:rsidRDefault="00D32280" w:rsidP="00D32280">
      <w:pPr>
        <w:spacing w:after="240"/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lang w:val="en-IE"/>
        </w:rPr>
      </w:pPr>
    </w:p>
    <w:p w14:paraId="2174BB44" w14:textId="1640E65D" w:rsidR="00D32280" w:rsidRDefault="00D32280" w:rsidP="00D32280">
      <w:pPr>
        <w:spacing w:after="240"/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</w:pPr>
      <w:r w:rsidRPr="00A83BF2">
        <w:rPr>
          <w:rFonts w:ascii="Arial" w:eastAsia="MyriadPro-Regular" w:hAnsi="Arial" w:cs="Arial"/>
          <w:noProof/>
          <w:color w:val="231F20"/>
          <w:shd w:val="clear" w:color="auto" w:fill="FFFFFF"/>
          <w:lang w:val="en-GB" w:eastAsia="en-GB"/>
        </w:rPr>
        <w:drawing>
          <wp:inline distT="0" distB="0" distL="0" distR="0" wp14:anchorId="566BB9F1" wp14:editId="7DC933CE">
            <wp:extent cx="5219999" cy="307388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999" cy="307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 xml:space="preserve"> </w:t>
      </w:r>
    </w:p>
    <w:p w14:paraId="389DB2FF" w14:textId="15BD7D18" w:rsidR="00D32280" w:rsidRPr="00D32280" w:rsidRDefault="00D32280" w:rsidP="00D32280">
      <w:pPr>
        <w:spacing w:after="240"/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</w:pP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 xml:space="preserve">Fig. 2. UV/vis absorption spectra of the catalytic solution at different irradiation times. 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The </w:t>
      </w:r>
      <w:r w:rsidRPr="00D32280">
        <w:rPr>
          <w:rFonts w:ascii="Arial" w:eastAsia="MyriadPro-Regular" w:hAnsi="Arial" w:cs="Arial"/>
          <w:i/>
          <w:color w:val="231F20"/>
          <w:sz w:val="20"/>
          <w:szCs w:val="20"/>
          <w:shd w:val="clear" w:color="auto" w:fill="FFFFFF"/>
        </w:rPr>
        <w:t>in situ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 absorption spectra of the catalytic solution show a rapid rise of a new absorption band between 500 nm and 650 nm, which is assigned to reduction of the </w:t>
      </w:r>
      <w:proofErr w:type="spellStart"/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>tpphz</w:t>
      </w:r>
      <w:proofErr w:type="spellEnd"/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 bridging unit of the </w:t>
      </w:r>
      <w:proofErr w:type="spellStart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Ru</w:t>
      </w:r>
      <w:proofErr w:type="spellEnd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(</w:t>
      </w:r>
      <w:proofErr w:type="spellStart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tpphz</w:t>
      </w:r>
      <w:proofErr w:type="spellEnd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)PtI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>photocatalyst</w:t>
      </w:r>
      <w:proofErr w:type="spellEnd"/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. Besides a fast increase of the absorption intensity, the maximum of the new band slowly shifts </w:t>
      </w:r>
      <w:proofErr w:type="spellStart"/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>hypsochromically</w:t>
      </w:r>
      <w:proofErr w:type="spellEnd"/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 from 592 nm to 570 nm with continuous LED irradiation at 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>455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 nm. This is attributed to the formation of 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>the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 catalytically inactive species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 xml:space="preserve">, </w:t>
      </w:r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</w:rPr>
        <w:t>Ru(tpphzH</w:t>
      </w:r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</w:rPr>
        <w:t>)PtI</w:t>
      </w:r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bCs/>
          <w:color w:val="231F20"/>
          <w:sz w:val="20"/>
          <w:szCs w:val="20"/>
          <w:shd w:val="clear" w:color="auto" w:fill="FFFFFF"/>
        </w:rPr>
        <w:t>.</w:t>
      </w:r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shd w:val="clear" w:color="auto" w:fill="FFFFFF"/>
          <w:vertAlign w:val="subscript"/>
        </w:rPr>
        <w:t xml:space="preserve"> 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No further spectral changes are observed after 48 hours of catalysis. 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 xml:space="preserve">The gray, dashed line shows the UV/vis absorption spectrum of the singly reduced </w:t>
      </w:r>
      <w:proofErr w:type="spellStart"/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>photocatalyst</w:t>
      </w:r>
      <w:proofErr w:type="spellEnd"/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 xml:space="preserve"> (</w:t>
      </w:r>
      <w:proofErr w:type="spellStart"/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</w:rPr>
        <w:t>Ru</w:t>
      </w:r>
      <w:proofErr w:type="spellEnd"/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</w:rPr>
        <w:t>(</w:t>
      </w:r>
      <w:proofErr w:type="spellStart"/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</w:rPr>
        <w:t>tpphz</w:t>
      </w:r>
      <w:proofErr w:type="spellEnd"/>
      <w:r w:rsidRPr="00D32280">
        <w:rPr>
          <w:rFonts w:ascii="Arial" w:eastAsia="MyriadPro-Regular" w:hAnsi="Arial" w:cs="Arial"/>
          <w:b/>
          <w:color w:val="231F20"/>
          <w:sz w:val="20"/>
          <w:szCs w:val="20"/>
          <w:highlight w:val="yellow"/>
          <w:shd w:val="clear" w:color="auto" w:fill="FFFFFF"/>
          <w:vertAlign w:val="superscript"/>
        </w:rPr>
        <w:t>•–</w:t>
      </w:r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</w:rPr>
        <w:t>)PtI</w:t>
      </w:r>
      <w:r w:rsidRPr="00D32280">
        <w:rPr>
          <w:rFonts w:ascii="Arial" w:eastAsia="MyriadPro-Regular" w:hAnsi="Arial" w:cs="Arial"/>
          <w:b/>
          <w:bCs/>
          <w:color w:val="231F20"/>
          <w:sz w:val="20"/>
          <w:szCs w:val="20"/>
          <w:highlight w:val="yellow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 xml:space="preserve">) in acetonitrile (-1.35 V </w:t>
      </w:r>
      <w:r w:rsidRPr="00D32280">
        <w:rPr>
          <w:rFonts w:ascii="Arial" w:eastAsia="MyriadPro-Regular" w:hAnsi="Arial" w:cs="Arial"/>
          <w:i/>
          <w:iCs/>
          <w:color w:val="231F20"/>
          <w:sz w:val="20"/>
          <w:szCs w:val="20"/>
          <w:highlight w:val="yellow"/>
          <w:shd w:val="clear" w:color="auto" w:fill="FFFFFF"/>
        </w:rPr>
        <w:t>vs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>. Fc/Fc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  <w:vertAlign w:val="superscript"/>
        </w:rPr>
        <w:t>+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 xml:space="preserve">, 0.1 M </w:t>
      </w:r>
      <w:r w:rsidRPr="00D32280">
        <w:rPr>
          <w:rFonts w:ascii="Arial" w:eastAsia="MyriadPro-Regular" w:hAnsi="Arial" w:cs="Arial"/>
          <w:i/>
          <w:iCs/>
          <w:color w:val="231F20"/>
          <w:sz w:val="20"/>
          <w:szCs w:val="20"/>
          <w:highlight w:val="yellow"/>
          <w:shd w:val="clear" w:color="auto" w:fill="FFFFFF"/>
        </w:rPr>
        <w:t>n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>-Bu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  <w:vertAlign w:val="subscript"/>
        </w:rPr>
        <w:t>4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>NBF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  <w:vertAlign w:val="subscript"/>
        </w:rPr>
        <w:t>4</w:t>
      </w:r>
      <w:r w:rsidRPr="00D32280">
        <w:rPr>
          <w:rFonts w:ascii="Arial" w:eastAsia="MyriadPro-Regular" w:hAnsi="Arial" w:cs="Arial"/>
          <w:color w:val="231F20"/>
          <w:sz w:val="20"/>
          <w:szCs w:val="20"/>
          <w:highlight w:val="yellow"/>
          <w:shd w:val="clear" w:color="auto" w:fill="FFFFFF"/>
        </w:rPr>
        <w:t>).</w:t>
      </w:r>
    </w:p>
    <w:p w14:paraId="5F748444" w14:textId="14E8A6FF" w:rsidR="00FB13CA" w:rsidRDefault="00FB13CA" w:rsidP="00FB13CA">
      <w:pPr>
        <w:pStyle w:val="a3"/>
      </w:pPr>
    </w:p>
    <w:p w14:paraId="282C4E1A" w14:textId="77777777" w:rsidR="00D32280" w:rsidRDefault="00D32280" w:rsidP="00D32280">
      <w:pPr>
        <w:spacing w:after="240"/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</w:pPr>
      <w:r w:rsidRPr="00A83BF2">
        <w:rPr>
          <w:rFonts w:ascii="Arial" w:eastAsia="MyriadPro-Regular" w:hAnsi="Arial" w:cs="Arial"/>
          <w:noProof/>
          <w:color w:val="231F20"/>
          <w:shd w:val="clear" w:color="auto" w:fill="FFFFFF"/>
          <w:lang w:val="en-GB" w:eastAsia="en-GB"/>
        </w:rPr>
        <w:lastRenderedPageBreak/>
        <w:drawing>
          <wp:inline distT="0" distB="0" distL="0" distR="0" wp14:anchorId="773AA9E3" wp14:editId="20944FBF">
            <wp:extent cx="2880000" cy="21517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5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 xml:space="preserve"> </w:t>
      </w:r>
    </w:p>
    <w:p w14:paraId="5A6896EC" w14:textId="77777777" w:rsidR="00D32280" w:rsidRDefault="00D32280" w:rsidP="00D32280">
      <w:pPr>
        <w:spacing w:after="240"/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</w:pPr>
    </w:p>
    <w:p w14:paraId="1D6F951F" w14:textId="46BCF750" w:rsidR="00D32280" w:rsidRPr="00D32280" w:rsidRDefault="00D32280" w:rsidP="00D32280">
      <w:pPr>
        <w:spacing w:after="240"/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</w:pP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Fig. 4. UV/vis absorption spectra showing the dehydrogenation of the photocatalyst Ru(tpphzH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)PtI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 xml:space="preserve">2 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 xml:space="preserve">by singlet oxygen. 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The orange spectrum illustrates the hydrogenated photocatalyst 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Ru(tpphzH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)PtI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 xml:space="preserve"> 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generated chemically by the reaction of </w:t>
      </w:r>
      <w:proofErr w:type="spellStart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Ru</w:t>
      </w:r>
      <w:proofErr w:type="spellEnd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(</w:t>
      </w:r>
      <w:proofErr w:type="spellStart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tpphz</w:t>
      </w:r>
      <w:proofErr w:type="spellEnd"/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)PtI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 with hydrogen. After 1 minute of LED-irradiation (470 nm) under aerobic conditions the </w:t>
      </w:r>
      <w:r w:rsidRPr="00D32280">
        <w:rPr>
          <w:rFonts w:ascii="Arial" w:eastAsia="MyriadPro-Regular" w:hAnsi="Arial" w:cs="Arial"/>
          <w:i/>
          <w:color w:val="231F20"/>
          <w:sz w:val="20"/>
          <w:szCs w:val="20"/>
          <w:shd w:val="clear" w:color="auto" w:fill="FFFFFF"/>
        </w:rPr>
        <w:t xml:space="preserve">in situ 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>generated singlet oxygen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noBreakHyphen/>
        <w:t xml:space="preserve">driven dehydrogenation of 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Ru(tpphzH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</w:rPr>
        <w:t>)PtI</w:t>
      </w:r>
      <w:r w:rsidRPr="00D32280">
        <w:rPr>
          <w:rFonts w:ascii="Arial" w:eastAsia="MyriadPro-Regular" w:hAnsi="Arial" w:cs="Arial"/>
          <w:b/>
          <w:color w:val="231F20"/>
          <w:sz w:val="20"/>
          <w:szCs w:val="20"/>
          <w:shd w:val="clear" w:color="auto" w:fill="FFFFFF"/>
          <w:vertAlign w:val="subscript"/>
        </w:rPr>
        <w:t>2</w:t>
      </w:r>
      <w:r w:rsidRPr="00D32280">
        <w:rPr>
          <w:rFonts w:ascii="Arial" w:eastAsia="MyriadPro-Regular" w:hAnsi="Arial" w:cs="Arial"/>
          <w:color w:val="231F20"/>
          <w:sz w:val="20"/>
          <w:szCs w:val="20"/>
          <w:shd w:val="clear" w:color="auto" w:fill="FFFFFF"/>
        </w:rPr>
        <w:t xml:space="preserve"> is almost complete and forms the original (oxidized) form (dark violet line). After 45 min of LED-illumination no significant amounts of the hydrogenated species are detected anymore (bright violet line).</w:t>
      </w:r>
    </w:p>
    <w:p w14:paraId="4824DBAD" w14:textId="5CB89503" w:rsidR="00D32280" w:rsidRDefault="00D32280" w:rsidP="00FB13CA">
      <w:pPr>
        <w:pStyle w:val="a3"/>
      </w:pPr>
    </w:p>
    <w:p w14:paraId="7A2F1DE0" w14:textId="253CF31A" w:rsidR="00FB13CA" w:rsidRDefault="00FB13CA" w:rsidP="00FB13CA"/>
    <w:p w14:paraId="2E470264" w14:textId="32087EB7" w:rsidR="00FB13CA" w:rsidRDefault="00FB13CA" w:rsidP="00FB13CA">
      <w:r>
        <w:t>Research question</w:t>
      </w:r>
    </w:p>
    <w:p w14:paraId="0AF2049B" w14:textId="01A764C9" w:rsidR="00FB13CA" w:rsidRDefault="00FB13CA" w:rsidP="00FB13CA"/>
    <w:p w14:paraId="56902F7D" w14:textId="77777777" w:rsidR="00FB13CA" w:rsidRDefault="00FB13CA" w:rsidP="00FB13CA">
      <w:pPr>
        <w:pStyle w:val="a3"/>
        <w:numPr>
          <w:ilvl w:val="0"/>
          <w:numId w:val="1"/>
        </w:numPr>
      </w:pPr>
      <w:r>
        <w:t xml:space="preserve">Why is the catalytic performance of the photocatalyst in consecutive runs getting lower? </w:t>
      </w:r>
    </w:p>
    <w:p w14:paraId="0DD22886" w14:textId="747ABD9A" w:rsidR="00FB13CA" w:rsidRDefault="00FB13CA" w:rsidP="00FB13CA">
      <w:pPr>
        <w:pStyle w:val="a3"/>
        <w:numPr>
          <w:ilvl w:val="1"/>
          <w:numId w:val="1"/>
        </w:numPr>
      </w:pPr>
      <w:r>
        <w:sym w:font="Wingdings" w:char="F0E0"/>
      </w:r>
      <w:r>
        <w:t xml:space="preserve"> Hypothesis – 1O2 attacks the structure of the catalyst leading to oxidative destruction of the ligand units</w:t>
      </w:r>
    </w:p>
    <w:p w14:paraId="23C8AC11" w14:textId="52897A3A" w:rsidR="00FB13CA" w:rsidRDefault="00FB13CA" w:rsidP="00FB13CA">
      <w:pPr>
        <w:pStyle w:val="a3"/>
        <w:numPr>
          <w:ilvl w:val="0"/>
          <w:numId w:val="1"/>
        </w:numPr>
      </w:pPr>
      <w:r>
        <w:t xml:space="preserve">HPLC of the supramolecular photocatalyst before photocatalysis, after photocatalysis, after repair for the consecutive repair cycles may lead to the identification of the degradation processes occurring </w:t>
      </w:r>
    </w:p>
    <w:p w14:paraId="7F22DEA1" w14:textId="6AE21C0C" w:rsidR="00FB13CA" w:rsidRPr="00B607D9" w:rsidRDefault="00FB13CA" w:rsidP="00FB13CA">
      <w:pPr>
        <w:pStyle w:val="a3"/>
        <w:numPr>
          <w:ilvl w:val="1"/>
          <w:numId w:val="1"/>
        </w:numPr>
      </w:pPr>
      <w:r>
        <w:t xml:space="preserve">See hypothetical </w:t>
      </w:r>
      <w:proofErr w:type="spellStart"/>
      <w:r>
        <w:t>strucutres</w:t>
      </w:r>
      <w:proofErr w:type="spellEnd"/>
      <w:r>
        <w:t>, (note Ru-tpphz-PtI2 is chemically, photochemically a very stable molecule)</w:t>
      </w:r>
    </w:p>
    <w:p w14:paraId="120E67D8" w14:textId="5777B973" w:rsidR="00B607D9" w:rsidRPr="00B607D9" w:rsidRDefault="00D32280">
      <w:r w:rsidRPr="00D32280">
        <w:rPr>
          <w:noProof/>
          <w:lang w:val="en-GB" w:eastAsia="en-GB"/>
        </w:rPr>
        <w:lastRenderedPageBreak/>
        <w:drawing>
          <wp:inline distT="0" distB="0" distL="0" distR="0" wp14:anchorId="27124EAA" wp14:editId="3AF6399E">
            <wp:extent cx="5756910" cy="40925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7D9" w:rsidRPr="00B607D9" w:rsidSect="006367D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F67F5"/>
    <w:multiLevelType w:val="hybridMultilevel"/>
    <w:tmpl w:val="D2383C46"/>
    <w:lvl w:ilvl="0" w:tplc="2A1A8F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D9"/>
    <w:rsid w:val="000B2953"/>
    <w:rsid w:val="001A1E89"/>
    <w:rsid w:val="001D0D5F"/>
    <w:rsid w:val="00261A07"/>
    <w:rsid w:val="006367DA"/>
    <w:rsid w:val="00647E11"/>
    <w:rsid w:val="00940988"/>
    <w:rsid w:val="00B607D9"/>
    <w:rsid w:val="00D32280"/>
    <w:rsid w:val="00E40B8E"/>
    <w:rsid w:val="00F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C5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7D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47E1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7E1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7D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47E1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7E1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Rau</dc:creator>
  <cp:lastModifiedBy>ALI SAHIUNY</cp:lastModifiedBy>
  <cp:revision>2</cp:revision>
  <cp:lastPrinted>2021-08-17T15:37:00Z</cp:lastPrinted>
  <dcterms:created xsi:type="dcterms:W3CDTF">2021-08-17T22:16:00Z</dcterms:created>
  <dcterms:modified xsi:type="dcterms:W3CDTF">2021-08-17T22:16:00Z</dcterms:modified>
</cp:coreProperties>
</file>