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pPr>
      <w:r>
        <w:rPr>
          <w:rFonts w:ascii="Calibri" w:cs="Calibri" w:eastAsia="Calibri" w:hAnsi="Calibri"/>
          <w:b/>
          <w:bCs/>
          <w:sz w:val="28"/>
          <w:szCs w:val="28"/>
        </w:rPr>
        <w:t xml:space="preserve">TEPLA GORA — SITE FACTSHEET</w:t>
      </w:r>
    </w:p>
    <w:p>
      <w:pPr>
        <w:spacing w:after="20"/>
      </w:pPr>
      <w:r>
        <w:rPr>
          <w:rFonts w:ascii="Calibri" w:cs="Calibri" w:eastAsia="Calibri" w:hAnsi="Calibri"/>
          <w:i/>
          <w:iCs/>
          <w:sz w:val="19"/>
          <w:szCs w:val="19"/>
        </w:rPr>
        <w:t xml:space="preserve">Operational eco-centre and research site · Ukrainian Carpathians · Data as of August 2026</w:t>
      </w:r>
    </w:p>
    <w:p>
      <w:pPr>
        <w:spacing w:after="200"/>
      </w:pPr>
      <w:r>
        <w:rPr>
          <w:rFonts w:ascii="Calibri" w:cs="Calibri" w:eastAsia="Calibri" w:hAnsi="Calibri"/>
          <w:sz w:val="19"/>
          <w:szCs w:val="19"/>
        </w:rPr>
        <w:t xml:space="preserve">Cheretiv, Verkhovyna hromada, Ivano-Frankivsk oblast, Ukraine · teplagora.org · hello@teplagora.org · EDRPOU 43886033 · PIC 883036106</w:t>
      </w:r>
    </w:p>
    <w:tbl>
      <w:tblPr>
        <w:tblW w:type="dxa" w:w="9200"/>
        <w:tblBorders>
          <w:top w:val="single" w:color="9BB0B0" w:sz="4"/>
          <w:left w:val="single" w:color="9BB0B0" w:sz="4"/>
          <w:bottom w:val="single" w:color="9BB0B0" w:sz="4"/>
          <w:right w:val="single" w:color="9BB0B0" w:sz="4"/>
          <w:insideH w:val="single" w:color="9BB0B0" w:sz="4"/>
          <w:insideV w:val="single" w:color="9BB0B0" w:sz="4"/>
        </w:tblBorders>
      </w:tblPr>
      <w:tblGrid>
        <w:gridCol w:w="100"/>
        <w:gridCol w:w="100"/>
      </w:tblGrid>
      <w:tr>
        <w:trPr>
          <w:tblHeader/>
        </w:trPr>
        <w:tc>
          <w:tcPr>
            <w:tcW w:type="dxa" w:w="1500"/>
            <w:shd w:fill="D9E6E6"/>
            <w:tcMar>
              <w:top w:type="dxa" w:w="70"/>
              <w:left w:type="dxa" w:w="100"/>
              <w:bottom w:type="dxa" w:w="70"/>
              <w:right w:type="dxa" w:w="100"/>
            </w:tcMar>
          </w:tcPr>
          <w:p>
            <w:r>
              <w:rPr>
                <w:rFonts w:ascii="Calibri" w:cs="Calibri" w:eastAsia="Calibri" w:hAnsi="Calibri"/>
                <w:b/>
                <w:bCs/>
                <w:sz w:val="20"/>
                <w:szCs w:val="20"/>
              </w:rPr>
              <w:t xml:space="preserve">Indicator</w:t>
            </w:r>
          </w:p>
        </w:tc>
        <w:tc>
          <w:tcPr>
            <w:tcW w:type="dxa" w:w="7700"/>
            <w:shd w:fill="D9E6E6"/>
            <w:tcMar>
              <w:top w:type="dxa" w:w="70"/>
              <w:left w:type="dxa" w:w="100"/>
              <w:bottom w:type="dxa" w:w="70"/>
              <w:right w:type="dxa" w:w="100"/>
            </w:tcMar>
          </w:tcPr>
          <w:p>
            <w:r>
              <w:rPr>
                <w:rFonts w:ascii="Calibri" w:cs="Calibri" w:eastAsia="Calibri" w:hAnsi="Calibri"/>
                <w:b/>
                <w:bCs/>
                <w:sz w:val="20"/>
                <w:szCs w:val="20"/>
              </w:rPr>
              <w:t xml:space="preserve">Detail</w:t>
            </w:r>
          </w:p>
        </w:tc>
      </w:tr>
      <w:tr>
        <w:tc>
          <w:tcPr>
            <w:tcW w:type="dxa" w:w="1500"/>
            <w:tcMar>
              <w:top w:type="dxa" w:w="70"/>
              <w:left w:type="dxa" w:w="100"/>
              <w:bottom w:type="dxa" w:w="70"/>
              <w:right w:type="dxa" w:w="100"/>
            </w:tcMar>
          </w:tcPr>
          <w:p>
            <w:r>
              <w:rPr>
                <w:rFonts w:ascii="Calibri" w:cs="Calibri" w:eastAsia="Calibri" w:hAnsi="Calibri"/>
                <w:b w:val="false"/>
                <w:bCs w:val="false"/>
                <w:sz w:val="20"/>
                <w:szCs w:val="20"/>
              </w:rPr>
              <w:t xml:space="preserve">5 ha</w:t>
            </w:r>
          </w:p>
        </w:tc>
        <w:tc>
          <w:tcPr>
            <w:tcW w:type="dxa" w:w="7700"/>
            <w:tcMar>
              <w:top w:type="dxa" w:w="70"/>
              <w:left w:type="dxa" w:w="100"/>
              <w:bottom w:type="dxa" w:w="70"/>
              <w:right w:type="dxa" w:w="100"/>
            </w:tcMar>
          </w:tcPr>
          <w:p>
            <w:r>
              <w:rPr>
                <w:rFonts w:ascii="Calibri" w:cs="Calibri" w:eastAsia="Calibri" w:hAnsi="Calibri"/>
                <w:b w:val="false"/>
                <w:bCs w:val="false"/>
                <w:sz w:val="20"/>
                <w:szCs w:val="20"/>
              </w:rPr>
              <w:t xml:space="preserve">Site area, comprising buildings, garden, orchard and adjoining forest</w:t>
            </w:r>
          </w:p>
        </w:tc>
      </w:tr>
      <w:tr>
        <w:tc>
          <w:tcPr>
            <w:tcW w:type="dxa" w:w="1500"/>
            <w:tcMar>
              <w:top w:type="dxa" w:w="70"/>
              <w:left w:type="dxa" w:w="100"/>
              <w:bottom w:type="dxa" w:w="70"/>
              <w:right w:type="dxa" w:w="100"/>
            </w:tcMar>
          </w:tcPr>
          <w:p>
            <w:r>
              <w:rPr>
                <w:rFonts w:ascii="Calibri" w:cs="Calibri" w:eastAsia="Calibri" w:hAnsi="Calibri"/>
                <w:b w:val="false"/>
                <w:bCs w:val="false"/>
                <w:sz w:val="20"/>
                <w:szCs w:val="20"/>
              </w:rPr>
              <w:t xml:space="preserve">~75%</w:t>
            </w:r>
          </w:p>
        </w:tc>
        <w:tc>
          <w:tcPr>
            <w:tcW w:type="dxa" w:w="7700"/>
            <w:tcMar>
              <w:top w:type="dxa" w:w="70"/>
              <w:left w:type="dxa" w:w="100"/>
              <w:bottom w:type="dxa" w:w="70"/>
              <w:right w:type="dxa" w:w="100"/>
            </w:tcMar>
          </w:tcPr>
          <w:p>
            <w:r>
              <w:rPr>
                <w:rFonts w:ascii="Calibri" w:cs="Calibri" w:eastAsia="Calibri" w:hAnsi="Calibri"/>
                <w:b w:val="false"/>
                <w:bCs w:val="false"/>
                <w:sz w:val="20"/>
                <w:szCs w:val="20"/>
              </w:rPr>
              <w:t xml:space="preserve">Share of the eco-centre's electricity demand met by on-site solar PV (3.5 kW array, 8 kW inverter, battery storage)</w:t>
            </w:r>
          </w:p>
        </w:tc>
      </w:tr>
      <w:tr>
        <w:tc>
          <w:tcPr>
            <w:tcW w:type="dxa" w:w="1500"/>
            <w:tcMar>
              <w:top w:type="dxa" w:w="70"/>
              <w:left w:type="dxa" w:w="100"/>
              <w:bottom w:type="dxa" w:w="70"/>
              <w:right w:type="dxa" w:w="100"/>
            </w:tcMar>
          </w:tcPr>
          <w:p>
            <w:r>
              <w:rPr>
                <w:rFonts w:ascii="Calibri" w:cs="Calibri" w:eastAsia="Calibri" w:hAnsi="Calibri"/>
                <w:b w:val="false"/>
                <w:bCs w:val="false"/>
                <w:sz w:val="20"/>
                <w:szCs w:val="20"/>
              </w:rPr>
              <w:t xml:space="preserve">500+</w:t>
            </w:r>
          </w:p>
        </w:tc>
        <w:tc>
          <w:tcPr>
            <w:tcW w:type="dxa" w:w="7700"/>
            <w:tcMar>
              <w:top w:type="dxa" w:w="70"/>
              <w:left w:type="dxa" w:w="100"/>
              <w:bottom w:type="dxa" w:w="70"/>
              <w:right w:type="dxa" w:w="100"/>
            </w:tcMar>
          </w:tcPr>
          <w:p>
            <w:r>
              <w:rPr>
                <w:rFonts w:ascii="Calibri" w:cs="Calibri" w:eastAsia="Calibri" w:hAnsi="Calibri"/>
                <w:b w:val="false"/>
                <w:bCs w:val="false"/>
                <w:sz w:val="20"/>
                <w:szCs w:val="20"/>
              </w:rPr>
              <w:t xml:space="preserve">Participants of the free “Kolo” recovery programme since February 2022 (IDPs, veterans, civic volunteers)</w:t>
            </w:r>
          </w:p>
        </w:tc>
      </w:tr>
      <w:tr>
        <w:tc>
          <w:tcPr>
            <w:tcW w:type="dxa" w:w="1500"/>
            <w:tcMar>
              <w:top w:type="dxa" w:w="70"/>
              <w:left w:type="dxa" w:w="100"/>
              <w:bottom w:type="dxa" w:w="70"/>
              <w:right w:type="dxa" w:w="100"/>
            </w:tcMar>
          </w:tcPr>
          <w:p>
            <w:r>
              <w:rPr>
                <w:rFonts w:ascii="Calibri" w:cs="Calibri" w:eastAsia="Calibri" w:hAnsi="Calibri"/>
                <w:b w:val="false"/>
                <w:bCs w:val="false"/>
                <w:sz w:val="20"/>
                <w:szCs w:val="20"/>
              </w:rPr>
              <w:t xml:space="preserve">90%</w:t>
            </w:r>
          </w:p>
        </w:tc>
        <w:tc>
          <w:tcPr>
            <w:tcW w:type="dxa" w:w="7700"/>
            <w:tcMar>
              <w:top w:type="dxa" w:w="70"/>
              <w:left w:type="dxa" w:w="100"/>
              <w:bottom w:type="dxa" w:w="70"/>
              <w:right w:type="dxa" w:w="100"/>
            </w:tcMar>
          </w:tcPr>
          <w:p>
            <w:r>
              <w:rPr>
                <w:rFonts w:ascii="Calibri" w:cs="Calibri" w:eastAsia="Calibri" w:hAnsi="Calibri"/>
                <w:b w:val="false"/>
                <w:bCs w:val="false"/>
                <w:sz w:val="20"/>
                <w:szCs w:val="20"/>
              </w:rPr>
              <w:t xml:space="preserve">Share of Kolo participants reporting improved physical and emotional condition after the programme; NGO registered 2020</w:t>
            </w:r>
          </w:p>
        </w:tc>
      </w:tr>
    </w:tbl>
    <w:p>
      <w:pPr>
        <w:spacing w:after="120" w:before="240"/>
      </w:pPr>
      <w:r>
        <w:rPr>
          <w:rFonts w:ascii="Calibri" w:cs="Calibri" w:eastAsia="Calibri" w:hAnsi="Calibri"/>
          <w:b/>
          <w:bCs/>
          <w:color w:val="1F4E4E"/>
          <w:sz w:val="26"/>
          <w:szCs w:val="26"/>
        </w:rPr>
        <w:t xml:space="preserve">Buildings and infrastructure</w:t>
      </w:r>
    </w:p>
    <w:tbl>
      <w:tblPr>
        <w:tblW w:type="dxa" w:w="9200"/>
        <w:tblBorders>
          <w:top w:val="single" w:color="9BB0B0" w:sz="4"/>
          <w:left w:val="single" w:color="9BB0B0" w:sz="4"/>
          <w:bottom w:val="single" w:color="9BB0B0" w:sz="4"/>
          <w:right w:val="single" w:color="9BB0B0" w:sz="4"/>
          <w:insideH w:val="single" w:color="9BB0B0" w:sz="4"/>
          <w:insideV w:val="single" w:color="9BB0B0" w:sz="4"/>
        </w:tblBorders>
      </w:tblPr>
      <w:tblGrid>
        <w:gridCol w:w="100"/>
        <w:gridCol w:w="100"/>
      </w:tblGrid>
      <w:tr>
        <w:trPr>
          <w:tblHeader/>
        </w:trPr>
        <w:tc>
          <w:tcPr>
            <w:tcW w:type="dxa" w:w="2600"/>
            <w:shd w:fill="D9E6E6"/>
            <w:tcMar>
              <w:top w:type="dxa" w:w="70"/>
              <w:left w:type="dxa" w:w="100"/>
              <w:bottom w:type="dxa" w:w="70"/>
              <w:right w:type="dxa" w:w="100"/>
            </w:tcMar>
          </w:tcPr>
          <w:p>
            <w:r>
              <w:rPr>
                <w:rFonts w:ascii="Calibri" w:cs="Calibri" w:eastAsia="Calibri" w:hAnsi="Calibri"/>
                <w:b/>
                <w:bCs/>
                <w:sz w:val="20"/>
                <w:szCs w:val="20"/>
              </w:rPr>
              <w:t xml:space="preserve">Building / system</w:t>
            </w:r>
          </w:p>
        </w:tc>
        <w:tc>
          <w:tcPr>
            <w:tcW w:type="dxa" w:w="6600"/>
            <w:shd w:fill="D9E6E6"/>
            <w:tcMar>
              <w:top w:type="dxa" w:w="70"/>
              <w:left w:type="dxa" w:w="100"/>
              <w:bottom w:type="dxa" w:w="70"/>
              <w:right w:type="dxa" w:w="100"/>
            </w:tcMar>
          </w:tcPr>
          <w:p>
            <w:r>
              <w:rPr>
                <w:rFonts w:ascii="Calibri" w:cs="Calibri" w:eastAsia="Calibri" w:hAnsi="Calibri"/>
                <w:b/>
                <w:bCs/>
                <w:sz w:val="20"/>
                <w:szCs w:val="20"/>
              </w:rPr>
              <w:t xml:space="preserve">Description and technical detail</w:t>
            </w:r>
          </w:p>
        </w:tc>
      </w:tr>
      <w:tr>
        <w:tc>
          <w:tcPr>
            <w:tcW w:type="dxa" w:w="2600"/>
            <w:tcMar>
              <w:top w:type="dxa" w:w="70"/>
              <w:left w:type="dxa" w:w="100"/>
              <w:bottom w:type="dxa" w:w="70"/>
              <w:right w:type="dxa" w:w="100"/>
            </w:tcMar>
          </w:tcPr>
          <w:p>
            <w:r>
              <w:rPr>
                <w:rFonts w:ascii="Calibri" w:cs="Calibri" w:eastAsia="Calibri" w:hAnsi="Calibri"/>
                <w:b w:val="false"/>
                <w:bCs w:val="false"/>
                <w:sz w:val="20"/>
                <w:szCs w:val="20"/>
              </w:rPr>
              <w:t xml:space="preserve">Hostel (131.7 m²)</w:t>
            </w:r>
          </w:p>
        </w:tc>
        <w:tc>
          <w:tcPr>
            <w:tcW w:type="dxa" w:w="6600"/>
            <w:tcMar>
              <w:top w:type="dxa" w:w="70"/>
              <w:left w:type="dxa" w:w="100"/>
              <w:bottom w:type="dxa" w:w="70"/>
              <w:right w:type="dxa" w:w="100"/>
            </w:tcMar>
          </w:tcPr>
          <w:p>
            <w:r>
              <w:rPr>
                <w:rFonts w:ascii="Calibri" w:cs="Calibri" w:eastAsia="Calibri" w:hAnsi="Calibri"/>
                <w:b w:val="false"/>
                <w:bCs w:val="false"/>
                <w:sz w:val="20"/>
                <w:szCs w:val="20"/>
              </w:rPr>
              <w:t xml:space="preserve">Three dormitory rooms (10, 6 and 4 beds) plus attic sleeping space. Insulated with sawdust, allowing vapour-open wall performance. Rooftop solar PV (3.5 kW array, 8 kW inverter) with battery providing backup during grid outages.</w:t>
            </w:r>
          </w:p>
        </w:tc>
      </w:tr>
      <w:tr>
        <w:tc>
          <w:tcPr>
            <w:tcW w:type="dxa" w:w="2600"/>
            <w:tcMar>
              <w:top w:type="dxa" w:w="70"/>
              <w:left w:type="dxa" w:w="100"/>
              <w:bottom w:type="dxa" w:w="70"/>
              <w:right w:type="dxa" w:w="100"/>
            </w:tcMar>
          </w:tcPr>
          <w:p>
            <w:r>
              <w:rPr>
                <w:rFonts w:ascii="Calibri" w:cs="Calibri" w:eastAsia="Calibri" w:hAnsi="Calibri"/>
                <w:b w:val="false"/>
                <w:bCs w:val="false"/>
                <w:sz w:val="20"/>
                <w:szCs w:val="20"/>
              </w:rPr>
              <w:t xml:space="preserve">Giants' Kitchen and Cafe (59.6 m²)</w:t>
            </w:r>
          </w:p>
        </w:tc>
        <w:tc>
          <w:tcPr>
            <w:tcW w:type="dxa" w:w="6600"/>
            <w:tcMar>
              <w:top w:type="dxa" w:w="70"/>
              <w:left w:type="dxa" w:w="100"/>
              <w:bottom w:type="dxa" w:w="70"/>
              <w:right w:type="dxa" w:w="100"/>
            </w:tcMar>
          </w:tcPr>
          <w:p>
            <w:r>
              <w:rPr>
                <w:rFonts w:ascii="Calibri" w:cs="Calibri" w:eastAsia="Calibri" w:hAnsi="Calibri"/>
                <w:b w:val="false"/>
                <w:bCs w:val="false"/>
                <w:sz w:val="20"/>
                <w:szCs w:val="20"/>
              </w:rPr>
              <w:t xml:space="preserve">Communal kitchen operating as a plant-based food lab; vegetarian menu using on-site garden produce. Organic waste composted for permaculture beds.</w:t>
            </w:r>
          </w:p>
        </w:tc>
      </w:tr>
      <w:tr>
        <w:tc>
          <w:tcPr>
            <w:tcW w:type="dxa" w:w="2600"/>
            <w:tcMar>
              <w:top w:type="dxa" w:w="70"/>
              <w:left w:type="dxa" w:w="100"/>
              <w:bottom w:type="dxa" w:w="70"/>
              <w:right w:type="dxa" w:w="100"/>
            </w:tcMar>
          </w:tcPr>
          <w:p>
            <w:r>
              <w:rPr>
                <w:rFonts w:ascii="Calibri" w:cs="Calibri" w:eastAsia="Calibri" w:hAnsi="Calibri"/>
                <w:b w:val="false"/>
                <w:bCs w:val="false"/>
                <w:sz w:val="20"/>
                <w:szCs w:val="20"/>
              </w:rPr>
              <w:t xml:space="preserve">Om Centre</w:t>
            </w:r>
          </w:p>
        </w:tc>
        <w:tc>
          <w:tcPr>
            <w:tcW w:type="dxa" w:w="6600"/>
            <w:tcMar>
              <w:top w:type="dxa" w:w="70"/>
              <w:left w:type="dxa" w:w="100"/>
              <w:bottom w:type="dxa" w:w="70"/>
              <w:right w:type="dxa" w:w="100"/>
            </w:tcMar>
          </w:tcPr>
          <w:p>
            <w:r>
              <w:rPr>
                <w:rFonts w:ascii="Calibri" w:cs="Calibri" w:eastAsia="Calibri" w:hAnsi="Calibri"/>
                <w:b w:val="false"/>
                <w:bCs w:val="false"/>
                <w:sz w:val="20"/>
                <w:szCs w:val="20"/>
              </w:rPr>
              <w:t xml:space="preserve">An abandoned Hutsul barn renovated into a gathering and practice hall using sawdust insulation, reclaimed timber frames and forest moss — a reuse case, not new construction. Site also includes sauna, workshop, greenhouse, three glamping units, two tipis and a tent area.</w:t>
            </w:r>
          </w:p>
        </w:tc>
      </w:tr>
      <w:tr>
        <w:tc>
          <w:tcPr>
            <w:tcW w:type="dxa" w:w="2600"/>
            <w:tcMar>
              <w:top w:type="dxa" w:w="70"/>
              <w:left w:type="dxa" w:w="100"/>
              <w:bottom w:type="dxa" w:w="70"/>
              <w:right w:type="dxa" w:w="100"/>
            </w:tcMar>
          </w:tcPr>
          <w:p>
            <w:r>
              <w:rPr>
                <w:rFonts w:ascii="Calibri" w:cs="Calibri" w:eastAsia="Calibri" w:hAnsi="Calibri"/>
                <w:b w:val="false"/>
                <w:bCs w:val="false"/>
                <w:sz w:val="20"/>
                <w:szCs w:val="20"/>
              </w:rPr>
              <w:t xml:space="preserve">Water, sanitation, waste</w:t>
            </w:r>
          </w:p>
        </w:tc>
        <w:tc>
          <w:tcPr>
            <w:tcW w:type="dxa" w:w="6600"/>
            <w:tcMar>
              <w:top w:type="dxa" w:w="70"/>
              <w:left w:type="dxa" w:w="100"/>
              <w:bottom w:type="dxa" w:w="70"/>
              <w:right w:type="dxa" w:w="100"/>
            </w:tcMar>
          </w:tcPr>
          <w:p>
            <w:r>
              <w:rPr>
                <w:rFonts w:ascii="Calibri" w:cs="Calibri" w:eastAsia="Calibri" w:hAnsi="Calibri"/>
                <w:b w:val="false"/>
                <w:bCs w:val="false"/>
                <w:sz w:val="20"/>
                <w:szCs w:val="20"/>
              </w:rPr>
              <w:t xml:space="preserve">Rainwater from three roofs treated by mesh filter, UV disinfection, reverse osmosis with 5-micron filtration and nine-stage mineralisation for drinking water; forest stream as backup. Two composting toilets, biogas toilet planned, guest-accessible waste-sorting station.</w:t>
            </w:r>
          </w:p>
        </w:tc>
      </w:tr>
      <w:tr>
        <w:tc>
          <w:tcPr>
            <w:tcW w:type="dxa" w:w="2600"/>
            <w:tcMar>
              <w:top w:type="dxa" w:w="70"/>
              <w:left w:type="dxa" w:w="100"/>
              <w:bottom w:type="dxa" w:w="70"/>
              <w:right w:type="dxa" w:w="100"/>
            </w:tcMar>
          </w:tcPr>
          <w:p>
            <w:r>
              <w:rPr>
                <w:rFonts w:ascii="Calibri" w:cs="Calibri" w:eastAsia="Calibri" w:hAnsi="Calibri"/>
                <w:b w:val="false"/>
                <w:bCs w:val="false"/>
                <w:sz w:val="20"/>
                <w:szCs w:val="20"/>
              </w:rPr>
              <w:t xml:space="preserve">Heating (planned)</w:t>
            </w:r>
          </w:p>
        </w:tc>
        <w:tc>
          <w:tcPr>
            <w:tcW w:type="dxa" w:w="6600"/>
            <w:tcMar>
              <w:top w:type="dxa" w:w="70"/>
              <w:left w:type="dxa" w:w="100"/>
              <w:bottom w:type="dxa" w:w="70"/>
              <w:right w:type="dxa" w:w="100"/>
            </w:tcMar>
          </w:tcPr>
          <w:p>
            <w:r>
              <w:rPr>
                <w:rFonts w:ascii="Calibri" w:cs="Calibri" w:eastAsia="Calibri" w:hAnsi="Calibri"/>
                <w:b w:val="false"/>
                <w:bCs w:val="false"/>
                <w:sz w:val="20"/>
                <w:szCs w:val="20"/>
              </w:rPr>
              <w:t xml:space="preserve">Hybrid system combining a heat pump, solid-fuel backup boiler and solar thermal collectors. Not yet installed — this is the intervention we seek to pilot and instrument.</w:t>
            </w:r>
          </w:p>
        </w:tc>
      </w:tr>
    </w:tbl>
    <w:p>
      <w:pPr>
        <w:spacing w:after="120" w:before="240"/>
      </w:pPr>
      <w:r>
        <w:rPr>
          <w:rFonts w:ascii="Calibri" w:cs="Calibri" w:eastAsia="Calibri" w:hAnsi="Calibri"/>
          <w:b/>
          <w:bCs/>
          <w:color w:val="1F4E4E"/>
          <w:sz w:val="26"/>
          <w:szCs w:val="26"/>
        </w:rPr>
        <w:t xml:space="preserve">Measurement and data capability</w:t>
      </w:r>
    </w:p>
    <w:p>
      <w:pPr>
        <w:pStyle w:val="ListParagraph"/>
        <w:numPr>
          <w:ilvl w:val="0"/>
          <w:numId w:val="1"/>
        </w:numPr>
        <w:spacing w:after="100"/>
      </w:pPr>
      <w:r>
        <w:rPr>
          <w:rFonts w:ascii="Calibri" w:cs="Calibri" w:eastAsia="Calibri" w:hAnsi="Calibri"/>
          <w:b/>
          <w:bCs/>
          <w:sz w:val="21"/>
          <w:szCs w:val="21"/>
        </w:rPr>
        <w:t xml:space="preserve">On-site meteorological station </w:t>
      </w:r>
      <w:r>
        <w:rPr>
          <w:rFonts w:ascii="Calibri" w:cs="Calibri" w:eastAsia="Calibri" w:hAnsi="Calibri"/>
          <w:sz w:val="21"/>
          <w:szCs w:val="21"/>
        </w:rPr>
        <w:t xml:space="preserve">recording ambient conditions; measured dust, gas and airborne toxin levels are within satisfactory ranges.</w:t>
      </w:r>
    </w:p>
    <w:p>
      <w:pPr>
        <w:pStyle w:val="ListParagraph"/>
        <w:numPr>
          <w:ilvl w:val="0"/>
          <w:numId w:val="1"/>
        </w:numPr>
        <w:spacing w:after="100"/>
      </w:pPr>
      <w:r>
        <w:rPr>
          <w:rFonts w:ascii="Calibri" w:cs="Calibri" w:eastAsia="Calibri" w:hAnsi="Calibri"/>
          <w:b/>
          <w:bCs/>
          <w:sz w:val="21"/>
          <w:szCs w:val="21"/>
        </w:rPr>
        <w:t xml:space="preserve">Instrumentation under installation (2026–2027): </w:t>
      </w:r>
      <w:r>
        <w:rPr>
          <w:rFonts w:ascii="Calibri" w:cs="Calibri" w:eastAsia="Calibri" w:hAnsi="Calibri"/>
          <w:sz w:val="21"/>
          <w:szCs w:val="21"/>
        </w:rPr>
        <w:t xml:space="preserve">sensors monitoring indoor environment and energy use over twelve months, delivered by the Institute of Engineering Thermophysics (NAS of Ukraine), plus pre- and post-intervention LCA, a circularity audit, and a BIM digital twin with a defined sensor data schema.</w:t>
      </w:r>
    </w:p>
    <w:p>
      <w:pPr>
        <w:spacing w:after="120" w:before="240"/>
      </w:pPr>
      <w:r>
        <w:rPr>
          <w:rFonts w:ascii="Calibri" w:cs="Calibri" w:eastAsia="Calibri" w:hAnsi="Calibri"/>
          <w:b/>
          <w:bCs/>
          <w:color w:val="1F4E4E"/>
          <w:sz w:val="26"/>
          <w:szCs w:val="26"/>
        </w:rPr>
        <w:t xml:space="preserve">Institutional and project context</w:t>
      </w:r>
    </w:p>
    <w:p>
      <w:pPr>
        <w:pStyle w:val="ListParagraph"/>
        <w:numPr>
          <w:ilvl w:val="0"/>
          <w:numId w:val="1"/>
        </w:numPr>
        <w:spacing w:after="100"/>
      </w:pPr>
      <w:r>
        <w:rPr>
          <w:rFonts w:ascii="Calibri" w:cs="Calibri" w:eastAsia="Calibri" w:hAnsi="Calibri"/>
          <w:b/>
          <w:bCs/>
          <w:sz w:val="21"/>
          <w:szCs w:val="21"/>
        </w:rPr>
        <w:t xml:space="preserve">Current project: </w:t>
      </w:r>
      <w:r>
        <w:rPr>
          <w:rFonts w:ascii="Calibri" w:cs="Calibri" w:eastAsia="Calibri" w:hAnsi="Calibri"/>
          <w:sz w:val="21"/>
          <w:szCs w:val="21"/>
        </w:rPr>
        <w:t xml:space="preserve">UA Unity Hub — a low-carbon autonomous community hub piloted on our site under Innovate Ukraine Round 2, January 2026 to December 2027, with Geodesic.Life LLC, 001 NGO, the Institute of Engineering Thermophysics, Calling Bridge Ltd (UK) and Futures Advisory Ltd (UK).</w:t>
      </w:r>
    </w:p>
    <w:p>
      <w:pPr>
        <w:pStyle w:val="ListParagraph"/>
        <w:numPr>
          <w:ilvl w:val="0"/>
          <w:numId w:val="1"/>
        </w:numPr>
        <w:spacing w:after="100"/>
      </w:pPr>
      <w:r>
        <w:rPr>
          <w:rFonts w:ascii="Calibri" w:cs="Calibri" w:eastAsia="Calibri" w:hAnsi="Calibri"/>
          <w:b/>
          <w:bCs/>
          <w:sz w:val="21"/>
          <w:szCs w:val="21"/>
        </w:rPr>
        <w:t xml:space="preserve">Institutional links: </w:t>
      </w:r>
      <w:r>
        <w:rPr>
          <w:rFonts w:ascii="Calibri" w:cs="Calibri" w:eastAsia="Calibri" w:hAnsi="Calibri"/>
          <w:sz w:val="21"/>
          <w:szCs w:val="21"/>
        </w:rPr>
        <w:t xml:space="preserve">five-year memorandum with Verkhovyna hromada; Global Ecovillage Network Ukraine; Ukrainian Heat Pump Association; Bioenergy Association of Ukraine.</w:t>
      </w:r>
    </w:p>
    <w:p>
      <w:pPr>
        <w:pStyle w:val="ListParagraph"/>
        <w:numPr>
          <w:ilvl w:val="0"/>
          <w:numId w:val="1"/>
        </w:numPr>
        <w:spacing w:after="100"/>
      </w:pPr>
      <w:r>
        <w:rPr>
          <w:rFonts w:ascii="Calibri" w:cs="Calibri" w:eastAsia="Calibri" w:hAnsi="Calibri"/>
          <w:b/>
          <w:bCs/>
          <w:sz w:val="21"/>
          <w:szCs w:val="21"/>
        </w:rPr>
        <w:t xml:space="preserve">EU readiness: </w:t>
      </w:r>
      <w:r>
        <w:rPr>
          <w:rFonts w:ascii="Calibri" w:cs="Calibri" w:eastAsia="Calibri" w:hAnsi="Calibri"/>
          <w:sz w:val="21"/>
          <w:szCs w:val="21"/>
        </w:rPr>
        <w:t xml:space="preserve">registered on the EU Funding &amp; Tenders Portal with an active PIC (883036106). Ukraine is associated to Horizon Europe and LIFE, and is a Widening country.</w:t>
      </w:r>
    </w:p>
    <w:p>
      <w:pPr>
        <w:spacing w:after="120" w:before="240"/>
      </w:pPr>
      <w:r>
        <w:rPr>
          <w:rFonts w:ascii="Calibri" w:cs="Calibri" w:eastAsia="Calibri" w:hAnsi="Calibri"/>
          <w:b/>
          <w:bCs/>
          <w:color w:val="1F4E4E"/>
          <w:sz w:val="26"/>
          <w:szCs w:val="26"/>
        </w:rPr>
        <w:t xml:space="preserve">Relevant to</w:t>
      </w:r>
    </w:p>
    <w:p>
      <w:pPr>
        <w:spacing w:after="140"/>
      </w:pPr>
      <w:r>
        <w:rPr>
          <w:rFonts w:ascii="Calibri" w:cs="Calibri" w:eastAsia="Calibri" w:hAnsi="Calibri"/>
          <w:sz w:val="21"/>
          <w:szCs w:val="21"/>
        </w:rPr>
        <w:t xml:space="preserve">Horizon Europe New European Bauhaus (thermal comfort; maintenance and repair; hybrid construction materials) and Built4People; Cluster 6 bioeconomy and food value chains; the EU Mission on Adaptation to Climate Change (cultural heritage); and LIFE circular-economy and zero-pollution calls.</w:t>
      </w:r>
    </w:p>
    <w:p>
      <w:pPr>
        <w:spacing w:after="120" w:before="240"/>
      </w:pPr>
      <w:r>
        <w:rPr>
          <w:rFonts w:ascii="Calibri" w:cs="Calibri" w:eastAsia="Calibri" w:hAnsi="Calibri"/>
          <w:b/>
          <w:bCs/>
          <w:color w:val="1F4E4E"/>
          <w:sz w:val="26"/>
          <w:szCs w:val="26"/>
        </w:rPr>
        <w:t xml:space="preserve">Why this site is useful to a research consortium</w:t>
      </w:r>
    </w:p>
    <w:p>
      <w:pPr>
        <w:spacing w:after="140"/>
      </w:pPr>
      <w:r>
        <w:rPr>
          <w:rFonts w:ascii="Calibri" w:cs="Calibri" w:eastAsia="Calibri" w:hAnsi="Calibri"/>
          <w:i/>
          <w:iCs/>
          <w:sz w:val="21"/>
          <w:szCs w:val="21"/>
        </w:rPr>
        <w:t xml:space="preserve">Inhabited, not simulated — occupant behaviour and energy demand are real. A mountain, rural context in a country at war, almost absent from EU consortium geography, with measurement infrastructure already funded.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2026-08-20T13:40:34.225Z</dcterms:created>
  <dcterms:modified xsi:type="dcterms:W3CDTF">2026-08-20T13:40:34.225Z</dcterms:modified>
</cp:coreProperties>
</file>

<file path=docProps/custom.xml><?xml version="1.0" encoding="utf-8"?>
<Properties xmlns="http://schemas.openxmlformats.org/officeDocument/2006/custom-properties" xmlns:vt="http://schemas.openxmlformats.org/officeDocument/2006/docPropsVTypes"/>
</file>