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9D642" w14:textId="77777777" w:rsidR="00E74899" w:rsidRPr="005557B4" w:rsidRDefault="00A608D7" w:rsidP="005557B4">
      <w:pPr>
        <w:spacing w:after="80"/>
        <w:jc w:val="both"/>
        <w:rPr>
          <w:rFonts w:ascii="Times New Roman" w:hAnsi="Times New Roman" w:cs="Times New Roman"/>
          <w:sz w:val="24"/>
          <w:szCs w:val="24"/>
        </w:rPr>
      </w:pPr>
      <w:r w:rsidRPr="005557B4">
        <w:rPr>
          <w:rFonts w:ascii="Times New Roman" w:hAnsi="Times New Roman" w:cs="Times New Roman"/>
          <w:b/>
          <w:color w:val="505A69"/>
          <w:sz w:val="24"/>
          <w:szCs w:val="24"/>
        </w:rPr>
        <w:t>Uganda Railways Corporation: Green and Smart Transformation of Uganda's Railway System</w:t>
      </w:r>
    </w:p>
    <w:p w14:paraId="21CD74B3" w14:textId="77777777" w:rsidR="00E74899" w:rsidRPr="005557B4" w:rsidRDefault="00A608D7" w:rsidP="005557B4">
      <w:pPr>
        <w:pBdr>
          <w:bottom w:val="single" w:sz="18" w:space="4" w:color="102C57"/>
        </w:pBdr>
        <w:spacing w:after="360"/>
        <w:rPr>
          <w:rFonts w:ascii="Times New Roman" w:hAnsi="Times New Roman" w:cs="Times New Roman"/>
          <w:sz w:val="24"/>
          <w:szCs w:val="24"/>
        </w:rPr>
      </w:pPr>
      <w:r w:rsidRPr="005557B4">
        <w:rPr>
          <w:rFonts w:ascii="Times New Roman" w:hAnsi="Times New Roman" w:cs="Times New Roman"/>
          <w:i/>
          <w:color w:val="505A69"/>
          <w:sz w:val="24"/>
          <w:szCs w:val="24"/>
        </w:rPr>
        <w:t xml:space="preserve">Open Innovation Challenge – Smart City Expo World Congress </w:t>
      </w:r>
      <w:r w:rsidR="005557B4" w:rsidRPr="005557B4">
        <w:rPr>
          <w:rFonts w:ascii="Times New Roman" w:hAnsi="Times New Roman" w:cs="Times New Roman"/>
          <w:i/>
          <w:color w:val="505A69"/>
          <w:sz w:val="24"/>
          <w:szCs w:val="24"/>
        </w:rPr>
        <w:t>2026 | Barcelona</w:t>
      </w:r>
      <w:r w:rsidRPr="005557B4">
        <w:rPr>
          <w:rFonts w:ascii="Times New Roman" w:hAnsi="Times New Roman" w:cs="Times New Roman"/>
          <w:i/>
          <w:color w:val="505A69"/>
          <w:sz w:val="24"/>
          <w:szCs w:val="24"/>
        </w:rPr>
        <w:t>, Spain (3–5 November 2026)</w:t>
      </w:r>
    </w:p>
    <w:p w14:paraId="6202BEE2" w14:textId="77777777" w:rsidR="00E74899" w:rsidRPr="005557B4" w:rsidRDefault="00A608D7" w:rsidP="005557B4">
      <w:pPr>
        <w:keepNext/>
        <w:pBdr>
          <w:bottom w:val="single" w:sz="6" w:space="4" w:color="D0D5DD"/>
        </w:pBdr>
        <w:spacing w:before="320"/>
        <w:jc w:val="both"/>
        <w:rPr>
          <w:rFonts w:ascii="Times New Roman" w:hAnsi="Times New Roman" w:cs="Times New Roman"/>
          <w:sz w:val="24"/>
          <w:szCs w:val="24"/>
        </w:rPr>
      </w:pPr>
      <w:r w:rsidRPr="005557B4">
        <w:rPr>
          <w:rFonts w:ascii="Times New Roman" w:hAnsi="Times New Roman" w:cs="Times New Roman"/>
          <w:b/>
          <w:color w:val="102C57"/>
          <w:sz w:val="24"/>
          <w:szCs w:val="24"/>
        </w:rPr>
        <w:t>1. BACKGROUND</w:t>
      </w:r>
    </w:p>
    <w:p w14:paraId="1E61C55C"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 xml:space="preserve">Uganda Railways Corporation (URC) is the national railway and marine transport corporation mandated to provide railway, marine and related transport services in Uganda. URC manages an extensive railway asset base and a national railway network of approximately 1,266 km, with only approximately 269 km of operational railway infrastructure, comprising the Kampala-Malaba line </w:t>
      </w:r>
      <w:r w:rsidR="005557B4" w:rsidRPr="005557B4">
        <w:rPr>
          <w:rFonts w:ascii="Times New Roman" w:hAnsi="Times New Roman" w:cs="Times New Roman"/>
          <w:sz w:val="24"/>
          <w:szCs w:val="24"/>
        </w:rPr>
        <w:t>and</w:t>
      </w:r>
      <w:r w:rsidRPr="005557B4">
        <w:rPr>
          <w:rFonts w:ascii="Times New Roman" w:hAnsi="Times New Roman" w:cs="Times New Roman"/>
          <w:sz w:val="24"/>
          <w:szCs w:val="24"/>
        </w:rPr>
        <w:t xml:space="preserve"> the associated spurs to inland marine facilities at Jinja Pier and Port Bell. Other sections remain either non-operational or under rehabilitation, with significant redevelopment potential.</w:t>
      </w:r>
    </w:p>
    <w:p w14:paraId="27DD2B6C"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 xml:space="preserve">Rail transport presents a significant opportunity for Uganda to address </w:t>
      </w:r>
      <w:r w:rsidR="005557B4" w:rsidRPr="005557B4">
        <w:rPr>
          <w:rFonts w:ascii="Times New Roman" w:hAnsi="Times New Roman" w:cs="Times New Roman"/>
          <w:sz w:val="24"/>
          <w:szCs w:val="24"/>
        </w:rPr>
        <w:t xml:space="preserve">urban </w:t>
      </w:r>
      <w:r w:rsidRPr="005557B4">
        <w:rPr>
          <w:rFonts w:ascii="Times New Roman" w:hAnsi="Times New Roman" w:cs="Times New Roman"/>
          <w:sz w:val="24"/>
          <w:szCs w:val="24"/>
        </w:rPr>
        <w:t>road congestion, reduce transport costs and emissions, improve urban mobility, strengthen regional connectivity and support economic development. However, the railway system is currently operating substantially below its potential because of ageing infrastructure, obsolete rolling stock, accumulated maintenance requirements and constrained investment and institutional capacity.</w:t>
      </w:r>
    </w:p>
    <w:p w14:paraId="6AD78F45"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URC is therefore seeking strategic partnerships with European companies, investors, engineering firms, technology providers, development finance institutions and research organisations to transform selected railway and marine assets into modern, low-carbon, resilient and commercially sustainable transport systems.</w:t>
      </w:r>
    </w:p>
    <w:p w14:paraId="6AA03D61" w14:textId="77777777" w:rsidR="00E74899" w:rsidRPr="005557B4" w:rsidRDefault="00A608D7" w:rsidP="005557B4">
      <w:pPr>
        <w:keepNext/>
        <w:pBdr>
          <w:bottom w:val="single" w:sz="6" w:space="4" w:color="D0D5DD"/>
        </w:pBdr>
        <w:spacing w:before="320"/>
        <w:jc w:val="both"/>
        <w:rPr>
          <w:rFonts w:ascii="Times New Roman" w:hAnsi="Times New Roman" w:cs="Times New Roman"/>
          <w:sz w:val="24"/>
          <w:szCs w:val="24"/>
        </w:rPr>
      </w:pPr>
      <w:r w:rsidRPr="005557B4">
        <w:rPr>
          <w:rFonts w:ascii="Times New Roman" w:hAnsi="Times New Roman" w:cs="Times New Roman"/>
          <w:b/>
          <w:color w:val="102C57"/>
          <w:sz w:val="24"/>
          <w:szCs w:val="24"/>
        </w:rPr>
        <w:t>2. THE CHALLENGE</w:t>
      </w:r>
    </w:p>
    <w:p w14:paraId="205FA10F"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Uganda's railway system has substantial strategic value but currently faces a combination of infrastructure, technology, financing and institutional constraints:</w:t>
      </w:r>
    </w:p>
    <w:p w14:paraId="0FB288BB" w14:textId="77777777" w:rsidR="00E74899" w:rsidRPr="005557B4" w:rsidRDefault="00A608D7" w:rsidP="005557B4">
      <w:pPr>
        <w:keepNext/>
        <w:spacing w:before="240" w:after="80"/>
        <w:jc w:val="both"/>
        <w:rPr>
          <w:rFonts w:ascii="Times New Roman" w:hAnsi="Times New Roman" w:cs="Times New Roman"/>
          <w:sz w:val="24"/>
          <w:szCs w:val="24"/>
        </w:rPr>
      </w:pPr>
      <w:r w:rsidRPr="005557B4">
        <w:rPr>
          <w:rFonts w:ascii="Times New Roman" w:hAnsi="Times New Roman" w:cs="Times New Roman"/>
          <w:b/>
          <w:color w:val="102C57"/>
          <w:sz w:val="24"/>
          <w:szCs w:val="24"/>
        </w:rPr>
        <w:t>2.1 Aging and Deteriorated Infrastructure</w:t>
      </w:r>
    </w:p>
    <w:p w14:paraId="4F341DF6"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A significant proportion of Uganda's Meter Gauge Railway infrastructure is old and requires rehabilitation, renewal and modernisation. Several strategically important corridors have remained underutilised or non-operational because of infrastructure deterioration. URC's current network includes the approximately 330 km Nalukolongo–Kasese corridor, which is presently non-operational and requires substantial rehabilitation. The condition of existing track, bridges, drainage, stations, signalling and associated railway infrastructure limits operating speeds, reliability, safety and the ability of the railway to compete effectively with road transport.</w:t>
      </w:r>
    </w:p>
    <w:p w14:paraId="1D6E50C5" w14:textId="77777777" w:rsidR="00E74899" w:rsidRPr="005557B4" w:rsidRDefault="00A608D7" w:rsidP="005557B4">
      <w:pPr>
        <w:keepNext/>
        <w:spacing w:before="240" w:after="80"/>
        <w:jc w:val="both"/>
        <w:rPr>
          <w:rFonts w:ascii="Times New Roman" w:hAnsi="Times New Roman" w:cs="Times New Roman"/>
          <w:sz w:val="24"/>
          <w:szCs w:val="24"/>
        </w:rPr>
      </w:pPr>
      <w:r w:rsidRPr="005557B4">
        <w:rPr>
          <w:rFonts w:ascii="Times New Roman" w:hAnsi="Times New Roman" w:cs="Times New Roman"/>
          <w:b/>
          <w:color w:val="102C57"/>
          <w:sz w:val="24"/>
          <w:szCs w:val="24"/>
        </w:rPr>
        <w:t>2.2 Obsolete and High-Emission Rolling Stock</w:t>
      </w:r>
    </w:p>
    <w:p w14:paraId="2C1D4659"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URC's existing locomotive and passenger fleet is largely based on ageing diesel technology. This results in high fuel consumption, high operating and maintenance costs, significant emissions</w:t>
      </w:r>
      <w:r w:rsidR="005557B4" w:rsidRPr="005557B4">
        <w:rPr>
          <w:rFonts w:ascii="Times New Roman" w:hAnsi="Times New Roman" w:cs="Times New Roman"/>
          <w:sz w:val="24"/>
          <w:szCs w:val="24"/>
        </w:rPr>
        <w:t>,</w:t>
      </w:r>
      <w:r w:rsidRPr="005557B4">
        <w:rPr>
          <w:rFonts w:ascii="Times New Roman" w:hAnsi="Times New Roman" w:cs="Times New Roman"/>
          <w:sz w:val="24"/>
          <w:szCs w:val="24"/>
        </w:rPr>
        <w:t xml:space="preserve"> and </w:t>
      </w:r>
      <w:r w:rsidRPr="005557B4">
        <w:rPr>
          <w:rFonts w:ascii="Times New Roman" w:hAnsi="Times New Roman" w:cs="Times New Roman"/>
          <w:sz w:val="24"/>
          <w:szCs w:val="24"/>
        </w:rPr>
        <w:lastRenderedPageBreak/>
        <w:t>limited service capacity. Despite these limitations, demand for passenger rail services remains strong. URC currently operates passenger services on the Kampala–Mukono corridor and has demonstrated that there is a substantial market for affordable rail mobility.</w:t>
      </w:r>
    </w:p>
    <w:p w14:paraId="7A208152" w14:textId="77777777" w:rsidR="00E74899" w:rsidRPr="005557B4" w:rsidRDefault="00A608D7" w:rsidP="005557B4">
      <w:pPr>
        <w:keepNext/>
        <w:spacing w:before="240" w:after="80"/>
        <w:jc w:val="both"/>
        <w:rPr>
          <w:rFonts w:ascii="Times New Roman" w:hAnsi="Times New Roman" w:cs="Times New Roman"/>
          <w:sz w:val="24"/>
          <w:szCs w:val="24"/>
        </w:rPr>
      </w:pPr>
      <w:r w:rsidRPr="005557B4">
        <w:rPr>
          <w:rFonts w:ascii="Times New Roman" w:hAnsi="Times New Roman" w:cs="Times New Roman"/>
          <w:b/>
          <w:color w:val="102C57"/>
          <w:sz w:val="24"/>
          <w:szCs w:val="24"/>
        </w:rPr>
        <w:t>2.3 Significant Maintenance Backlog</w:t>
      </w:r>
    </w:p>
    <w:p w14:paraId="4C0E2172"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URC inherited a substantial backlog of railway infrastructure and rolling-stock maintenance following the failed previous concession arrangement. The accumulated backlog has placed considerable pressure on URC's limited maintenance resources and has affected asset reliability and operational efficiency. A systematic programme of asset rehabilitation, renewal and modern maintenance management is therefore required to move from reactive maintenance towards modern, predictive and lifecycle-based asset management.</w:t>
      </w:r>
    </w:p>
    <w:p w14:paraId="5525F997" w14:textId="77777777" w:rsidR="00E74899" w:rsidRPr="005557B4" w:rsidRDefault="00A608D7" w:rsidP="005557B4">
      <w:pPr>
        <w:keepNext/>
        <w:spacing w:before="240" w:after="80"/>
        <w:jc w:val="both"/>
        <w:rPr>
          <w:rFonts w:ascii="Times New Roman" w:hAnsi="Times New Roman" w:cs="Times New Roman"/>
          <w:sz w:val="24"/>
          <w:szCs w:val="24"/>
        </w:rPr>
      </w:pPr>
      <w:r w:rsidRPr="005557B4">
        <w:rPr>
          <w:rFonts w:ascii="Times New Roman" w:hAnsi="Times New Roman" w:cs="Times New Roman"/>
          <w:b/>
          <w:color w:val="102C57"/>
          <w:sz w:val="24"/>
          <w:szCs w:val="24"/>
        </w:rPr>
        <w:t>2.4 Limited Capital Funding for Asset Renewal</w:t>
      </w:r>
    </w:p>
    <w:p w14:paraId="2CE4F444"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URC's ability to renew major railway infrastructure and rolling stock is constrained by limited public capital funding. The scale of investment required to modernise the railway system exceeds the Corporation's internally generated resources. This creates a need for innovative financing structures combining public investment, development finance, commercial investment, concessional finance, guarantees, technology partnerships and potentially public-private partnerships.</w:t>
      </w:r>
    </w:p>
    <w:p w14:paraId="667BA972" w14:textId="77777777" w:rsidR="00E74899" w:rsidRPr="005557B4" w:rsidRDefault="00A608D7" w:rsidP="005557B4">
      <w:pPr>
        <w:keepNext/>
        <w:spacing w:before="240" w:after="80"/>
        <w:jc w:val="both"/>
        <w:rPr>
          <w:rFonts w:ascii="Times New Roman" w:hAnsi="Times New Roman" w:cs="Times New Roman"/>
          <w:sz w:val="24"/>
          <w:szCs w:val="24"/>
        </w:rPr>
      </w:pPr>
      <w:r w:rsidRPr="005557B4">
        <w:rPr>
          <w:rFonts w:ascii="Times New Roman" w:hAnsi="Times New Roman" w:cs="Times New Roman"/>
          <w:b/>
          <w:color w:val="102C57"/>
          <w:sz w:val="24"/>
          <w:szCs w:val="24"/>
        </w:rPr>
        <w:t>2.5 Limited Capacity to Develop and Manage Modern Railway Systems</w:t>
      </w:r>
    </w:p>
    <w:p w14:paraId="312064F7"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The transition from a predominantly conventional diesel-powered railway to a modern, electrified, digitally enabled and commercially sustainable railway requires new technical, managerial and institutional capabilities. URC therefore requires partnerships that combine infrastructure investment with technology transfer, technical assistance, skills development, digital asset management, railway systems engineering and institutional strengthening.</w:t>
      </w:r>
    </w:p>
    <w:p w14:paraId="42CE1672" w14:textId="77777777" w:rsidR="00E74899" w:rsidRPr="005557B4" w:rsidRDefault="00A608D7" w:rsidP="005557B4">
      <w:pPr>
        <w:keepNext/>
        <w:pBdr>
          <w:bottom w:val="single" w:sz="6" w:space="4" w:color="D0D5DD"/>
        </w:pBdr>
        <w:spacing w:before="320"/>
        <w:jc w:val="both"/>
        <w:rPr>
          <w:rFonts w:ascii="Times New Roman" w:hAnsi="Times New Roman" w:cs="Times New Roman"/>
          <w:sz w:val="24"/>
          <w:szCs w:val="24"/>
        </w:rPr>
      </w:pPr>
      <w:r w:rsidRPr="005557B4">
        <w:rPr>
          <w:rFonts w:ascii="Times New Roman" w:hAnsi="Times New Roman" w:cs="Times New Roman"/>
          <w:b/>
          <w:color w:val="102C57"/>
          <w:sz w:val="24"/>
          <w:szCs w:val="24"/>
        </w:rPr>
        <w:t>3. PRIORITY INVESTMENT AND PARTNERSHIP OPPORTUNITIES</w:t>
      </w:r>
    </w:p>
    <w:p w14:paraId="773FEE86"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URC proposes a portfolio of interconnected investment opportunities through which European expertise, technology, climate finance and private investment can be brought together with Uganda's existing railway assets and market opportunities:</w:t>
      </w:r>
    </w:p>
    <w:p w14:paraId="6AAE8616" w14:textId="77777777" w:rsidR="00E74899" w:rsidRPr="005557B4" w:rsidRDefault="00A608D7" w:rsidP="005557B4">
      <w:pPr>
        <w:keepNext/>
        <w:spacing w:before="240" w:after="80"/>
        <w:jc w:val="both"/>
        <w:rPr>
          <w:rFonts w:ascii="Times New Roman" w:hAnsi="Times New Roman" w:cs="Times New Roman"/>
          <w:sz w:val="24"/>
          <w:szCs w:val="24"/>
        </w:rPr>
      </w:pPr>
      <w:r w:rsidRPr="005557B4">
        <w:rPr>
          <w:rFonts w:ascii="Times New Roman" w:hAnsi="Times New Roman" w:cs="Times New Roman"/>
          <w:b/>
          <w:color w:val="102C57"/>
          <w:sz w:val="24"/>
          <w:szCs w:val="24"/>
        </w:rPr>
        <w:t>3.1 Kampala-Kasese Green Railway Corridor: Nature-Based Climate Resilience and Carbon Investment</w:t>
      </w:r>
    </w:p>
    <w:p w14:paraId="445ADA20"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URC proposes to establish the Kampala-Kasese railway corridor as a pilot green railway corridor, beginning with a structured tree-planting, ecosystem restoration and climate-resilience programme that can subsequently be extended to other railway corridors.</w:t>
      </w:r>
    </w:p>
    <w:p w14:paraId="6C6ED92F"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While the corridor is earmarked for future Standard Gauge Railway (SGR) extension in the longer term, URC has drafted the greening proposal to cover approximately 160 km of the Kampala-</w:t>
      </w:r>
      <w:r w:rsidRPr="005557B4">
        <w:rPr>
          <w:rFonts w:ascii="Times New Roman" w:hAnsi="Times New Roman" w:cs="Times New Roman"/>
          <w:sz w:val="24"/>
          <w:szCs w:val="24"/>
        </w:rPr>
        <w:lastRenderedPageBreak/>
        <w:t>Kasese corridor and a 21-metre railway reserve buffer, representing approximately 320 hectares. The proposed intervention provides for approximately 65,280 climate-resilient trees at 7 m × 7 m spacing, combining indigenous species, controlled plantation species and agroforestry.</w:t>
      </w:r>
    </w:p>
    <w:p w14:paraId="738EDEED"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The concept goes beyond conventional tree planting. Vegetation would be used as a nature-based infrastructure intervention to reduce erosion, stabilise railway embankments and slopes, improve drainage performance, protect railway formations and increase resilience to flooding and extreme weather. It would also restore degraded ecosystems, improve biodiversity and create opportunities for community-based green livelihoods.</w:t>
      </w:r>
    </w:p>
    <w:p w14:paraId="4B0B17DE"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The proposal has a potential carbon-finance dimension. Preliminary estimates indicate approximately 2,816 tCO₂e of annual sequestration, subject to proper baseline assessment, monitoring and third-party verification. The project could therefore be developed to explore carbon-credit revenues alongside climate and biodiversity financing.</w:t>
      </w:r>
    </w:p>
    <w:p w14:paraId="039F7D8A"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URC seeks partnership to develop the concept into an investment-grade climate and nature-based solution, including technical validation, GIS-based corridor mapping, carbon assessment and certification, financing structuring, community participation and implementation. The Kampala-Kasese intervention would serve as a pilot that could subsequently be replicated on the Tororo-Gulu and Gulu-Pakwach corridors, creating a wider network of green railway reserves.</w:t>
      </w:r>
    </w:p>
    <w:p w14:paraId="189FBB1A" w14:textId="77777777" w:rsidR="00E74899" w:rsidRPr="005557B4" w:rsidRDefault="00A608D7" w:rsidP="005557B4">
      <w:pPr>
        <w:keepNext/>
        <w:spacing w:before="240" w:after="80"/>
        <w:jc w:val="both"/>
        <w:rPr>
          <w:rFonts w:ascii="Times New Roman" w:hAnsi="Times New Roman" w:cs="Times New Roman"/>
          <w:sz w:val="24"/>
          <w:szCs w:val="24"/>
        </w:rPr>
      </w:pPr>
      <w:r w:rsidRPr="005557B4">
        <w:rPr>
          <w:rFonts w:ascii="Times New Roman" w:hAnsi="Times New Roman" w:cs="Times New Roman"/>
          <w:b/>
          <w:color w:val="102C57"/>
          <w:sz w:val="24"/>
          <w:szCs w:val="24"/>
        </w:rPr>
        <w:t>3.2 Kampala-Mukono: High-Capacity, Electrified and Low-Carbon Passenger Railway</w:t>
      </w:r>
    </w:p>
    <w:p w14:paraId="42D98F1D"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The Kampala-Mukono corridor represents URC's most immediate opportunity to transform passenger rail into a modern urban and suburban mass-transit system.</w:t>
      </w:r>
    </w:p>
    <w:p w14:paraId="2F542DFE"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 xml:space="preserve">The Greater Kampala passenger railway feasibility work commissioned by the European Commission has already established a technical and economic basis for expanding passenger rail services. The study considered a network </w:t>
      </w:r>
      <w:r w:rsidR="005557B4" w:rsidRPr="005557B4">
        <w:rPr>
          <w:rFonts w:ascii="Times New Roman" w:hAnsi="Times New Roman" w:cs="Times New Roman"/>
          <w:sz w:val="24"/>
          <w:szCs w:val="24"/>
        </w:rPr>
        <w:t>centered</w:t>
      </w:r>
      <w:r w:rsidRPr="005557B4">
        <w:rPr>
          <w:rFonts w:ascii="Times New Roman" w:hAnsi="Times New Roman" w:cs="Times New Roman"/>
          <w:sz w:val="24"/>
          <w:szCs w:val="24"/>
        </w:rPr>
        <w:t xml:space="preserve"> on </w:t>
      </w:r>
      <w:proofErr w:type="spellStart"/>
      <w:r w:rsidRPr="005557B4">
        <w:rPr>
          <w:rFonts w:ascii="Times New Roman" w:hAnsi="Times New Roman" w:cs="Times New Roman"/>
          <w:sz w:val="24"/>
          <w:szCs w:val="24"/>
        </w:rPr>
        <w:t>Buj</w:t>
      </w:r>
      <w:r w:rsidR="005557B4" w:rsidRPr="005557B4">
        <w:rPr>
          <w:rFonts w:ascii="Times New Roman" w:hAnsi="Times New Roman" w:cs="Times New Roman"/>
          <w:sz w:val="24"/>
          <w:szCs w:val="24"/>
        </w:rPr>
        <w:t>u</w:t>
      </w:r>
      <w:r w:rsidRPr="005557B4">
        <w:rPr>
          <w:rFonts w:ascii="Times New Roman" w:hAnsi="Times New Roman" w:cs="Times New Roman"/>
          <w:sz w:val="24"/>
          <w:szCs w:val="24"/>
        </w:rPr>
        <w:t>uko</w:t>
      </w:r>
      <w:proofErr w:type="spellEnd"/>
      <w:r w:rsidRPr="005557B4">
        <w:rPr>
          <w:rFonts w:ascii="Times New Roman" w:hAnsi="Times New Roman" w:cs="Times New Roman"/>
          <w:sz w:val="24"/>
          <w:szCs w:val="24"/>
        </w:rPr>
        <w:t>-Kampala-Mukono and Kampala-</w:t>
      </w:r>
      <w:r w:rsidR="005557B4" w:rsidRPr="005557B4">
        <w:rPr>
          <w:rFonts w:ascii="Times New Roman" w:hAnsi="Times New Roman" w:cs="Times New Roman"/>
          <w:sz w:val="24"/>
          <w:szCs w:val="24"/>
        </w:rPr>
        <w:t>Port bell</w:t>
      </w:r>
      <w:r w:rsidRPr="005557B4">
        <w:rPr>
          <w:rFonts w:ascii="Times New Roman" w:hAnsi="Times New Roman" w:cs="Times New Roman"/>
          <w:sz w:val="24"/>
          <w:szCs w:val="24"/>
        </w:rPr>
        <w:t xml:space="preserve"> as part of the preferred infrastructure configurations. Importantly, the study also evaluated an electrified EMU scenario, alongside diesel alternatives. The electrification scenario envisages double tracking of Kampala-Kyengera and Kampala-Mukono, with corresponding infrastructure improvements, while the EMU option provides a pathway towards lower-emission, higher-capacity passenger operations.</w:t>
      </w:r>
    </w:p>
    <w:p w14:paraId="4B7536AD"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URC therefore proposes to take the passenger railway concept to the next stage by exploring the dualization and electrification of the Kampala-Mukono passenger corridor, together with appropriate electric, battery-electric or hybrid rolling-stock solutions. A complementary study supported by the French Development Agency (AFD) is being undertaken to determine the most technically and financially appropriate pathway for progressively replacing conventional diesel passenger operations with cleaner propulsion technology.</w:t>
      </w:r>
    </w:p>
    <w:p w14:paraId="6ABF56AC"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 xml:space="preserve">This investment would address one of Uganda's most significant urban mobility challenges. The existing railway provides a dedicated transport corridor into Kampala, while the rapid growth of </w:t>
      </w:r>
      <w:r w:rsidRPr="005557B4">
        <w:rPr>
          <w:rFonts w:ascii="Times New Roman" w:hAnsi="Times New Roman" w:cs="Times New Roman"/>
          <w:sz w:val="24"/>
          <w:szCs w:val="24"/>
        </w:rPr>
        <w:lastRenderedPageBreak/>
        <w:t>the Greater Kampala Metropolitan Area has generated severe congestion and increasing demand for reliable mass transportation.</w:t>
      </w:r>
    </w:p>
    <w:p w14:paraId="496CFDCB"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URC is seeking European partners for detailed engineering and systems design, electrification technology, rolling-stock solutions, energy systems, signalling and train control, station modernisation, digital ticketing and passenger information systems, as well as innovative financing and PPP structures. The partnership could also explore hybrid or battery-electric rolling stock as an intermediate or complementary solution, particularly where full network electrification may initially be constrained by investment requirements or electricity-system capacity.</w:t>
      </w:r>
    </w:p>
    <w:p w14:paraId="75513181" w14:textId="77777777" w:rsidR="00E74899" w:rsidRPr="005557B4" w:rsidRDefault="00A608D7" w:rsidP="005557B4">
      <w:pPr>
        <w:keepNext/>
        <w:spacing w:before="240" w:after="80"/>
        <w:jc w:val="both"/>
        <w:rPr>
          <w:rFonts w:ascii="Times New Roman" w:hAnsi="Times New Roman" w:cs="Times New Roman"/>
          <w:sz w:val="24"/>
          <w:szCs w:val="24"/>
        </w:rPr>
      </w:pPr>
      <w:r w:rsidRPr="005557B4">
        <w:rPr>
          <w:rFonts w:ascii="Times New Roman" w:hAnsi="Times New Roman" w:cs="Times New Roman"/>
          <w:b/>
          <w:color w:val="102C57"/>
          <w:sz w:val="24"/>
          <w:szCs w:val="24"/>
        </w:rPr>
        <w:t>3.3 Tororo-Gulu: Solar Energy and Low-Carbon Railway Demonstration Corridor</w:t>
      </w:r>
    </w:p>
    <w:p w14:paraId="46E51D1F"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The Tororo-Gulu railway provides a particularly attractive opportunity to combine railway rehabilitation with renewable energy and clean railway technology.</w:t>
      </w:r>
    </w:p>
    <w:p w14:paraId="5E9B0075"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The approximately 385 km corridor is currently under rehabilitation and is approximately 75% complete, with completion projected for October 2026. This creates a timely opportunity to consider the energy and rolling-stock strategy before the rehabilitation programme is fully concluded.</w:t>
      </w:r>
    </w:p>
    <w:p w14:paraId="7B6D6C4E"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URC proposes to explore the generation of solar energy for potential electrification of the railway corridor associated infrastructure and the deployment of electric or hybrid rolling stock. Given the high solar energy potential of northern Uganda, URC proposes a technical and commercial study to assess the feasibility of establishing solar generation along or adjacent to the railway reserve, potentially integrated with battery storage and railway energy requirements.</w:t>
      </w:r>
    </w:p>
    <w:p w14:paraId="2FE0EA71"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The objective would be to develop Tororo-Gulu as a demonstration of how railway rehabilitation, renewable energy and low-carbon rolling stock can be integrated into a single investment programme. The concept could subsequently be extended to the Gulu-Pakwach corridor, for which a feasibility study has already been undertaken.</w:t>
      </w:r>
    </w:p>
    <w:p w14:paraId="628EBF80"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URC is particularly interested in support for the feasibility and bankability work required to establish the optimal energy mix, technology, investment structure and commercial model before committing to large-scale electrification.</w:t>
      </w:r>
    </w:p>
    <w:p w14:paraId="19557229" w14:textId="77777777" w:rsidR="00E74899" w:rsidRPr="005557B4" w:rsidRDefault="00A608D7" w:rsidP="005557B4">
      <w:pPr>
        <w:keepNext/>
        <w:spacing w:before="240" w:after="80"/>
        <w:jc w:val="both"/>
        <w:rPr>
          <w:rFonts w:ascii="Times New Roman" w:hAnsi="Times New Roman" w:cs="Times New Roman"/>
          <w:sz w:val="24"/>
          <w:szCs w:val="24"/>
        </w:rPr>
      </w:pPr>
      <w:r w:rsidRPr="005557B4">
        <w:rPr>
          <w:rFonts w:ascii="Times New Roman" w:hAnsi="Times New Roman" w:cs="Times New Roman"/>
          <w:b/>
          <w:color w:val="102C57"/>
          <w:sz w:val="24"/>
          <w:szCs w:val="24"/>
        </w:rPr>
        <w:t>3.4 Port Bell: Green Port and Sustainable Marine Transport</w:t>
      </w:r>
    </w:p>
    <w:p w14:paraId="7E094E81"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URC is also developing an opportunity to transform Port Bell into a pilot green port, with feasibility and design work currently underway. Port Bell provides a natural interface between Uganda's railway and inland water transport systems and therefore offers an opportunity to demonstrate an integrated green transport model combining rail, marine transport and renewable energy.</w:t>
      </w:r>
    </w:p>
    <w:p w14:paraId="4615B33C"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 xml:space="preserve">URC seeks European partnerships for the development of green port infrastructure and low-emission marine services, potentially including renewable energy systems, energy-efficient cargo-handling equipment, shore-side power, cleaner marine propulsion, digital port systems, waste and </w:t>
      </w:r>
      <w:r w:rsidRPr="005557B4">
        <w:rPr>
          <w:rFonts w:ascii="Times New Roman" w:hAnsi="Times New Roman" w:cs="Times New Roman"/>
          <w:sz w:val="24"/>
          <w:szCs w:val="24"/>
        </w:rPr>
        <w:lastRenderedPageBreak/>
        <w:t>water management, and other technologies capable of reducing the environmental footprint of port operations.</w:t>
      </w:r>
    </w:p>
    <w:p w14:paraId="4989CEC0"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The Port Bell opportunity is particularly relevant to the broader objective of creating integrated multimodal transport systems rather than treating railway, port and marine infrastructure as separate investments.</w:t>
      </w:r>
    </w:p>
    <w:p w14:paraId="46CD804E" w14:textId="77777777" w:rsidR="00E74899" w:rsidRPr="005557B4" w:rsidRDefault="00A608D7" w:rsidP="005557B4">
      <w:pPr>
        <w:keepNext/>
        <w:spacing w:before="240" w:after="80"/>
        <w:jc w:val="both"/>
        <w:rPr>
          <w:rFonts w:ascii="Times New Roman" w:hAnsi="Times New Roman" w:cs="Times New Roman"/>
          <w:sz w:val="24"/>
          <w:szCs w:val="24"/>
        </w:rPr>
      </w:pPr>
      <w:r w:rsidRPr="005557B4">
        <w:rPr>
          <w:rFonts w:ascii="Times New Roman" w:hAnsi="Times New Roman" w:cs="Times New Roman"/>
          <w:b/>
          <w:color w:val="102C57"/>
          <w:sz w:val="24"/>
          <w:szCs w:val="24"/>
        </w:rPr>
        <w:t>3.5 Building Institutional Capacity</w:t>
      </w:r>
    </w:p>
    <w:p w14:paraId="54C00108" w14:textId="77777777" w:rsidR="00E74899" w:rsidRPr="005557B4" w:rsidRDefault="00A608D7" w:rsidP="005557B4">
      <w:pPr>
        <w:keepNext/>
        <w:spacing w:before="240" w:after="80"/>
        <w:jc w:val="both"/>
        <w:rPr>
          <w:rFonts w:ascii="Times New Roman" w:hAnsi="Times New Roman" w:cs="Times New Roman"/>
          <w:sz w:val="24"/>
          <w:szCs w:val="24"/>
        </w:rPr>
      </w:pPr>
      <w:r w:rsidRPr="005557B4">
        <w:rPr>
          <w:rFonts w:ascii="Times New Roman" w:hAnsi="Times New Roman" w:cs="Times New Roman"/>
          <w:b/>
          <w:color w:val="102C57"/>
          <w:sz w:val="24"/>
          <w:szCs w:val="24"/>
        </w:rPr>
        <w:t>3.5.1 Operations and Maintenance of the Standard Gauge Railway (SGR)</w:t>
      </w:r>
    </w:p>
    <w:p w14:paraId="64F481CC"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Uganda has commenced construction of an electrified SGR, with construction expected to be completed within the next five years. The new railway will introduce technologies and operating systems that are significantly different from those currently managed by URC, including electrified traction, modern signalling and train control, specialised rolling stock, traction power systems, advanced track infrastructure and modern railway telecommunications.</w:t>
      </w:r>
    </w:p>
    <w:p w14:paraId="13244C8C"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As the national railway operator, URC will be required to develop the institutional, technical and human-resource capacity to operate and maintain the SGR. This presents an immediate capacity-building requirement. The necessary skills cannot be developed at the point of commissioning. They need to be established progressively during the remaining construction period.</w:t>
      </w:r>
    </w:p>
    <w:p w14:paraId="72995DBD"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URC therefore seeks partnerships with European railway operators, infrastructure managers, rolling-stock companies, railway systems specialists, training institutions and technical organisations with experience in operating and maintaining modern electrified railways. The partnership would support the progressive transfer of knowledge and practical expertise in SGR operations, infrastructure management and maintenance. Particular emphasis would be placed on building capacity in track and civil infrastructure maintenance, electrification and traction power systems, signalling and train control, rolling-stock maintenance, railway telecommunications, safety management, operations control and railway asset management.</w:t>
      </w:r>
    </w:p>
    <w:p w14:paraId="00AE156C"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This partnership could also provide a pathway for URC to establish long-term institutional relationships with experienced European railway organisations, allowing knowledge transfer to continue beyond the initial SGR commissioning period.</w:t>
      </w:r>
    </w:p>
    <w:p w14:paraId="31788A28" w14:textId="77777777" w:rsidR="00E74899" w:rsidRPr="005557B4" w:rsidRDefault="00A608D7" w:rsidP="005557B4">
      <w:pPr>
        <w:keepNext/>
        <w:spacing w:before="240" w:after="80"/>
        <w:jc w:val="both"/>
        <w:rPr>
          <w:rFonts w:ascii="Times New Roman" w:hAnsi="Times New Roman" w:cs="Times New Roman"/>
          <w:sz w:val="24"/>
          <w:szCs w:val="24"/>
        </w:rPr>
      </w:pPr>
      <w:r w:rsidRPr="005557B4">
        <w:rPr>
          <w:rFonts w:ascii="Times New Roman" w:hAnsi="Times New Roman" w:cs="Times New Roman"/>
          <w:b/>
          <w:color w:val="102C57"/>
          <w:sz w:val="24"/>
          <w:szCs w:val="24"/>
        </w:rPr>
        <w:t>3.5.2 Railway Training Institute as a Regional Centre of Excellence</w:t>
      </w:r>
    </w:p>
    <w:p w14:paraId="7858E3AA"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URC is also planning to establish a Railway Training Institute (RTI) which is intended to become a regional centre of excellence for railway training. The development of the RTI provides an opportunity to institutionalise the capacity-building programme rather than relying solely on short-term training interventions.</w:t>
      </w:r>
    </w:p>
    <w:p w14:paraId="0522F2E0"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European railway operators, training institutions, universities and technical organisations could partner with URC in developing the RTI's curriculum, training standards, instructors and practical training capabilities, with particular attention to the skills required for modern electrified railway operations and maintenance.</w:t>
      </w:r>
    </w:p>
    <w:p w14:paraId="28CC2BDB"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lastRenderedPageBreak/>
        <w:t>Support is currently needed in curriculum development for railway operations and maintenance, development of competency-based training programmes, instructor training, simulation and practical training systems, development of training laboratories and workshops, certification frameworks, and exchange programmes between the RTI and established European railway training institutions.</w:t>
      </w:r>
    </w:p>
    <w:p w14:paraId="3BBB380A"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The RTI will ultimately serve not only URC and Uganda but also railway personnel from across East and Central Africa, creating a sustainable regional platform for railway skills development. This would complement the physical investment in the SGR by ensuring that the region has a local institution capable of continuously developing the specialised human resources required to operate modern railway systems.</w:t>
      </w:r>
    </w:p>
    <w:p w14:paraId="1861BC6A"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URC is particularly interested in European railway operators and infrastructure managers willing to establish institutional partnerships for long-term skills transfer; European railway companies able to provide specialist experts and technical consultancy; development partners able to finance capacity-building through grants and technical assistance; and European railway training institutions willing to support the establishment and development of the RTI.</w:t>
      </w:r>
    </w:p>
    <w:p w14:paraId="7885EDBF" w14:textId="77777777" w:rsidR="00E74899" w:rsidRPr="005557B4" w:rsidRDefault="00A608D7" w:rsidP="005557B4">
      <w:pPr>
        <w:keepNext/>
        <w:pBdr>
          <w:bottom w:val="single" w:sz="6" w:space="4" w:color="D0D5DD"/>
        </w:pBdr>
        <w:spacing w:before="320"/>
        <w:jc w:val="both"/>
        <w:rPr>
          <w:rFonts w:ascii="Times New Roman" w:hAnsi="Times New Roman" w:cs="Times New Roman"/>
          <w:sz w:val="24"/>
          <w:szCs w:val="24"/>
        </w:rPr>
      </w:pPr>
      <w:r w:rsidRPr="005557B4">
        <w:rPr>
          <w:rFonts w:ascii="Times New Roman" w:hAnsi="Times New Roman" w:cs="Times New Roman"/>
          <w:b/>
          <w:color w:val="102C57"/>
          <w:sz w:val="24"/>
          <w:szCs w:val="24"/>
        </w:rPr>
        <w:t>4. CONCLUSION</w:t>
      </w:r>
    </w:p>
    <w:p w14:paraId="44FE9DEA"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Uganda has an opportunity to transform its railway system by combining its existing railway reserves, infrastructure and market demand with European technology, financing and expertise.</w:t>
      </w:r>
    </w:p>
    <w:p w14:paraId="76FCF8A4" w14:textId="77777777" w:rsidR="00E74899" w:rsidRPr="005557B4" w:rsidRDefault="00A608D7" w:rsidP="005557B4">
      <w:pPr>
        <w:jc w:val="both"/>
        <w:rPr>
          <w:rFonts w:ascii="Times New Roman" w:hAnsi="Times New Roman" w:cs="Times New Roman"/>
          <w:sz w:val="24"/>
          <w:szCs w:val="24"/>
        </w:rPr>
      </w:pPr>
      <w:r w:rsidRPr="005557B4">
        <w:rPr>
          <w:rFonts w:ascii="Times New Roman" w:hAnsi="Times New Roman" w:cs="Times New Roman"/>
          <w:sz w:val="24"/>
          <w:szCs w:val="24"/>
        </w:rPr>
        <w:t>URC's immediate priorities provide a coherent pipeline:</w:t>
      </w:r>
    </w:p>
    <w:p w14:paraId="61DB953A" w14:textId="77777777" w:rsidR="00E74899" w:rsidRPr="005557B4" w:rsidRDefault="00A608D7" w:rsidP="005557B4">
      <w:pPr>
        <w:pStyle w:val="ListBullet"/>
        <w:spacing w:after="80"/>
        <w:jc w:val="both"/>
        <w:rPr>
          <w:rFonts w:ascii="Times New Roman" w:hAnsi="Times New Roman" w:cs="Times New Roman"/>
          <w:sz w:val="24"/>
          <w:szCs w:val="24"/>
        </w:rPr>
      </w:pPr>
      <w:r w:rsidRPr="005557B4">
        <w:rPr>
          <w:rFonts w:ascii="Times New Roman" w:hAnsi="Times New Roman" w:cs="Times New Roman"/>
          <w:b/>
          <w:sz w:val="24"/>
          <w:szCs w:val="24"/>
        </w:rPr>
        <w:t>Kampala-Mukono</w:t>
      </w:r>
      <w:r w:rsidR="005557B4" w:rsidRPr="005557B4">
        <w:rPr>
          <w:rFonts w:ascii="Times New Roman" w:hAnsi="Times New Roman" w:cs="Times New Roman"/>
          <w:b/>
          <w:sz w:val="24"/>
          <w:szCs w:val="24"/>
        </w:rPr>
        <w:t>-</w:t>
      </w:r>
      <w:proofErr w:type="spellStart"/>
      <w:r w:rsidR="005557B4" w:rsidRPr="005557B4">
        <w:rPr>
          <w:rFonts w:ascii="Times New Roman" w:hAnsi="Times New Roman" w:cs="Times New Roman"/>
          <w:b/>
          <w:sz w:val="24"/>
          <w:szCs w:val="24"/>
        </w:rPr>
        <w:t>Kyengera</w:t>
      </w:r>
      <w:proofErr w:type="spellEnd"/>
      <w:r w:rsidR="005557B4" w:rsidRPr="005557B4">
        <w:rPr>
          <w:rFonts w:ascii="Times New Roman" w:hAnsi="Times New Roman" w:cs="Times New Roman"/>
          <w:b/>
          <w:sz w:val="24"/>
          <w:szCs w:val="24"/>
        </w:rPr>
        <w:t>-</w:t>
      </w:r>
      <w:proofErr w:type="spellStart"/>
      <w:r w:rsidR="005557B4" w:rsidRPr="005557B4">
        <w:rPr>
          <w:rFonts w:ascii="Times New Roman" w:hAnsi="Times New Roman" w:cs="Times New Roman"/>
          <w:b/>
          <w:sz w:val="24"/>
          <w:szCs w:val="24"/>
        </w:rPr>
        <w:t>Bujuuko</w:t>
      </w:r>
      <w:proofErr w:type="spellEnd"/>
      <w:r w:rsidRPr="005557B4">
        <w:rPr>
          <w:rFonts w:ascii="Times New Roman" w:hAnsi="Times New Roman" w:cs="Times New Roman"/>
          <w:b/>
          <w:sz w:val="24"/>
          <w:szCs w:val="24"/>
        </w:rPr>
        <w:t xml:space="preserve">: </w:t>
      </w:r>
      <w:r w:rsidRPr="005557B4">
        <w:rPr>
          <w:rFonts w:ascii="Times New Roman" w:hAnsi="Times New Roman" w:cs="Times New Roman"/>
          <w:sz w:val="24"/>
          <w:szCs w:val="24"/>
        </w:rPr>
        <w:t>Offers an urban mass-transit opportunity with a technically sound pathway towards double-tracking and electrification.</w:t>
      </w:r>
    </w:p>
    <w:p w14:paraId="3FF8B068" w14:textId="77777777" w:rsidR="00E74899" w:rsidRPr="005557B4" w:rsidRDefault="00A608D7" w:rsidP="005557B4">
      <w:pPr>
        <w:pStyle w:val="ListBullet"/>
        <w:spacing w:after="80"/>
        <w:jc w:val="both"/>
        <w:rPr>
          <w:rFonts w:ascii="Times New Roman" w:hAnsi="Times New Roman" w:cs="Times New Roman"/>
          <w:sz w:val="24"/>
          <w:szCs w:val="24"/>
        </w:rPr>
      </w:pPr>
      <w:r w:rsidRPr="005557B4">
        <w:rPr>
          <w:rFonts w:ascii="Times New Roman" w:hAnsi="Times New Roman" w:cs="Times New Roman"/>
          <w:b/>
          <w:sz w:val="24"/>
          <w:szCs w:val="24"/>
        </w:rPr>
        <w:t xml:space="preserve">Kampala-Kasese: </w:t>
      </w:r>
      <w:r w:rsidRPr="005557B4">
        <w:rPr>
          <w:rFonts w:ascii="Times New Roman" w:hAnsi="Times New Roman" w:cs="Times New Roman"/>
          <w:sz w:val="24"/>
          <w:szCs w:val="24"/>
        </w:rPr>
        <w:t>Offers a nature-based green railway pilot that can generate climate, resilience, carbon and livelihood benefits.</w:t>
      </w:r>
    </w:p>
    <w:p w14:paraId="4294538F" w14:textId="77777777" w:rsidR="00E74899" w:rsidRPr="005557B4" w:rsidRDefault="00A608D7" w:rsidP="005557B4">
      <w:pPr>
        <w:pStyle w:val="ListBullet"/>
        <w:spacing w:after="80"/>
        <w:jc w:val="both"/>
        <w:rPr>
          <w:rFonts w:ascii="Times New Roman" w:hAnsi="Times New Roman" w:cs="Times New Roman"/>
          <w:sz w:val="24"/>
          <w:szCs w:val="24"/>
        </w:rPr>
      </w:pPr>
      <w:r w:rsidRPr="005557B4">
        <w:rPr>
          <w:rFonts w:ascii="Times New Roman" w:hAnsi="Times New Roman" w:cs="Times New Roman"/>
          <w:b/>
          <w:sz w:val="24"/>
          <w:szCs w:val="24"/>
        </w:rPr>
        <w:t xml:space="preserve">Tororo-Gulu: </w:t>
      </w:r>
      <w:r w:rsidRPr="005557B4">
        <w:rPr>
          <w:rFonts w:ascii="Times New Roman" w:hAnsi="Times New Roman" w:cs="Times New Roman"/>
          <w:sz w:val="24"/>
          <w:szCs w:val="24"/>
        </w:rPr>
        <w:t>Currently under rehabilitation, provides an opportunity to introduce renewable energy and low-carbon railway technology from the outset, with potential extension to Gulu-Pakwach.</w:t>
      </w:r>
    </w:p>
    <w:p w14:paraId="4F565D41" w14:textId="77777777" w:rsidR="00E74899" w:rsidRPr="005557B4" w:rsidRDefault="00A608D7" w:rsidP="005557B4">
      <w:pPr>
        <w:pStyle w:val="ListBullet"/>
        <w:spacing w:after="80"/>
        <w:jc w:val="both"/>
        <w:rPr>
          <w:rFonts w:ascii="Times New Roman" w:hAnsi="Times New Roman" w:cs="Times New Roman"/>
          <w:sz w:val="24"/>
          <w:szCs w:val="24"/>
        </w:rPr>
      </w:pPr>
      <w:r w:rsidRPr="005557B4">
        <w:rPr>
          <w:rFonts w:ascii="Times New Roman" w:hAnsi="Times New Roman" w:cs="Times New Roman"/>
          <w:b/>
          <w:sz w:val="24"/>
          <w:szCs w:val="24"/>
        </w:rPr>
        <w:t xml:space="preserve">Port Bell: </w:t>
      </w:r>
      <w:r w:rsidRPr="005557B4">
        <w:rPr>
          <w:rFonts w:ascii="Times New Roman" w:hAnsi="Times New Roman" w:cs="Times New Roman"/>
          <w:sz w:val="24"/>
          <w:szCs w:val="24"/>
        </w:rPr>
        <w:t>Provides an opportunity to demonstrate green inland port and marine services and integrate rail with water transport.</w:t>
      </w:r>
    </w:p>
    <w:p w14:paraId="3F446B51" w14:textId="77777777" w:rsidR="00E74899" w:rsidRPr="005557B4" w:rsidRDefault="00A608D7" w:rsidP="005557B4">
      <w:pPr>
        <w:spacing w:before="160"/>
        <w:jc w:val="both"/>
        <w:rPr>
          <w:rFonts w:ascii="Times New Roman" w:hAnsi="Times New Roman" w:cs="Times New Roman"/>
          <w:sz w:val="24"/>
          <w:szCs w:val="24"/>
        </w:rPr>
      </w:pPr>
      <w:r w:rsidRPr="005557B4">
        <w:rPr>
          <w:rFonts w:ascii="Times New Roman" w:hAnsi="Times New Roman" w:cs="Times New Roman"/>
          <w:sz w:val="24"/>
          <w:szCs w:val="24"/>
        </w:rPr>
        <w:t>URC therefore proposes to use the Smart City Expo World Congress as a platform to identify European partners who can help convert these opportunities into investment-ready, climate-aligned and commercially sustainable projects.</w:t>
      </w:r>
    </w:p>
    <w:tbl>
      <w:tblPr>
        <w:tblW w:w="0" w:type="auto"/>
        <w:jc w:val="center"/>
        <w:tblLayout w:type="fixed"/>
        <w:tblLook w:val="04A0" w:firstRow="1" w:lastRow="0" w:firstColumn="1" w:lastColumn="0" w:noHBand="0" w:noVBand="1"/>
      </w:tblPr>
      <w:tblGrid>
        <w:gridCol w:w="9360"/>
      </w:tblGrid>
      <w:tr w:rsidR="00E74899" w:rsidRPr="005557B4" w14:paraId="4BB32B44" w14:textId="77777777">
        <w:trPr>
          <w:jc w:val="center"/>
        </w:trPr>
        <w:tc>
          <w:tcPr>
            <w:tcW w:w="9360" w:type="dxa"/>
            <w:tcBorders>
              <w:left w:val="single" w:sz="24" w:space="0" w:color="102C57"/>
            </w:tcBorders>
            <w:shd w:val="clear" w:color="auto" w:fill="F4F6F9"/>
          </w:tcPr>
          <w:p w14:paraId="3ED5E110" w14:textId="77777777" w:rsidR="005557B4" w:rsidRPr="005557B4" w:rsidRDefault="00A608D7" w:rsidP="005557B4">
            <w:pPr>
              <w:spacing w:before="80" w:after="80"/>
              <w:ind w:left="144" w:right="144"/>
              <w:jc w:val="both"/>
              <w:rPr>
                <w:rFonts w:ascii="Times New Roman" w:hAnsi="Times New Roman" w:cs="Times New Roman"/>
                <w:b/>
                <w:color w:val="102C57"/>
                <w:sz w:val="24"/>
                <w:szCs w:val="24"/>
              </w:rPr>
            </w:pPr>
            <w:r w:rsidRPr="005557B4">
              <w:rPr>
                <w:rFonts w:ascii="Times New Roman" w:hAnsi="Times New Roman" w:cs="Times New Roman"/>
                <w:b/>
                <w:color w:val="102C57"/>
                <w:sz w:val="24"/>
                <w:szCs w:val="24"/>
              </w:rPr>
              <w:t>Strategic Ambition</w:t>
            </w:r>
          </w:p>
          <w:p w14:paraId="2E27E619" w14:textId="77777777" w:rsidR="00E74899" w:rsidRPr="005557B4" w:rsidRDefault="00A608D7" w:rsidP="005557B4">
            <w:pPr>
              <w:spacing w:before="80" w:after="80"/>
              <w:ind w:left="144" w:right="144"/>
              <w:jc w:val="both"/>
              <w:rPr>
                <w:rFonts w:ascii="Times New Roman" w:hAnsi="Times New Roman" w:cs="Times New Roman"/>
                <w:i/>
                <w:color w:val="505A69"/>
                <w:sz w:val="24"/>
                <w:szCs w:val="24"/>
              </w:rPr>
            </w:pPr>
            <w:r w:rsidRPr="005557B4">
              <w:rPr>
                <w:rFonts w:ascii="Times New Roman" w:hAnsi="Times New Roman" w:cs="Times New Roman"/>
                <w:i/>
                <w:color w:val="505A69"/>
                <w:sz w:val="24"/>
                <w:szCs w:val="24"/>
              </w:rPr>
              <w:t xml:space="preserve">The ambition is not merely to restore Uganda's railway. It is to create a modern railway and marine transport system that is greener, smarter, more resilient and better integrated with </w:t>
            </w:r>
            <w:r w:rsidRPr="005557B4">
              <w:rPr>
                <w:rFonts w:ascii="Times New Roman" w:hAnsi="Times New Roman" w:cs="Times New Roman"/>
                <w:i/>
                <w:color w:val="505A69"/>
                <w:sz w:val="24"/>
                <w:szCs w:val="24"/>
              </w:rPr>
              <w:lastRenderedPageBreak/>
              <w:t>Uganda's urban and regional economy, while creating meaningful opportunities for European investment, technology and long-term partnership.</w:t>
            </w:r>
          </w:p>
        </w:tc>
      </w:tr>
    </w:tbl>
    <w:p w14:paraId="338FB5E8" w14:textId="77777777" w:rsidR="00A608D7" w:rsidRPr="005557B4" w:rsidRDefault="00A608D7" w:rsidP="005557B4">
      <w:pPr>
        <w:jc w:val="both"/>
        <w:rPr>
          <w:rFonts w:ascii="Times New Roman" w:hAnsi="Times New Roman" w:cs="Times New Roman"/>
          <w:sz w:val="24"/>
          <w:szCs w:val="24"/>
        </w:rPr>
      </w:pPr>
    </w:p>
    <w:sectPr w:rsidR="00A608D7" w:rsidRPr="005557B4" w:rsidSect="00034616">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B7F28" w14:textId="77777777" w:rsidR="0055099B" w:rsidRDefault="0055099B" w:rsidP="005557B4">
      <w:pPr>
        <w:spacing w:after="0" w:line="240" w:lineRule="auto"/>
      </w:pPr>
      <w:r>
        <w:separator/>
      </w:r>
    </w:p>
  </w:endnote>
  <w:endnote w:type="continuationSeparator" w:id="0">
    <w:p w14:paraId="46786165" w14:textId="77777777" w:rsidR="0055099B" w:rsidRDefault="0055099B" w:rsidP="00555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8473310"/>
      <w:docPartObj>
        <w:docPartGallery w:val="Page Numbers (Bottom of Page)"/>
        <w:docPartUnique/>
      </w:docPartObj>
    </w:sdtPr>
    <w:sdtEndPr>
      <w:rPr>
        <w:noProof/>
      </w:rPr>
    </w:sdtEndPr>
    <w:sdtContent>
      <w:p w14:paraId="2C1F23DD" w14:textId="77777777" w:rsidR="005557B4" w:rsidRDefault="005557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AF9ECA" w14:textId="77777777" w:rsidR="005557B4" w:rsidRDefault="005557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32A84" w14:textId="77777777" w:rsidR="0055099B" w:rsidRDefault="0055099B" w:rsidP="005557B4">
      <w:pPr>
        <w:spacing w:after="0" w:line="240" w:lineRule="auto"/>
      </w:pPr>
      <w:r>
        <w:separator/>
      </w:r>
    </w:p>
  </w:footnote>
  <w:footnote w:type="continuationSeparator" w:id="0">
    <w:p w14:paraId="420FB660" w14:textId="77777777" w:rsidR="0055099B" w:rsidRDefault="0055099B" w:rsidP="005557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24254924">
    <w:abstractNumId w:val="8"/>
  </w:num>
  <w:num w:numId="2" w16cid:durableId="148254147">
    <w:abstractNumId w:val="6"/>
  </w:num>
  <w:num w:numId="3" w16cid:durableId="710305408">
    <w:abstractNumId w:val="5"/>
  </w:num>
  <w:num w:numId="4" w16cid:durableId="976452902">
    <w:abstractNumId w:val="4"/>
  </w:num>
  <w:num w:numId="5" w16cid:durableId="438530056">
    <w:abstractNumId w:val="7"/>
  </w:num>
  <w:num w:numId="6" w16cid:durableId="1694333271">
    <w:abstractNumId w:val="3"/>
  </w:num>
  <w:num w:numId="7" w16cid:durableId="454908922">
    <w:abstractNumId w:val="2"/>
  </w:num>
  <w:num w:numId="8" w16cid:durableId="1815637324">
    <w:abstractNumId w:val="1"/>
  </w:num>
  <w:num w:numId="9" w16cid:durableId="2009944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4717"/>
    <w:rsid w:val="000E0AFD"/>
    <w:rsid w:val="0015074B"/>
    <w:rsid w:val="001C192D"/>
    <w:rsid w:val="00273934"/>
    <w:rsid w:val="0029639D"/>
    <w:rsid w:val="00326F90"/>
    <w:rsid w:val="0055099B"/>
    <w:rsid w:val="005557B4"/>
    <w:rsid w:val="008F50C8"/>
    <w:rsid w:val="00A608D7"/>
    <w:rsid w:val="00AA1D8D"/>
    <w:rsid w:val="00B47730"/>
    <w:rsid w:val="00CB0664"/>
    <w:rsid w:val="00E7489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40C188"/>
  <w14:defaultImageDpi w14:val="300"/>
  <w15:docId w15:val="{0ACDD7E9-23F6-46D0-A4D7-CB43A1DAC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color w:val="333333"/>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e848eab0-c904-457e-a5e9-5e4d31b2f942" xsi:nil="true"/>
    <TaxCatchAll xmlns="acc0622a-a58f-43f1-b8a0-275303938b98" xsi:nil="true"/>
    <lcf76f155ced4ddcb4097134ff3c332f xmlns="e848eab0-c904-457e-a5e9-5e4d31b2f942">
      <Terms xmlns="http://schemas.microsoft.com/office/infopath/2007/PartnerControls"/>
    </lcf76f155ced4ddcb4097134ff3c332f>
    <_ApprovalAssignedTo xmlns="e848eab0-c904-457e-a5e9-5e4d31b2f942">
      <UserInfo>
        <DisplayName/>
        <AccountId xsi:nil="true"/>
        <AccountType/>
      </UserInfo>
    </_ApprovalAssignedTo>
    <_ApprovalStatus xmlns="e848eab0-c904-457e-a5e9-5e4d31b2f942">0</_ApprovalStatus>
    <_ApprovalRespondedBy xmlns="e848eab0-c904-457e-a5e9-5e4d31b2f942">
      <UserInfo>
        <DisplayName/>
        <AccountId xsi:nil="true"/>
        <AccountType/>
      </UserInfo>
    </_ApprovalRespondedBy>
    <_ApprovalSentBy xmlns="e848eab0-c904-457e-a5e9-5e4d31b2f942">
      <UserInfo>
        <DisplayName/>
        <AccountId xsi:nil="true"/>
        <AccountType/>
      </UserInfo>
    </_ApprovalSentB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9529F9C6A104049B2199F699A7FA3B1" ma:contentTypeVersion="21" ma:contentTypeDescription="Create a new document." ma:contentTypeScope="" ma:versionID="e6be1486da6d0e587fd1fc771b8104f9">
  <xsd:schema xmlns:xsd="http://www.w3.org/2001/XMLSchema" xmlns:xs="http://www.w3.org/2001/XMLSchema" xmlns:p="http://schemas.microsoft.com/office/2006/metadata/properties" xmlns:ns2="e848eab0-c904-457e-a5e9-5e4d31b2f942" xmlns:ns3="acc0622a-a58f-43f1-b8a0-275303938b98" targetNamespace="http://schemas.microsoft.com/office/2006/metadata/properties" ma:root="true" ma:fieldsID="55c97b88e31e679cec4c4af2d1b6f8b8" ns2:_="" ns3:_="">
    <xsd:import namespace="e848eab0-c904-457e-a5e9-5e4d31b2f942"/>
    <xsd:import namespace="acc0622a-a58f-43f1-b8a0-275303938b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element ref="ns2:MediaServiceBillingMetadata" minOccurs="0"/>
                <xsd:element ref="ns2:_ApprovalAssignedTo" minOccurs="0"/>
                <xsd:element ref="ns2:_ApprovalRespondedBy" minOccurs="0"/>
                <xsd:element ref="ns2:_ApprovalSentBy" minOccurs="0"/>
                <xsd:element ref="ns2:_ApprovalStatu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48eab0-c904-457e-a5e9-5e4d31b2f9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3e14187-b4d4-4fc9-8c4a-20dc3ccbfd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_ApprovalAssignedTo" ma:index="24"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5"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6"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7" nillable="true" ma:displayName="Approval status" ma:internalName="_ApprovalStatus" ma:readOnly="true">
      <xsd:simpleType>
        <xsd:restriction base="dms:Unknown"/>
      </xsd:simpleType>
    </xsd:element>
    <xsd:element name="_Flow_SignoffStatus" ma:index="28"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c0622a-a58f-43f1-b8a0-275303938b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370f46b7-c462-48c7-a7df-a1839d578861}" ma:internalName="TaxCatchAll" ma:showField="CatchAllData" ma:web="acc0622a-a58f-43f1-b8a0-275303938b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C8E038-015B-4976-994F-89C87554DC22}">
  <ds:schemaRefs>
    <ds:schemaRef ds:uri="http://schemas.microsoft.com/office/2006/metadata/properties"/>
    <ds:schemaRef ds:uri="http://schemas.microsoft.com/office/infopath/2007/PartnerControls"/>
    <ds:schemaRef ds:uri="e848eab0-c904-457e-a5e9-5e4d31b2f942"/>
    <ds:schemaRef ds:uri="acc0622a-a58f-43f1-b8a0-275303938b98"/>
  </ds:schemaRefs>
</ds:datastoreItem>
</file>

<file path=customXml/itemProps2.xml><?xml version="1.0" encoding="utf-8"?>
<ds:datastoreItem xmlns:ds="http://schemas.openxmlformats.org/officeDocument/2006/customXml" ds:itemID="{B2C26FEE-FDC3-433E-9B8B-61F06C5EB664}">
  <ds:schemaRefs>
    <ds:schemaRef ds:uri="http://schemas.microsoft.com/sharepoint/v3/contenttype/forms"/>
  </ds:schemaRefs>
</ds:datastoreItem>
</file>

<file path=customXml/itemProps3.xml><?xml version="1.0" encoding="utf-8"?>
<ds:datastoreItem xmlns:ds="http://schemas.openxmlformats.org/officeDocument/2006/customXml" ds:itemID="{0158FC45-D554-45B1-8A63-DE82119E58AC}">
  <ds:schemaRefs>
    <ds:schemaRef ds:uri="http://schemas.openxmlformats.org/officeDocument/2006/bibliography"/>
  </ds:schemaRefs>
</ds:datastoreItem>
</file>

<file path=customXml/itemProps4.xml><?xml version="1.0" encoding="utf-8"?>
<ds:datastoreItem xmlns:ds="http://schemas.openxmlformats.org/officeDocument/2006/customXml" ds:itemID="{2A2BEDE4-B588-4C52-B8B4-4E9E122DB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48eab0-c904-457e-a5e9-5e4d31b2f942"/>
    <ds:schemaRef ds:uri="acc0622a-a58f-43f1-b8a0-275303938b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2257</Words>
  <Characters>14809</Characters>
  <Application>Microsoft Office Word</Application>
  <DocSecurity>0</DocSecurity>
  <Lines>189</Lines>
  <Paragraphs>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17000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Eva Bufi del Pozo</cp:lastModifiedBy>
  <cp:revision>3</cp:revision>
  <dcterms:created xsi:type="dcterms:W3CDTF">2026-09-01T10:03:00Z</dcterms:created>
  <dcterms:modified xsi:type="dcterms:W3CDTF">2026-09-16T18:16:00Z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63b69d55-d73d-4c82-b66d-4b5b1dcc008e</vt:lpwstr>
  </property>
  <property fmtid="{D5CDD505-2E9C-101B-9397-08002B2CF9AE}" pid="3" name="ContentTypeId">
    <vt:lpwstr>0x010100E9529F9C6A104049B2199F699A7FA3B1</vt:lpwstr>
  </property>
  <property fmtid="{D5CDD505-2E9C-101B-9397-08002B2CF9AE}" pid="4" name="MediaServiceImageTags">
    <vt:lpwstr/>
  </property>
</Properties>
</file>