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C46245A" w:rsidR="006C6BE0" w:rsidRDefault="00000000">
      <w:pPr>
        <w:pStyle w:val="Title"/>
        <w:spacing w:after="0"/>
        <w:jc w:val="center"/>
        <w:rPr>
          <w:rFonts w:ascii="Arial" w:eastAsia="Arial" w:hAnsi="Arial" w:cs="Arial"/>
          <w:sz w:val="40"/>
          <w:szCs w:val="40"/>
        </w:rPr>
      </w:pPr>
      <w:proofErr w:type="spellStart"/>
      <w:r>
        <w:rPr>
          <w:rFonts w:ascii="Arial" w:eastAsia="Arial" w:hAnsi="Arial" w:cs="Arial"/>
          <w:sz w:val="40"/>
          <w:szCs w:val="40"/>
        </w:rPr>
        <w:t>RIoT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Secure Partner Pack for Horizon Cluster 4 IA (HORIZON-CL4-2026-04-DATA-06)</w:t>
      </w:r>
    </w:p>
    <w:p w14:paraId="00000002" w14:textId="77777777" w:rsidR="006C6BE0" w:rsidRDefault="00000000">
      <w:pPr>
        <w:pStyle w:val="Title"/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>Version: Q1 2026 | For consortium building + partner onboarding forms</w:t>
      </w:r>
      <w:r>
        <w:rPr>
          <w:rFonts w:ascii="Arial" w:eastAsia="Arial" w:hAnsi="Arial" w:cs="Arial"/>
          <w:sz w:val="22"/>
          <w:szCs w:val="22"/>
        </w:rPr>
        <w:br/>
      </w:r>
    </w:p>
    <w:p w14:paraId="00000003" w14:textId="77777777" w:rsidR="006C6BE0" w:rsidRDefault="00000000">
      <w:pPr>
        <w:pStyle w:val="Title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1) Partner role</w:t>
      </w:r>
    </w:p>
    <w:p w14:paraId="00000004" w14:textId="77777777" w:rsidR="006C6BE0" w:rsidRDefault="00000000">
      <w:p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RIoT</w:t>
      </w:r>
      <w:proofErr w:type="spellEnd"/>
      <w:r>
        <w:rPr>
          <w:rFonts w:ascii="Arial" w:eastAsia="Arial" w:hAnsi="Arial" w:cs="Arial"/>
        </w:rPr>
        <w:t xml:space="preserve"> Secure provides the </w:t>
      </w:r>
      <w:r>
        <w:rPr>
          <w:rFonts w:ascii="Arial" w:eastAsia="Arial" w:hAnsi="Arial" w:cs="Arial"/>
          <w:b/>
          <w:bCs/>
        </w:rPr>
        <w:t>secure lifecycle control plane</w:t>
      </w:r>
      <w:r>
        <w:rPr>
          <w:rFonts w:ascii="Arial" w:eastAsia="Arial" w:hAnsi="Arial" w:cs="Arial"/>
        </w:rPr>
        <w:t xml:space="preserve"> for edge/industrial data and AI artifacts: </w:t>
      </w:r>
      <w:r>
        <w:rPr>
          <w:rFonts w:ascii="Arial" w:eastAsia="Arial" w:hAnsi="Arial" w:cs="Arial"/>
          <w:b/>
          <w:bCs/>
        </w:rPr>
        <w:t>secure onboarding, policy-based deployment, versioned releases, staged rollout, safe rollback, and compliance evidence</w:t>
      </w:r>
      <w:r>
        <w:rPr>
          <w:rFonts w:ascii="Arial" w:eastAsia="Arial" w:hAnsi="Arial" w:cs="Arial"/>
        </w:rPr>
        <w:t xml:space="preserve"> (CRA-aligned), including </w:t>
      </w:r>
      <w:r>
        <w:rPr>
          <w:rFonts w:ascii="Arial" w:eastAsia="Arial" w:hAnsi="Arial" w:cs="Arial"/>
          <w:b/>
          <w:bCs/>
        </w:rPr>
        <w:t>lightweight secure connectivity (µTLS)</w:t>
      </w:r>
      <w:r>
        <w:rPr>
          <w:rFonts w:ascii="Arial" w:eastAsia="Arial" w:hAnsi="Arial" w:cs="Arial"/>
        </w:rPr>
        <w:t xml:space="preserve"> and </w:t>
      </w:r>
      <w:r>
        <w:rPr>
          <w:rFonts w:ascii="Arial" w:eastAsia="Arial" w:hAnsi="Arial" w:cs="Arial"/>
          <w:b/>
          <w:bCs/>
        </w:rPr>
        <w:t>sandboxed execution (WASM/Brawl)</w:t>
      </w:r>
      <w:r>
        <w:rPr>
          <w:rFonts w:ascii="Arial" w:eastAsia="Arial" w:hAnsi="Arial" w:cs="Arial"/>
        </w:rPr>
        <w:t>.</w:t>
      </w:r>
    </w:p>
    <w:p w14:paraId="00000005" w14:textId="77777777" w:rsidR="006C6BE0" w:rsidRDefault="006C6BE0">
      <w:pPr>
        <w:rPr>
          <w:rFonts w:ascii="Arial" w:eastAsia="Arial" w:hAnsi="Arial" w:cs="Arial"/>
        </w:rPr>
      </w:pPr>
    </w:p>
    <w:p w14:paraId="00000006" w14:textId="77777777" w:rsidR="006C6BE0" w:rsidRDefault="00000000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2) Why </w:t>
      </w:r>
      <w:proofErr w:type="spellStart"/>
      <w:r>
        <w:rPr>
          <w:rFonts w:ascii="Arial" w:eastAsia="Arial" w:hAnsi="Arial" w:cs="Arial"/>
          <w:b/>
          <w:bCs/>
        </w:rPr>
        <w:t>RIoT</w:t>
      </w:r>
      <w:proofErr w:type="spellEnd"/>
      <w:r>
        <w:rPr>
          <w:rFonts w:ascii="Arial" w:eastAsia="Arial" w:hAnsi="Arial" w:cs="Arial"/>
          <w:b/>
          <w:bCs/>
        </w:rPr>
        <w:t xml:space="preserve"> Secure </w:t>
      </w:r>
    </w:p>
    <w:p w14:paraId="00000007" w14:textId="77777777" w:rsidR="006C6BE0" w:rsidRDefault="00000000">
      <w:pPr>
        <w:numPr>
          <w:ilvl w:val="0"/>
          <w:numId w:val="1"/>
        </w:numPr>
      </w:pPr>
      <w:r>
        <w:rPr>
          <w:rFonts w:ascii="Arial" w:eastAsia="Arial" w:hAnsi="Arial" w:cs="Arial"/>
          <w:b/>
          <w:bCs/>
        </w:rPr>
        <w:t>Lifecycle governance is the product</w:t>
      </w:r>
      <w:r>
        <w:rPr>
          <w:rFonts w:ascii="Arial" w:eastAsia="Arial" w:hAnsi="Arial" w:cs="Arial"/>
        </w:rPr>
        <w:t xml:space="preserve"> (not a bolt-on): versioning, rollout/rollback, fleet coherence, audit logs, and operational guardrails engineered for long-lived deployments.</w:t>
      </w:r>
    </w:p>
    <w:p w14:paraId="00000008" w14:textId="77777777" w:rsidR="006C6BE0" w:rsidRDefault="00000000">
      <w:pPr>
        <w:numPr>
          <w:ilvl w:val="0"/>
          <w:numId w:val="1"/>
        </w:numPr>
      </w:pPr>
      <w:r>
        <w:rPr>
          <w:rFonts w:ascii="Arial" w:eastAsia="Arial" w:hAnsi="Arial" w:cs="Arial"/>
          <w:b/>
          <w:bCs/>
        </w:rPr>
        <w:t>Constrained + disconnected-first security:</w:t>
      </w:r>
      <w:r>
        <w:rPr>
          <w:rFonts w:ascii="Arial" w:eastAsia="Arial" w:hAnsi="Arial" w:cs="Arial"/>
        </w:rPr>
        <w:t xml:space="preserve"> µTLS enables secure comms with </w:t>
      </w:r>
      <w:r>
        <w:rPr>
          <w:rFonts w:ascii="Arial" w:eastAsia="Arial" w:hAnsi="Arial" w:cs="Arial"/>
          <w:b/>
          <w:bCs/>
        </w:rPr>
        <w:t>very low overhead</w:t>
      </w:r>
      <w:r>
        <w:rPr>
          <w:rFonts w:ascii="Arial" w:eastAsia="Arial" w:hAnsi="Arial" w:cs="Arial"/>
        </w:rPr>
        <w:t>, designed for low bandwidth, power, and intermittent connectivity.</w:t>
      </w:r>
    </w:p>
    <w:p w14:paraId="00000009" w14:textId="77777777" w:rsidR="006C6BE0" w:rsidRDefault="00000000">
      <w:pPr>
        <w:numPr>
          <w:ilvl w:val="0"/>
          <w:numId w:val="1"/>
        </w:numPr>
      </w:pPr>
      <w:r>
        <w:rPr>
          <w:rFonts w:ascii="Arial" w:eastAsia="Arial" w:hAnsi="Arial" w:cs="Arial"/>
          <w:b/>
          <w:bCs/>
        </w:rPr>
        <w:t>Safe change without recertifying the whole device: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</w:rPr>
        <w:t>WASM/Brawl</w:t>
      </w:r>
      <w:r>
        <w:rPr>
          <w:rFonts w:ascii="Arial" w:eastAsia="Arial" w:hAnsi="Arial" w:cs="Arial"/>
        </w:rPr>
        <w:t xml:space="preserve"> modular execution enables updating application logic / AI workflows independently from stable firmware layers.</w:t>
      </w:r>
    </w:p>
    <w:p w14:paraId="0000000A" w14:textId="77777777" w:rsidR="006C6BE0" w:rsidRDefault="00000000">
      <w:pPr>
        <w:numPr>
          <w:ilvl w:val="0"/>
          <w:numId w:val="1"/>
        </w:numPr>
      </w:pPr>
      <w:r>
        <w:rPr>
          <w:rFonts w:ascii="Arial" w:eastAsia="Arial" w:hAnsi="Arial" w:cs="Arial"/>
          <w:b/>
          <w:bCs/>
        </w:rPr>
        <w:t>Compliance evidence by design (CRA-ready posture):</w:t>
      </w:r>
      <w:r>
        <w:rPr>
          <w:rFonts w:ascii="Arial" w:eastAsia="Arial" w:hAnsi="Arial" w:cs="Arial"/>
        </w:rPr>
        <w:t xml:space="preserve"> traceability from </w:t>
      </w:r>
      <w:r>
        <w:rPr>
          <w:rFonts w:ascii="Arial Unicode MS" w:eastAsia="Arial Unicode MS" w:hAnsi="Arial Unicode MS" w:cs="Arial Unicode MS"/>
          <w:b/>
          <w:bCs/>
        </w:rPr>
        <w:t>artifact → config → device → deployment event</w:t>
      </w:r>
      <w:r>
        <w:rPr>
          <w:rFonts w:ascii="Arial" w:eastAsia="Arial" w:hAnsi="Arial" w:cs="Arial"/>
        </w:rPr>
        <w:t>, supporting audits, incident response, and secure-by-design claims.</w:t>
      </w:r>
    </w:p>
    <w:p w14:paraId="0000000B" w14:textId="77777777" w:rsidR="006C6BE0" w:rsidRDefault="00000000">
      <w:pPr>
        <w:numPr>
          <w:ilvl w:val="0"/>
          <w:numId w:val="1"/>
        </w:numPr>
      </w:pPr>
      <w:r>
        <w:rPr>
          <w:rFonts w:ascii="Arial" w:eastAsia="Arial" w:hAnsi="Arial" w:cs="Arial"/>
          <w:b/>
          <w:bCs/>
        </w:rPr>
        <w:t>Industrial proof orientation:</w:t>
      </w:r>
      <w:r>
        <w:rPr>
          <w:rFonts w:ascii="Arial" w:eastAsia="Arial" w:hAnsi="Arial" w:cs="Arial"/>
        </w:rPr>
        <w:t xml:space="preserve"> designed to produce </w:t>
      </w:r>
      <w:r>
        <w:rPr>
          <w:rFonts w:ascii="Arial" w:eastAsia="Arial" w:hAnsi="Arial" w:cs="Arial"/>
          <w:b/>
          <w:bCs/>
        </w:rPr>
        <w:t>repeatable evidence packages</w:t>
      </w:r>
      <w:r>
        <w:rPr>
          <w:rFonts w:ascii="Arial" w:eastAsia="Arial" w:hAnsi="Arial" w:cs="Arial"/>
        </w:rPr>
        <w:t xml:space="preserve"> (deployment reports, rollback drill results, security posture dashboards), not just demos.</w:t>
      </w:r>
    </w:p>
    <w:p w14:paraId="0000000C" w14:textId="77777777" w:rsidR="006C6BE0" w:rsidRDefault="006C6BE0">
      <w:pPr>
        <w:rPr>
          <w:rFonts w:ascii="Arial" w:eastAsia="Arial" w:hAnsi="Arial" w:cs="Arial"/>
        </w:rPr>
      </w:pPr>
    </w:p>
    <w:p w14:paraId="0000000D" w14:textId="77777777" w:rsidR="006C6BE0" w:rsidRDefault="00000000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3) Suggested Work Package </w:t>
      </w:r>
    </w:p>
    <w:p w14:paraId="0000000E" w14:textId="77777777" w:rsidR="006C6BE0" w:rsidRDefault="00000000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WPX - Security, Trust &amp; Lifecycle Governance for Edge/Industrial Data &amp; AI (Lead: </w:t>
      </w:r>
      <w:proofErr w:type="spellStart"/>
      <w:r>
        <w:rPr>
          <w:rFonts w:ascii="Arial" w:eastAsia="Arial" w:hAnsi="Arial" w:cs="Arial"/>
          <w:b/>
          <w:bCs/>
        </w:rPr>
        <w:t>RIoT</w:t>
      </w:r>
      <w:proofErr w:type="spellEnd"/>
      <w:r>
        <w:rPr>
          <w:rFonts w:ascii="Arial" w:eastAsia="Arial" w:hAnsi="Arial" w:cs="Arial"/>
          <w:b/>
          <w:bCs/>
        </w:rPr>
        <w:t xml:space="preserve"> Secure)</w:t>
      </w:r>
    </w:p>
    <w:p w14:paraId="0000000F" w14:textId="77777777" w:rsidR="006C6BE0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Objective:</w:t>
      </w:r>
      <w:r>
        <w:rPr>
          <w:rFonts w:ascii="Arial" w:eastAsia="Arial" w:hAnsi="Arial" w:cs="Arial"/>
        </w:rPr>
        <w:t xml:space="preserve"> Provide end-to-end security and operational lifecycle governance so that data and AI artifacts can be deployed, updated, monitored, and rolled back safely across distributed edge/industrial environments, while generating compliance evidence aligned with emerging regulation (e.g., CRA).</w:t>
      </w:r>
    </w:p>
    <w:p w14:paraId="00000010" w14:textId="77777777" w:rsidR="006C6BE0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lastRenderedPageBreak/>
        <w:t>Main activities:</w:t>
      </w:r>
    </w:p>
    <w:p w14:paraId="00000011" w14:textId="77777777" w:rsidR="006C6BE0" w:rsidRDefault="00000000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Security architecture &amp; trust boundaries:</w:t>
      </w:r>
      <w:r>
        <w:rPr>
          <w:rFonts w:ascii="Arial" w:eastAsia="Arial" w:hAnsi="Arial" w:cs="Arial"/>
        </w:rPr>
        <w:t xml:space="preserve"> threat model, asset inventory, trust assumptions, secure-by-design requirements mapped to system components and data flows.</w:t>
      </w:r>
    </w:p>
    <w:p w14:paraId="00000012" w14:textId="77777777" w:rsidR="006C6BE0" w:rsidRDefault="00000000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Identity, onboarding &amp; policy enforcement:</w:t>
      </w:r>
      <w:r>
        <w:rPr>
          <w:rFonts w:ascii="Arial" w:eastAsia="Arial" w:hAnsi="Arial" w:cs="Arial"/>
        </w:rPr>
        <w:t xml:space="preserve"> secure provisioning, device identity, authorization model, and policy-based deployment controls.</w:t>
      </w:r>
    </w:p>
    <w:p w14:paraId="00000013" w14:textId="77777777" w:rsidR="006C6BE0" w:rsidRDefault="00000000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Artifact governance:</w:t>
      </w:r>
      <w:r>
        <w:rPr>
          <w:rFonts w:ascii="Arial" w:eastAsia="Arial" w:hAnsi="Arial" w:cs="Arial"/>
        </w:rPr>
        <w:t xml:space="preserve"> signed/attested releases for models, configs, and edge modules; provenance tracking and version coherence across fleets.</w:t>
      </w:r>
    </w:p>
    <w:p w14:paraId="00000014" w14:textId="77777777" w:rsidR="006C6BE0" w:rsidRDefault="00000000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Staged rollout &amp; safe rollback:</w:t>
      </w:r>
      <w:r>
        <w:rPr>
          <w:rFonts w:ascii="Arial" w:eastAsia="Arial" w:hAnsi="Arial" w:cs="Arial"/>
        </w:rPr>
        <w:t xml:space="preserve"> canary/staging strategies, rollback criteria, recovery playbooks, and </w:t>
      </w:r>
      <w:r>
        <w:rPr>
          <w:rFonts w:ascii="Arial" w:eastAsia="Arial" w:hAnsi="Arial" w:cs="Arial"/>
          <w:b/>
          <w:bCs/>
        </w:rPr>
        <w:t>rollback drill evidence</w:t>
      </w:r>
      <w:r>
        <w:rPr>
          <w:rFonts w:ascii="Arial" w:eastAsia="Arial" w:hAnsi="Arial" w:cs="Arial"/>
        </w:rPr>
        <w:t>.</w:t>
      </w:r>
    </w:p>
    <w:p w14:paraId="00000015" w14:textId="77777777" w:rsidR="006C6BE0" w:rsidRDefault="00000000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Telemetry, auditability &amp; compliance evidence:</w:t>
      </w:r>
      <w:r>
        <w:rPr>
          <w:rFonts w:ascii="Arial" w:eastAsia="Arial" w:hAnsi="Arial" w:cs="Arial"/>
        </w:rPr>
        <w:t xml:space="preserve"> security events, lifecycle state, deployment logs, and “evidence packs” for audits and operational sign-off.</w:t>
      </w:r>
    </w:p>
    <w:p w14:paraId="00000016" w14:textId="77777777" w:rsidR="006C6BE0" w:rsidRDefault="00000000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Demonstrator integration:</w:t>
      </w:r>
      <w:r>
        <w:rPr>
          <w:rFonts w:ascii="Arial" w:eastAsia="Arial" w:hAnsi="Arial" w:cs="Arial"/>
        </w:rPr>
        <w:t xml:space="preserve"> integrate lifecycle controls into at least one project use case (industrial/transport/public infrastructure), validating operational constraints (connectivity, maintenance windows, safety requirements).</w:t>
      </w:r>
    </w:p>
    <w:p w14:paraId="00000017" w14:textId="77777777" w:rsidR="006C6BE0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Deliverables (examples):</w:t>
      </w:r>
    </w:p>
    <w:p w14:paraId="00000018" w14:textId="77777777" w:rsidR="006C6BE0" w:rsidRDefault="00000000">
      <w:pPr>
        <w:numPr>
          <w:ilvl w:val="0"/>
          <w:numId w:val="3"/>
        </w:numPr>
      </w:pPr>
      <w:r>
        <w:rPr>
          <w:rFonts w:ascii="Arial" w:eastAsia="Arial" w:hAnsi="Arial" w:cs="Arial"/>
        </w:rPr>
        <w:t>D-WPX.1 Security architecture + threat model + requirements mapping (incl. CRA-relevant controls)</w:t>
      </w:r>
    </w:p>
    <w:p w14:paraId="00000019" w14:textId="77777777" w:rsidR="006C6BE0" w:rsidRDefault="00000000">
      <w:pPr>
        <w:numPr>
          <w:ilvl w:val="0"/>
          <w:numId w:val="3"/>
        </w:numPr>
      </w:pPr>
      <w:r>
        <w:rPr>
          <w:rFonts w:ascii="Arial" w:eastAsia="Arial" w:hAnsi="Arial" w:cs="Arial"/>
        </w:rPr>
        <w:t>D-WPX.2 Lifecycle governance specification (identity, policy, artifact signing, rollout/rollback)</w:t>
      </w:r>
    </w:p>
    <w:p w14:paraId="0000001A" w14:textId="77777777" w:rsidR="006C6BE0" w:rsidRDefault="00000000">
      <w:pPr>
        <w:numPr>
          <w:ilvl w:val="0"/>
          <w:numId w:val="3"/>
        </w:numPr>
      </w:pPr>
      <w:r>
        <w:rPr>
          <w:rFonts w:ascii="Arial" w:eastAsia="Arial" w:hAnsi="Arial" w:cs="Arial"/>
        </w:rPr>
        <w:t>D-WPX.3 Evidence pack template + audit log schema + operational guardrails</w:t>
      </w:r>
    </w:p>
    <w:p w14:paraId="0000001B" w14:textId="77777777" w:rsidR="006C6BE0" w:rsidRDefault="00000000">
      <w:pPr>
        <w:numPr>
          <w:ilvl w:val="0"/>
          <w:numId w:val="3"/>
        </w:numPr>
      </w:pPr>
      <w:r>
        <w:rPr>
          <w:rFonts w:ascii="Arial" w:eastAsia="Arial" w:hAnsi="Arial" w:cs="Arial"/>
        </w:rPr>
        <w:t>D-WPX.4 Demonstrator integration report + rollout/rollback drill results + fleet coherence report</w:t>
      </w:r>
    </w:p>
    <w:p w14:paraId="0000001C" w14:textId="77777777" w:rsidR="006C6BE0" w:rsidRDefault="006C6BE0">
      <w:pPr>
        <w:rPr>
          <w:rFonts w:ascii="Arial" w:eastAsia="Arial" w:hAnsi="Arial" w:cs="Arial"/>
        </w:rPr>
      </w:pPr>
    </w:p>
    <w:p w14:paraId="0000001D" w14:textId="77777777" w:rsidR="006C6BE0" w:rsidRDefault="00000000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4) Expected outcomes</w:t>
      </w:r>
    </w:p>
    <w:p w14:paraId="0000001E" w14:textId="77777777" w:rsidR="006C6BE0" w:rsidRDefault="00000000">
      <w:pPr>
        <w:numPr>
          <w:ilvl w:val="0"/>
          <w:numId w:val="4"/>
        </w:numPr>
      </w:pPr>
      <w:r>
        <w:rPr>
          <w:rFonts w:ascii="Arial" w:eastAsia="Arial" w:hAnsi="Arial" w:cs="Arial"/>
          <w:b/>
          <w:bCs/>
        </w:rPr>
        <w:t>Operationally validated lifecycle governance</w:t>
      </w:r>
      <w:r>
        <w:rPr>
          <w:rFonts w:ascii="Arial" w:eastAsia="Arial" w:hAnsi="Arial" w:cs="Arial"/>
        </w:rPr>
        <w:t xml:space="preserve"> for edge/industrial deployments: controlled updates, rollback, and measurable fleet coherence.</w:t>
      </w:r>
    </w:p>
    <w:p w14:paraId="0000001F" w14:textId="77777777" w:rsidR="006C6BE0" w:rsidRDefault="00000000">
      <w:pPr>
        <w:numPr>
          <w:ilvl w:val="0"/>
          <w:numId w:val="4"/>
        </w:numPr>
      </w:pPr>
      <w:r>
        <w:rPr>
          <w:rFonts w:ascii="Arial" w:eastAsia="Arial" w:hAnsi="Arial" w:cs="Arial"/>
          <w:b/>
          <w:bCs/>
        </w:rPr>
        <w:t>Trustworthy deployment of AI/data artifacts</w:t>
      </w:r>
      <w:r>
        <w:rPr>
          <w:rFonts w:ascii="Arial" w:eastAsia="Arial" w:hAnsi="Arial" w:cs="Arial"/>
        </w:rPr>
        <w:t xml:space="preserve"> with provenance and integrity: verifiable “what is running where” across distributed nodes.</w:t>
      </w:r>
    </w:p>
    <w:p w14:paraId="00000020" w14:textId="77777777" w:rsidR="006C6BE0" w:rsidRDefault="00000000">
      <w:pPr>
        <w:numPr>
          <w:ilvl w:val="0"/>
          <w:numId w:val="4"/>
        </w:numPr>
      </w:pPr>
      <w:r>
        <w:rPr>
          <w:rFonts w:ascii="Arial" w:eastAsia="Arial" w:hAnsi="Arial" w:cs="Arial"/>
          <w:b/>
          <w:bCs/>
        </w:rPr>
        <w:t>Reduced risk and cost of field operations:</w:t>
      </w:r>
      <w:r>
        <w:rPr>
          <w:rFonts w:ascii="Arial" w:eastAsia="Arial" w:hAnsi="Arial" w:cs="Arial"/>
        </w:rPr>
        <w:t xml:space="preserve"> fewer site visits, faster safe iteration, less downtime via staged rollout + recovery workflows.</w:t>
      </w:r>
    </w:p>
    <w:p w14:paraId="00000021" w14:textId="77777777" w:rsidR="006C6BE0" w:rsidRDefault="00000000">
      <w:pPr>
        <w:numPr>
          <w:ilvl w:val="0"/>
          <w:numId w:val="4"/>
        </w:numPr>
      </w:pPr>
      <w:r>
        <w:rPr>
          <w:rFonts w:ascii="Arial" w:eastAsia="Arial" w:hAnsi="Arial" w:cs="Arial"/>
          <w:b/>
          <w:bCs/>
        </w:rPr>
        <w:lastRenderedPageBreak/>
        <w:t>Compliance-ready evidence generation:</w:t>
      </w:r>
      <w:r>
        <w:rPr>
          <w:rFonts w:ascii="Arial" w:eastAsia="Arial" w:hAnsi="Arial" w:cs="Arial"/>
        </w:rPr>
        <w:t xml:space="preserve"> auditable logs and security posture artifacts that strengthen CRA-aligned claims and procurement readiness.</w:t>
      </w:r>
    </w:p>
    <w:p w14:paraId="00000022" w14:textId="77777777" w:rsidR="006C6BE0" w:rsidRDefault="006C6BE0">
      <w:pPr>
        <w:rPr>
          <w:rFonts w:ascii="Arial" w:eastAsia="Arial" w:hAnsi="Arial" w:cs="Arial"/>
        </w:rPr>
      </w:pPr>
    </w:p>
    <w:p w14:paraId="00000023" w14:textId="77777777" w:rsidR="006C6BE0" w:rsidRDefault="00000000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5) Short paragraph for Part B form (Horizon format)</w:t>
      </w:r>
    </w:p>
    <w:p w14:paraId="00000024" w14:textId="77777777" w:rsidR="006C6BE0" w:rsidRDefault="00000000">
      <w:p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RIoT</w:t>
      </w:r>
      <w:proofErr w:type="spellEnd"/>
      <w:r>
        <w:rPr>
          <w:rFonts w:ascii="Arial" w:eastAsia="Arial" w:hAnsi="Arial" w:cs="Arial"/>
        </w:rPr>
        <w:t xml:space="preserve"> Secure will provide the project’s </w:t>
      </w:r>
      <w:r>
        <w:rPr>
          <w:rFonts w:ascii="Arial" w:eastAsia="Arial" w:hAnsi="Arial" w:cs="Arial"/>
          <w:b/>
          <w:bCs/>
        </w:rPr>
        <w:t>security and lifecycle governance layer,</w:t>
      </w:r>
      <w:r>
        <w:rPr>
          <w:rFonts w:ascii="Arial" w:eastAsia="Arial" w:hAnsi="Arial" w:cs="Arial"/>
        </w:rPr>
        <w:t xml:space="preserve"> enabling trustworthy deployment of data and AI artifacts across distributed edge and industrial environments. We will implement </w:t>
      </w:r>
      <w:r>
        <w:rPr>
          <w:rFonts w:ascii="Arial" w:eastAsia="Arial" w:hAnsi="Arial" w:cs="Arial"/>
          <w:b/>
          <w:bCs/>
        </w:rPr>
        <w:t>secure onboarding and policy-based deployment</w:t>
      </w:r>
      <w:r>
        <w:rPr>
          <w:rFonts w:ascii="Arial" w:eastAsia="Arial" w:hAnsi="Arial" w:cs="Arial"/>
        </w:rPr>
        <w:t xml:space="preserve">, versioned releases with </w:t>
      </w:r>
      <w:r>
        <w:rPr>
          <w:rFonts w:ascii="Arial" w:eastAsia="Arial" w:hAnsi="Arial" w:cs="Arial"/>
          <w:b/>
          <w:bCs/>
        </w:rPr>
        <w:t>staged rollout and safe rollback</w:t>
      </w:r>
      <w:r>
        <w:rPr>
          <w:rFonts w:ascii="Arial" w:eastAsia="Arial" w:hAnsi="Arial" w:cs="Arial"/>
        </w:rPr>
        <w:t xml:space="preserve">, and continuous monitoring with </w:t>
      </w:r>
      <w:r>
        <w:rPr>
          <w:rFonts w:ascii="Arial" w:eastAsia="Arial" w:hAnsi="Arial" w:cs="Arial"/>
          <w:b/>
          <w:bCs/>
        </w:rPr>
        <w:t>audit-grade compliance evidence</w:t>
      </w:r>
      <w:r>
        <w:rPr>
          <w:rFonts w:ascii="Arial" w:eastAsia="Arial" w:hAnsi="Arial" w:cs="Arial"/>
        </w:rPr>
        <w:t xml:space="preserve"> aligned with secure-by-design expectations (including CRA). By combining </w:t>
      </w:r>
      <w:r>
        <w:rPr>
          <w:rFonts w:ascii="Arial" w:eastAsia="Arial" w:hAnsi="Arial" w:cs="Arial"/>
          <w:b/>
          <w:bCs/>
        </w:rPr>
        <w:t>lightweight secure connectivity (µTLS)</w:t>
      </w:r>
      <w:r>
        <w:rPr>
          <w:rFonts w:ascii="Arial" w:eastAsia="Arial" w:hAnsi="Arial" w:cs="Arial"/>
        </w:rPr>
        <w:t xml:space="preserve"> for constrained /disconnected operation and </w:t>
      </w:r>
      <w:r>
        <w:rPr>
          <w:rFonts w:ascii="Arial" w:eastAsia="Arial" w:hAnsi="Arial" w:cs="Arial"/>
          <w:b/>
          <w:bCs/>
        </w:rPr>
        <w:t>sandboxed execution (WASM/Brawl)</w:t>
      </w:r>
      <w:r>
        <w:rPr>
          <w:rFonts w:ascii="Arial" w:eastAsia="Arial" w:hAnsi="Arial" w:cs="Arial"/>
        </w:rPr>
        <w:t xml:space="preserve"> for modular updates, </w:t>
      </w:r>
      <w:proofErr w:type="spellStart"/>
      <w:r>
        <w:rPr>
          <w:rFonts w:ascii="Arial" w:eastAsia="Arial" w:hAnsi="Arial" w:cs="Arial"/>
        </w:rPr>
        <w:t>RIoT</w:t>
      </w:r>
      <w:proofErr w:type="spellEnd"/>
      <w:r>
        <w:rPr>
          <w:rFonts w:ascii="Arial" w:eastAsia="Arial" w:hAnsi="Arial" w:cs="Arial"/>
        </w:rPr>
        <w:t xml:space="preserve"> Secure ensures the consortium can demonstrate not only technical performance, but also </w:t>
      </w:r>
      <w:r>
        <w:rPr>
          <w:rFonts w:ascii="Arial" w:eastAsia="Arial" w:hAnsi="Arial" w:cs="Arial"/>
          <w:b/>
          <w:bCs/>
        </w:rPr>
        <w:t>operational robustness, traceability, and regulatory readiness</w:t>
      </w:r>
      <w:r>
        <w:rPr>
          <w:rFonts w:ascii="Arial" w:eastAsia="Arial" w:hAnsi="Arial" w:cs="Arial"/>
        </w:rPr>
        <w:t xml:space="preserve"> in at least one real industrial/use-case demonstrator.</w:t>
      </w:r>
    </w:p>
    <w:p w14:paraId="00000025" w14:textId="77777777" w:rsidR="006C6BE0" w:rsidRDefault="006C6BE0">
      <w:pPr>
        <w:rPr>
          <w:rFonts w:ascii="Arial" w:eastAsia="Arial" w:hAnsi="Arial" w:cs="Arial"/>
        </w:rPr>
      </w:pPr>
    </w:p>
    <w:p w14:paraId="00000026" w14:textId="77777777" w:rsidR="006C6BE0" w:rsidRDefault="00000000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6) What we need from the coordinator</w:t>
      </w:r>
    </w:p>
    <w:p w14:paraId="00000027" w14:textId="77777777" w:rsidR="006C6BE0" w:rsidRDefault="00000000">
      <w:pPr>
        <w:numPr>
          <w:ilvl w:val="0"/>
          <w:numId w:val="5"/>
        </w:numPr>
      </w:pPr>
      <w:r>
        <w:rPr>
          <w:rFonts w:ascii="Arial" w:eastAsia="Arial" w:hAnsi="Arial" w:cs="Arial"/>
        </w:rPr>
        <w:t>Target use cases + data flows (who provides data, who consumes, where decisions happen)</w:t>
      </w:r>
    </w:p>
    <w:p w14:paraId="00000028" w14:textId="77777777" w:rsidR="006C6BE0" w:rsidRDefault="00000000">
      <w:pPr>
        <w:numPr>
          <w:ilvl w:val="0"/>
          <w:numId w:val="5"/>
        </w:numPr>
      </w:pPr>
      <w:r>
        <w:rPr>
          <w:rFonts w:ascii="Arial" w:eastAsia="Arial" w:hAnsi="Arial" w:cs="Arial"/>
        </w:rPr>
        <w:t>High-level system architecture/integration points for identity, artifact delivery, and telemetry</w:t>
      </w:r>
    </w:p>
    <w:p w14:paraId="00000029" w14:textId="77777777" w:rsidR="006C6BE0" w:rsidRDefault="00000000">
      <w:pPr>
        <w:numPr>
          <w:ilvl w:val="0"/>
          <w:numId w:val="5"/>
        </w:numPr>
      </w:pPr>
      <w:r>
        <w:rPr>
          <w:rFonts w:ascii="Arial" w:eastAsia="Arial" w:hAnsi="Arial" w:cs="Arial"/>
        </w:rPr>
        <w:t>Expected TRL range + demonstrator environments</w:t>
      </w:r>
    </w:p>
    <w:p w14:paraId="0000002A" w14:textId="77777777" w:rsidR="006C6BE0" w:rsidRDefault="00000000">
      <w:pPr>
        <w:numPr>
          <w:ilvl w:val="0"/>
          <w:numId w:val="5"/>
        </w:numPr>
      </w:pPr>
      <w:r>
        <w:rPr>
          <w:rFonts w:ascii="Arial" w:eastAsia="Arial" w:hAnsi="Arial" w:cs="Arial"/>
        </w:rPr>
        <w:t>Draft consortium roles so we can align WP ownership, deliverables, and budget share</w:t>
      </w:r>
    </w:p>
    <w:p w14:paraId="0000002B" w14:textId="77777777" w:rsidR="006C6BE0" w:rsidRDefault="006C6BE0">
      <w:pPr>
        <w:rPr>
          <w:rFonts w:ascii="Arial" w:eastAsia="Arial" w:hAnsi="Arial" w:cs="Arial"/>
        </w:rPr>
      </w:pPr>
    </w:p>
    <w:sectPr w:rsidR="006C6BE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8F4E1" w14:textId="77777777" w:rsidR="00600DF5" w:rsidRDefault="00600DF5" w:rsidP="00AC215C">
      <w:pPr>
        <w:spacing w:after="0" w:line="240" w:lineRule="auto"/>
      </w:pPr>
      <w:r>
        <w:separator/>
      </w:r>
    </w:p>
  </w:endnote>
  <w:endnote w:type="continuationSeparator" w:id="0">
    <w:p w14:paraId="7567FB01" w14:textId="77777777" w:rsidR="00600DF5" w:rsidRDefault="00600DF5" w:rsidP="00AC2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04784646-CB0E-4A9C-BCAD-DE62882ECEA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065AE412-AF1B-4FC9-890F-A5A458C02B6B}"/>
    <w:embedItalic r:id="rId3" w:fontKey="{B669A0E9-9CB3-477B-875A-CAFBEDDD233F}"/>
  </w:font>
  <w:font w:name="Play">
    <w:charset w:val="00"/>
    <w:family w:val="auto"/>
    <w:pitch w:val="default"/>
    <w:embedRegular r:id="rId4" w:fontKey="{089E46E2-5DCD-40BC-ABA1-C48D6956A64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774515D-E406-4FB8-8B36-B8F1EA77A4E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22EC278-7FA4-4C5F-B115-0C402B49D0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91352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0B091" w14:textId="4DF871FD" w:rsidR="00AC215C" w:rsidRDefault="00AC21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1460F0" w14:textId="77777777" w:rsidR="00AC215C" w:rsidRDefault="00AC21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4D3A5" w14:textId="77777777" w:rsidR="00600DF5" w:rsidRDefault="00600DF5" w:rsidP="00AC215C">
      <w:pPr>
        <w:spacing w:after="0" w:line="240" w:lineRule="auto"/>
      </w:pPr>
      <w:r>
        <w:separator/>
      </w:r>
    </w:p>
  </w:footnote>
  <w:footnote w:type="continuationSeparator" w:id="0">
    <w:p w14:paraId="10286300" w14:textId="77777777" w:rsidR="00600DF5" w:rsidRDefault="00600DF5" w:rsidP="00AC2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9F7A9" w14:textId="7B472257" w:rsidR="00AC215C" w:rsidRDefault="00AC215C">
    <w:pPr>
      <w:pStyle w:val="Header"/>
    </w:pPr>
    <w:r>
      <w:rPr>
        <w:rFonts w:ascii="Arial" w:eastAsia="Arial" w:hAnsi="Arial" w:cs="Arial"/>
        <w:noProof/>
        <w:sz w:val="40"/>
        <w:szCs w:val="40"/>
      </w:rPr>
      <w:drawing>
        <wp:anchor distT="0" distB="0" distL="114300" distR="114300" simplePos="0" relativeHeight="251659264" behindDoc="0" locked="0" layoutInCell="1" allowOverlap="1" wp14:anchorId="72FD575E" wp14:editId="2277BFE9">
          <wp:simplePos x="0" y="0"/>
          <wp:positionH relativeFrom="column">
            <wp:posOffset>4817533</wp:posOffset>
          </wp:positionH>
          <wp:positionV relativeFrom="paragraph">
            <wp:posOffset>-220768</wp:posOffset>
          </wp:positionV>
          <wp:extent cx="897467" cy="484088"/>
          <wp:effectExtent l="0" t="0" r="0" b="0"/>
          <wp:wrapNone/>
          <wp:docPr id="130333848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3338482" name="Picture 13033384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7467" cy="4840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A1BA6"/>
    <w:multiLevelType w:val="multilevel"/>
    <w:tmpl w:val="D89A17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5A04F20"/>
    <w:multiLevelType w:val="multilevel"/>
    <w:tmpl w:val="847064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23A516B"/>
    <w:multiLevelType w:val="multilevel"/>
    <w:tmpl w:val="9266E1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63770D53"/>
    <w:multiLevelType w:val="multilevel"/>
    <w:tmpl w:val="906AAF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74926507"/>
    <w:multiLevelType w:val="multilevel"/>
    <w:tmpl w:val="1E0C25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910844881">
    <w:abstractNumId w:val="4"/>
  </w:num>
  <w:num w:numId="2" w16cid:durableId="1096561246">
    <w:abstractNumId w:val="1"/>
  </w:num>
  <w:num w:numId="3" w16cid:durableId="2057196961">
    <w:abstractNumId w:val="0"/>
  </w:num>
  <w:num w:numId="4" w16cid:durableId="1776826332">
    <w:abstractNumId w:val="3"/>
  </w:num>
  <w:num w:numId="5" w16cid:durableId="1530996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BE0"/>
    <w:rsid w:val="00123CBD"/>
    <w:rsid w:val="00600DF5"/>
    <w:rsid w:val="006C6BE0"/>
    <w:rsid w:val="00AC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900D3FCA-5A8D-4A91-8DA1-546E6508C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SE" w:eastAsia="en-S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AC21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15C"/>
  </w:style>
  <w:style w:type="paragraph" w:styleId="Footer">
    <w:name w:val="footer"/>
    <w:basedOn w:val="Normal"/>
    <w:link w:val="FooterChar"/>
    <w:uiPriority w:val="99"/>
    <w:unhideWhenUsed/>
    <w:rsid w:val="00AC21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33BE1-F2AB-4C0E-801B-5D33E2DB0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738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Hendarmawan</cp:lastModifiedBy>
  <cp:revision>2</cp:revision>
  <dcterms:created xsi:type="dcterms:W3CDTF">2026-02-04T18:53:00Z</dcterms:created>
  <dcterms:modified xsi:type="dcterms:W3CDTF">2026-02-04T18:56:00Z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80afd86-dcf7-4483-b9eb-5af1dcd104e1_Enabled">
    <vt:lpwstr>true</vt:lpwstr>
  </property>
  <property fmtid="{D5CDD505-2E9C-101B-9397-08002B2CF9AE}" pid="3" name="MSIP_Label_680afd86-dcf7-4483-b9eb-5af1dcd104e1_SetDate">
    <vt:lpwstr>2026-02-04T18:48:36Z</vt:lpwstr>
  </property>
  <property fmtid="{D5CDD505-2E9C-101B-9397-08002B2CF9AE}" pid="4" name="MSIP_Label_680afd86-dcf7-4483-b9eb-5af1dcd104e1_Method">
    <vt:lpwstr>Standard</vt:lpwstr>
  </property>
  <property fmtid="{D5CDD505-2E9C-101B-9397-08002B2CF9AE}" pid="5" name="MSIP_Label_680afd86-dcf7-4483-b9eb-5af1dcd104e1_Name">
    <vt:lpwstr>K2 Intern</vt:lpwstr>
  </property>
  <property fmtid="{D5CDD505-2E9C-101B-9397-08002B2CF9AE}" pid="6" name="MSIP_Label_680afd86-dcf7-4483-b9eb-5af1dcd104e1_SiteId">
    <vt:lpwstr>5a9809cf-0bcb-413a-838a-09ecc40cc9e8</vt:lpwstr>
  </property>
  <property fmtid="{D5CDD505-2E9C-101B-9397-08002B2CF9AE}" pid="7" name="MSIP_Label_680afd86-dcf7-4483-b9eb-5af1dcd104e1_ActionId">
    <vt:lpwstr>fd48fc96-625e-4f17-925e-e8aca7328771</vt:lpwstr>
  </property>
  <property fmtid="{D5CDD505-2E9C-101B-9397-08002B2CF9AE}" pid="8" name="MSIP_Label_680afd86-dcf7-4483-b9eb-5af1dcd104e1_ContentBits">
    <vt:lpwstr>0</vt:lpwstr>
  </property>
  <property fmtid="{D5CDD505-2E9C-101B-9397-08002B2CF9AE}" pid="9" name="MSIP_Label_680afd86-dcf7-4483-b9eb-5af1dcd104e1_Tag">
    <vt:lpwstr>10, 3, 0, 1</vt:lpwstr>
  </property>
</Properties>
</file>