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AF778" w14:textId="3A39C9D0" w:rsidR="00271634" w:rsidRDefault="00351254" w:rsidP="006D2918">
      <w:pPr>
        <w:spacing w:after="0"/>
        <w:jc w:val="center"/>
        <w:rPr>
          <w:rFonts w:ascii="Times New Roman" w:hAnsi="Times New Roman" w:cs="Arial"/>
        </w:rPr>
      </w:pPr>
      <w:r>
        <w:rPr>
          <w:noProof/>
        </w:rPr>
        <w:drawing>
          <wp:anchor distT="0" distB="0" distL="114935" distR="114935" simplePos="0" relativeHeight="2" behindDoc="1" locked="0" layoutInCell="1" allowOverlap="1" wp14:anchorId="3B23E856" wp14:editId="38C63C54">
            <wp:simplePos x="0" y="0"/>
            <wp:positionH relativeFrom="column">
              <wp:posOffset>-51435</wp:posOffset>
            </wp:positionH>
            <wp:positionV relativeFrom="paragraph">
              <wp:posOffset>-36830</wp:posOffset>
            </wp:positionV>
            <wp:extent cx="1005205" cy="984250"/>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r:embed="rId8"/>
                    <a:srcRect l="-21" t="-21" r="-21" b="-21"/>
                    <a:stretch>
                      <a:fillRect/>
                    </a:stretch>
                  </pic:blipFill>
                  <pic:spPr bwMode="auto">
                    <a:xfrm>
                      <a:off x="0" y="0"/>
                      <a:ext cx="1005205" cy="984250"/>
                    </a:xfrm>
                    <a:prstGeom prst="rect">
                      <a:avLst/>
                    </a:prstGeom>
                  </pic:spPr>
                </pic:pic>
              </a:graphicData>
            </a:graphic>
          </wp:anchor>
        </w:drawing>
      </w:r>
      <w:r>
        <w:rPr>
          <w:rFonts w:ascii="Times New Roman" w:hAnsi="Times New Roman" w:cs="Arial"/>
          <w:b/>
          <w:noProof/>
          <w:sz w:val="24"/>
          <w:szCs w:val="24"/>
        </w:rPr>
        <w:drawing>
          <wp:anchor distT="0" distB="0" distL="114300" distR="114300" simplePos="0" relativeHeight="251659264" behindDoc="0" locked="0" layoutInCell="1" allowOverlap="1" wp14:anchorId="5808798C" wp14:editId="3FC7E542">
            <wp:simplePos x="0" y="0"/>
            <wp:positionH relativeFrom="column">
              <wp:posOffset>4883150</wp:posOffset>
            </wp:positionH>
            <wp:positionV relativeFrom="paragraph">
              <wp:posOffset>-184150</wp:posOffset>
            </wp:positionV>
            <wp:extent cx="1096010" cy="1129048"/>
            <wp:effectExtent l="0" t="0" r="8890" b="0"/>
            <wp:wrapNone/>
            <wp:docPr id="360163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22708" r="22708"/>
                    <a:stretch>
                      <a:fillRect/>
                    </a:stretch>
                  </pic:blipFill>
                  <pic:spPr bwMode="auto">
                    <a:xfrm>
                      <a:off x="0" y="0"/>
                      <a:ext cx="1096010" cy="11290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1133">
        <w:rPr>
          <w:rFonts w:ascii="Times New Roman" w:hAnsi="Times New Roman" w:cs="Arial"/>
        </w:rPr>
        <w:t>Republic of the Philippines</w:t>
      </w:r>
    </w:p>
    <w:p w14:paraId="0704A20B" w14:textId="77777777" w:rsidR="00271634" w:rsidRDefault="00C11133">
      <w:pPr>
        <w:spacing w:after="0"/>
        <w:jc w:val="center"/>
        <w:rPr>
          <w:rFonts w:ascii="Times New Roman" w:hAnsi="Times New Roman" w:cs="Arial"/>
          <w:b/>
        </w:rPr>
      </w:pPr>
      <w:r>
        <w:rPr>
          <w:rFonts w:ascii="Times New Roman" w:hAnsi="Times New Roman" w:cs="Arial"/>
          <w:b/>
        </w:rPr>
        <w:t>PROVINCE OF SURIGAO DEL SUR</w:t>
      </w:r>
    </w:p>
    <w:p w14:paraId="57C945C1" w14:textId="15452BE2" w:rsidR="00271634" w:rsidRDefault="00C11133">
      <w:pPr>
        <w:spacing w:after="0"/>
        <w:jc w:val="center"/>
        <w:rPr>
          <w:rFonts w:ascii="Times New Roman" w:hAnsi="Times New Roman" w:cs="Arial"/>
        </w:rPr>
      </w:pPr>
      <w:proofErr w:type="spellStart"/>
      <w:r>
        <w:rPr>
          <w:rFonts w:ascii="Times New Roman" w:hAnsi="Times New Roman" w:cs="Arial"/>
        </w:rPr>
        <w:t>Tandag</w:t>
      </w:r>
      <w:proofErr w:type="spellEnd"/>
      <w:r>
        <w:rPr>
          <w:rFonts w:ascii="Times New Roman" w:hAnsi="Times New Roman" w:cs="Arial"/>
        </w:rPr>
        <w:t xml:space="preserve"> City</w:t>
      </w:r>
    </w:p>
    <w:p w14:paraId="5F85DB12" w14:textId="77777777" w:rsidR="00271634" w:rsidRDefault="00271634">
      <w:pPr>
        <w:spacing w:after="0"/>
        <w:jc w:val="center"/>
        <w:rPr>
          <w:rFonts w:ascii="Times New Roman" w:hAnsi="Times New Roman" w:cs="Arial"/>
        </w:rPr>
      </w:pPr>
    </w:p>
    <w:p w14:paraId="2D323933" w14:textId="6572B8ED" w:rsidR="00271634" w:rsidRPr="006D2918" w:rsidRDefault="006D2918">
      <w:pPr>
        <w:spacing w:after="0"/>
        <w:jc w:val="center"/>
        <w:rPr>
          <w:rFonts w:ascii="Times New Roman" w:hAnsi="Times New Roman" w:cs="Candara"/>
          <w:b/>
          <w:iCs/>
        </w:rPr>
      </w:pPr>
      <w:r>
        <w:rPr>
          <w:rFonts w:ascii="Times New Roman" w:hAnsi="Times New Roman" w:cs="Candara"/>
          <w:b/>
          <w:iCs/>
          <w:sz w:val="30"/>
          <w:szCs w:val="30"/>
        </w:rPr>
        <w:t>Provincial Planning and Development Office</w:t>
      </w:r>
    </w:p>
    <w:tbl>
      <w:tblPr>
        <w:tblW w:w="9979" w:type="dxa"/>
        <w:tblInd w:w="-304" w:type="dxa"/>
        <w:tblBorders>
          <w:top w:val="single" w:sz="14" w:space="0" w:color="000000"/>
        </w:tblBorders>
        <w:tblCellMar>
          <w:top w:w="55" w:type="dxa"/>
          <w:left w:w="55" w:type="dxa"/>
          <w:bottom w:w="55" w:type="dxa"/>
          <w:right w:w="55" w:type="dxa"/>
        </w:tblCellMar>
        <w:tblLook w:val="0000" w:firstRow="0" w:lastRow="0" w:firstColumn="0" w:lastColumn="0" w:noHBand="0" w:noVBand="0"/>
      </w:tblPr>
      <w:tblGrid>
        <w:gridCol w:w="9979"/>
      </w:tblGrid>
      <w:tr w:rsidR="00271634" w14:paraId="143A4985" w14:textId="77777777">
        <w:trPr>
          <w:trHeight w:hRule="exact" w:val="57"/>
        </w:trPr>
        <w:tc>
          <w:tcPr>
            <w:tcW w:w="9979" w:type="dxa"/>
            <w:tcBorders>
              <w:top w:val="single" w:sz="14" w:space="0" w:color="000000"/>
            </w:tcBorders>
          </w:tcPr>
          <w:p w14:paraId="7AC9366F" w14:textId="77777777" w:rsidR="00271634" w:rsidRDefault="00271634">
            <w:pPr>
              <w:pStyle w:val="TableContents"/>
            </w:pPr>
          </w:p>
        </w:tc>
      </w:tr>
    </w:tbl>
    <w:p w14:paraId="1AE424E6" w14:textId="5F403434" w:rsidR="00C16163" w:rsidRPr="00C16163" w:rsidRDefault="00C16163" w:rsidP="00C16163">
      <w:pPr>
        <w:spacing w:after="0" w:line="240" w:lineRule="auto"/>
        <w:rPr>
          <w:rFonts w:ascii="Times New Roman" w:eastAsia="Times New Roman" w:hAnsi="Times New Roman"/>
          <w:sz w:val="24"/>
          <w:szCs w:val="24"/>
          <w:lang w:val="en-PH" w:eastAsia="en-PH"/>
        </w:rPr>
      </w:pPr>
    </w:p>
    <w:p w14:paraId="11809989" w14:textId="77777777" w:rsidR="00F40DF9" w:rsidRPr="00F40DF9" w:rsidRDefault="00F40DF9" w:rsidP="00F40DF9">
      <w:pPr>
        <w:spacing w:after="160" w:line="252" w:lineRule="auto"/>
        <w:jc w:val="center"/>
        <w:rPr>
          <w:rFonts w:ascii="Times New Roman" w:hAnsi="Times New Roman"/>
        </w:rPr>
      </w:pPr>
      <w:r w:rsidRPr="00F40DF9">
        <w:rPr>
          <w:rFonts w:ascii="Times New Roman" w:hAnsi="Times New Roman"/>
          <w:b/>
          <w:sz w:val="28"/>
        </w:rPr>
        <w:t>PROJECT CONCEPT NOTE</w:t>
      </w:r>
    </w:p>
    <w:p w14:paraId="0D8EC981"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1. Name</w:t>
      </w:r>
    </w:p>
    <w:p w14:paraId="39D51E33"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Rehabilitation, Modernization, Operation and Maintenance of the Surigao del Sur Provincial Sports Complex through Public-Private Partnership (PPP)</w:t>
      </w:r>
    </w:p>
    <w:p w14:paraId="3FF4572E"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2. Brief Description</w:t>
      </w:r>
    </w:p>
    <w:p w14:paraId="1BC15296"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proposed project involves the comprehensive rehabilitation and modernization of the existing Surigao del Sur Provincial Sports Complex located at Capitol Hills, Barangay </w:t>
      </w:r>
      <w:proofErr w:type="spellStart"/>
      <w:r w:rsidRPr="00F40DF9">
        <w:rPr>
          <w:rFonts w:ascii="Times New Roman" w:hAnsi="Times New Roman"/>
        </w:rPr>
        <w:t>Telaje</w:t>
      </w:r>
      <w:proofErr w:type="spellEnd"/>
      <w:r w:rsidRPr="00F40DF9">
        <w:rPr>
          <w:rFonts w:ascii="Times New Roman" w:hAnsi="Times New Roman"/>
        </w:rPr>
        <w:t xml:space="preserve">, </w:t>
      </w:r>
      <w:proofErr w:type="spellStart"/>
      <w:r w:rsidRPr="00F40DF9">
        <w:rPr>
          <w:rFonts w:ascii="Times New Roman" w:hAnsi="Times New Roman"/>
        </w:rPr>
        <w:t>Tandag</w:t>
      </w:r>
      <w:proofErr w:type="spellEnd"/>
      <w:r w:rsidRPr="00F40DF9">
        <w:rPr>
          <w:rFonts w:ascii="Times New Roman" w:hAnsi="Times New Roman"/>
        </w:rPr>
        <w:t xml:space="preserve"> City, Surigao del Sur. The project is intended to transform the existing facility into a modern, safe, accessible, sustainable, and multipurpose sports complex capable of supporting athlete development, hosting provincial, regional, and national sporting events, providing community and recreational services, and continuing to serve as a disaster evacuation and emergency response facility.</w:t>
      </w:r>
    </w:p>
    <w:p w14:paraId="6289F3EC"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The major project components will include rehabilitation of the athletic track and football field; modernization of the grandstand and bleachers; rehabilitation/construction of indoor sports facilities; rehabilitation of the swimming pool; drainage and flood-control improvements; upgrading of electrical, water supply, sanitation and lighting systems; parking improvements; landscaping and open spaces; CCTV and security systems; digital ticketing and facility management systems; solar lighting and other renewable-energy improvements; and compatible commercial development such as food courts, retail kiosks and sports shops.</w:t>
      </w:r>
    </w:p>
    <w:p w14:paraId="615F7DBF"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project site is strategically located within the provincial government center, beside the Provincial </w:t>
      </w:r>
      <w:proofErr w:type="spellStart"/>
      <w:r w:rsidRPr="00F40DF9">
        <w:rPr>
          <w:rFonts w:ascii="Times New Roman" w:hAnsi="Times New Roman"/>
        </w:rPr>
        <w:t>Capitol</w:t>
      </w:r>
      <w:proofErr w:type="spellEnd"/>
      <w:r w:rsidRPr="00F40DF9">
        <w:rPr>
          <w:rFonts w:ascii="Times New Roman" w:hAnsi="Times New Roman"/>
        </w:rPr>
        <w:t xml:space="preserve"> and in proximity to the Adela Serra Ty Memorial Medical Center and Jacinto P. </w:t>
      </w:r>
      <w:proofErr w:type="spellStart"/>
      <w:r w:rsidRPr="00F40DF9">
        <w:rPr>
          <w:rFonts w:ascii="Times New Roman" w:hAnsi="Times New Roman"/>
        </w:rPr>
        <w:t>Elpa</w:t>
      </w:r>
      <w:proofErr w:type="spellEnd"/>
      <w:r w:rsidRPr="00F40DF9">
        <w:rPr>
          <w:rFonts w:ascii="Times New Roman" w:hAnsi="Times New Roman"/>
        </w:rPr>
        <w:t xml:space="preserve"> National High School. This location provides accessibility to athletes, schools, sports associations, youth organizations, LGUs, government agencies and residents. Its established use as a public facility and evacuation site adds significant public value.</w:t>
      </w:r>
    </w:p>
    <w:p w14:paraId="27680080"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Direct beneficiaries include athletes, schools, the Provincial Sports Office, sports associations, youth organizations, LGUs and government agencies. Indirect beneficiaries include local businesses, the tourism sector, hotels and restaurants, transport operators, event organizers and residents of Surigao del Sur. Expected benefits include improved sports participation and athlete performance, greater capacity to host major events, tourism and local economic activity, employment opportunities, improved disaster resilience, and more efficient long-term facility management.</w:t>
      </w:r>
    </w:p>
    <w:p w14:paraId="5BE7E87E"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The private sector may participate through a PPP arrangement involving financing, engineering design, construction/rehabilitation, provision of equipment, operation and maintenance, and commercial development investments. Potential PPP structures identified during preliminary project development include Build-Operate-Transfer (BOT), Rehabilitate-Operate-Transfer (ROT), Joint Venture (JV), or Lease-Develop-Operate (LDO), subject to feasibility assessment and the requirements of the PPP Code and its IRR. The final modality, financial structure, revenue mechanism, concession period and risk allocation will be determined through the feasibility study.</w:t>
      </w:r>
    </w:p>
    <w:p w14:paraId="6ACF1A3D"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3. Project Background</w:t>
      </w:r>
    </w:p>
    <w:p w14:paraId="262E88A7"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Surigao del Sur Provincial Sports Complex has served as the </w:t>
      </w:r>
      <w:proofErr w:type="gramStart"/>
      <w:r w:rsidRPr="00F40DF9">
        <w:rPr>
          <w:rFonts w:ascii="Times New Roman" w:hAnsi="Times New Roman"/>
        </w:rPr>
        <w:t>Province's</w:t>
      </w:r>
      <w:proofErr w:type="gramEnd"/>
      <w:r w:rsidRPr="00F40DF9">
        <w:rPr>
          <w:rFonts w:ascii="Times New Roman" w:hAnsi="Times New Roman"/>
        </w:rPr>
        <w:t xml:space="preserve"> principal sports facility since the 1970s. The facility has undergone previous improvements and was used as a major venue for the 2015 Caraga Regional Athletic Meet. It also served as a temporary shelter for approximately 3,000 internally displaced persons in 2015, resulting in prolonged use for humanitarian purposes and contributing to deterioration of the facility.</w:t>
      </w:r>
    </w:p>
    <w:p w14:paraId="623D371F"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lastRenderedPageBreak/>
        <w:t>The Provincial Government has undertaken limited improvements over the years, but comprehensive rehabilitation and modernization have been constrained by limited public resources, aging infrastructure, increasing maintenance requirements, and the need to meet current sports facility standards. The project is therefore being considered for PPP delivery to mobilize private financing, technical expertise, construction capability, modern facility management and long-term operations and maintenance.</w:t>
      </w:r>
    </w:p>
    <w:p w14:paraId="617892E6"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Current development status: the project is at the conceptualization and project development stage. Preliminary project documentation, including a Project Information Sheet and project proposal, has been prepared. A comprehensive feasibility study has not yet been completed. The project has not yet proceeded to procurement, financial close or construction under the proposed PPP arrangement. The final PPP modality and project structure remain subject to feasibility assessment and the applicable approval process.</w:t>
      </w:r>
    </w:p>
    <w:p w14:paraId="69A87E4F"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Previous and ongoing studies/documents include the preliminary Project Information Sheet and project proposal, historical information on the Sports Complex and its previous rehabilitation/uses, and preliminary identification of project components, beneficiaries, potential revenue sources and indicative risk allocation. These materials recommend proceeding with project validation, technical assessment, detailed engineering requirements, demand and market assessment, financial/economic analysis, legal and institutional assessment, environmental and disaster-resilience assessment, and PPP structuring.</w:t>
      </w:r>
    </w:p>
    <w:p w14:paraId="0002871A"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Key issues include the deteriorating condition of the existing facilities, limited public fiscal capacity for comprehensive rehabilitation, the need to establish sustainable operations and maintenance, the need to validate demand and commercial revenue potential, appropriate allocation of risks between the </w:t>
      </w:r>
      <w:proofErr w:type="gramStart"/>
      <w:r w:rsidRPr="00F40DF9">
        <w:rPr>
          <w:rFonts w:ascii="Times New Roman" w:hAnsi="Times New Roman"/>
        </w:rPr>
        <w:t>Province</w:t>
      </w:r>
      <w:proofErr w:type="gramEnd"/>
      <w:r w:rsidRPr="00F40DF9">
        <w:rPr>
          <w:rFonts w:ascii="Times New Roman" w:hAnsi="Times New Roman"/>
        </w:rPr>
        <w:t xml:space="preserve"> and private partner, and the need to balance commercial use with public sports, community and disaster-response functions.</w:t>
      </w:r>
    </w:p>
    <w:p w14:paraId="7C05A138"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Based on the project documents provided, the proposed PDMF-supported project is not identified as a component of a larger ODA- or GAA-financed project. It is being developed as a stand-alone provincial PPP project. The </w:t>
      </w:r>
      <w:proofErr w:type="gramStart"/>
      <w:r w:rsidRPr="00F40DF9">
        <w:rPr>
          <w:rFonts w:ascii="Times New Roman" w:hAnsi="Times New Roman"/>
        </w:rPr>
        <w:t>Province's</w:t>
      </w:r>
      <w:proofErr w:type="gramEnd"/>
      <w:r w:rsidRPr="00F40DF9">
        <w:rPr>
          <w:rFonts w:ascii="Times New Roman" w:hAnsi="Times New Roman"/>
        </w:rPr>
        <w:t xml:space="preserve"> existing Sports Complex site is proposed as the public-sector contribution, while private-sector financing and investment are being considered for rehabilitation, modernization and long-term operation and maintenance.</w:t>
      </w:r>
    </w:p>
    <w:p w14:paraId="7F06EB0F"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Rationale of the Project</w:t>
      </w:r>
    </w:p>
    <w:p w14:paraId="4774A70B" w14:textId="77777777" w:rsidR="00F40DF9" w:rsidRPr="00F40DF9" w:rsidRDefault="00F40DF9" w:rsidP="00F40DF9">
      <w:pPr>
        <w:spacing w:before="160" w:after="80"/>
        <w:rPr>
          <w:rFonts w:ascii="Times New Roman" w:hAnsi="Times New Roman"/>
        </w:rPr>
      </w:pPr>
      <w:r w:rsidRPr="00F40DF9">
        <w:rPr>
          <w:rFonts w:ascii="Times New Roman" w:hAnsi="Times New Roman"/>
          <w:b/>
        </w:rPr>
        <w:t>1. Sector</w:t>
      </w:r>
    </w:p>
    <w:p w14:paraId="61392FEE"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Social Infrastructure – Sports, Recreation, Community and Disaster-Resilience Facilities</w:t>
      </w:r>
    </w:p>
    <w:p w14:paraId="69F09C9E" w14:textId="77777777" w:rsidR="00F40DF9" w:rsidRPr="00F40DF9" w:rsidRDefault="00F40DF9" w:rsidP="00F40DF9">
      <w:pPr>
        <w:spacing w:before="160" w:after="80"/>
        <w:rPr>
          <w:rFonts w:ascii="Times New Roman" w:hAnsi="Times New Roman"/>
        </w:rPr>
      </w:pPr>
      <w:r w:rsidRPr="00F40DF9">
        <w:rPr>
          <w:rFonts w:ascii="Times New Roman" w:hAnsi="Times New Roman"/>
          <w:b/>
        </w:rPr>
        <w:t>2. Sectoral Program Context</w:t>
      </w:r>
    </w:p>
    <w:p w14:paraId="4EB54D76"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project is aligned with the Provincial Development Investment Program (PDIP) 2025–2028 and has been identified as a priority project under the Annual Investment Program (AIP) 2027. It is also aligned with the development directions of the Provincial Development and Physical Framework Plan (PDPFP), particularly in supporting the </w:t>
      </w:r>
      <w:proofErr w:type="gramStart"/>
      <w:r w:rsidRPr="00F40DF9">
        <w:rPr>
          <w:rFonts w:ascii="Times New Roman" w:hAnsi="Times New Roman"/>
        </w:rPr>
        <w:t>Province's</w:t>
      </w:r>
      <w:proofErr w:type="gramEnd"/>
      <w:r w:rsidRPr="00F40DF9">
        <w:rPr>
          <w:rFonts w:ascii="Times New Roman" w:hAnsi="Times New Roman"/>
        </w:rPr>
        <w:t xml:space="preserve"> sports development sector and the provision of adequate, accessible and modern social infrastructure.</w:t>
      </w:r>
    </w:p>
    <w:p w14:paraId="1C698F92"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At the national level, the project is consistent with the broader policy direction of promoting inclusive development, youth and sports development, resilient public infrastructure, and public-private collaboration in the delivery of public services. The project also supports local development objectives by providing a venue for sports programs, community activities, major events and emergency response.</w:t>
      </w:r>
    </w:p>
    <w:p w14:paraId="18B59681"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project has been endorsed by the Sangguniang </w:t>
      </w:r>
      <w:proofErr w:type="spellStart"/>
      <w:r w:rsidRPr="00F40DF9">
        <w:rPr>
          <w:rFonts w:ascii="Times New Roman" w:hAnsi="Times New Roman"/>
        </w:rPr>
        <w:t>Panlalawigan</w:t>
      </w:r>
      <w:proofErr w:type="spellEnd"/>
      <w:r w:rsidRPr="00F40DF9">
        <w:rPr>
          <w:rFonts w:ascii="Times New Roman" w:hAnsi="Times New Roman"/>
        </w:rPr>
        <w:t xml:space="preserve"> of the Province of Surigao del Sur as part of the </w:t>
      </w:r>
      <w:proofErr w:type="gramStart"/>
      <w:r w:rsidRPr="00F40DF9">
        <w:rPr>
          <w:rFonts w:ascii="Times New Roman" w:hAnsi="Times New Roman"/>
        </w:rPr>
        <w:t>Province's</w:t>
      </w:r>
      <w:proofErr w:type="gramEnd"/>
      <w:r w:rsidRPr="00F40DF9">
        <w:rPr>
          <w:rFonts w:ascii="Times New Roman" w:hAnsi="Times New Roman"/>
        </w:rPr>
        <w:t xml:space="preserve"> efforts to modernize and strengthen the sports sector. It is also linked to provincial sports development programs, school and youth activities, tourism and events promotion, and disaster preparedness and response.</w:t>
      </w:r>
    </w:p>
    <w:p w14:paraId="095B8AC3" w14:textId="77777777" w:rsidR="00F40DF9" w:rsidRPr="00F40DF9" w:rsidRDefault="00F40DF9" w:rsidP="00F40DF9">
      <w:pPr>
        <w:spacing w:before="160" w:after="80"/>
        <w:rPr>
          <w:rFonts w:ascii="Times New Roman" w:hAnsi="Times New Roman"/>
        </w:rPr>
      </w:pPr>
      <w:r w:rsidRPr="00F40DF9">
        <w:rPr>
          <w:rFonts w:ascii="Times New Roman" w:hAnsi="Times New Roman"/>
          <w:b/>
        </w:rPr>
        <w:t>3. Regional and Spatial Context</w:t>
      </w:r>
    </w:p>
    <w:p w14:paraId="17E721A6"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proposed project site is the existing Surigao del Sur Provincial Sports Complex at Capitol Hills, Barangay </w:t>
      </w:r>
      <w:proofErr w:type="spellStart"/>
      <w:r w:rsidRPr="00F40DF9">
        <w:rPr>
          <w:rFonts w:ascii="Times New Roman" w:hAnsi="Times New Roman"/>
        </w:rPr>
        <w:t>Telaje</w:t>
      </w:r>
      <w:proofErr w:type="spellEnd"/>
      <w:r w:rsidRPr="00F40DF9">
        <w:rPr>
          <w:rFonts w:ascii="Times New Roman" w:hAnsi="Times New Roman"/>
        </w:rPr>
        <w:t xml:space="preserve">, </w:t>
      </w:r>
      <w:proofErr w:type="spellStart"/>
      <w:r w:rsidRPr="00F40DF9">
        <w:rPr>
          <w:rFonts w:ascii="Times New Roman" w:hAnsi="Times New Roman"/>
        </w:rPr>
        <w:t>Tandag</w:t>
      </w:r>
      <w:proofErr w:type="spellEnd"/>
      <w:r w:rsidRPr="00F40DF9">
        <w:rPr>
          <w:rFonts w:ascii="Times New Roman" w:hAnsi="Times New Roman"/>
        </w:rPr>
        <w:t xml:space="preserve"> City, within the provincial government center. The site was selected because it is the existing provincial sports facility, has an established public function and user base, and is strategically located near key public institutions.</w:t>
      </w:r>
    </w:p>
    <w:p w14:paraId="1902A9BC"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lastRenderedPageBreak/>
        <w:t xml:space="preserve">The site is beside the Provincial </w:t>
      </w:r>
      <w:proofErr w:type="spellStart"/>
      <w:r w:rsidRPr="00F40DF9">
        <w:rPr>
          <w:rFonts w:ascii="Times New Roman" w:hAnsi="Times New Roman"/>
        </w:rPr>
        <w:t>Capitol</w:t>
      </w:r>
      <w:proofErr w:type="spellEnd"/>
      <w:r w:rsidRPr="00F40DF9">
        <w:rPr>
          <w:rFonts w:ascii="Times New Roman" w:hAnsi="Times New Roman"/>
        </w:rPr>
        <w:t xml:space="preserve"> and in proximity to the Adela Serra Ty Memorial Medical Center and Jacinto P. </w:t>
      </w:r>
      <w:proofErr w:type="spellStart"/>
      <w:r w:rsidRPr="00F40DF9">
        <w:rPr>
          <w:rFonts w:ascii="Times New Roman" w:hAnsi="Times New Roman"/>
        </w:rPr>
        <w:t>Elpa</w:t>
      </w:r>
      <w:proofErr w:type="spellEnd"/>
      <w:r w:rsidRPr="00F40DF9">
        <w:rPr>
          <w:rFonts w:ascii="Times New Roman" w:hAnsi="Times New Roman"/>
        </w:rPr>
        <w:t xml:space="preserve"> National High School. Its location supports convenient access for athletes, students, sports associations, government agencies and residents. Proximity to the medical center is also advantageous for emergency and medical support during sports events and other large gatherings.</w:t>
      </w:r>
    </w:p>
    <w:p w14:paraId="16364F44"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Sports Complex also has an established role as an evacuation facility because of its relatively elevated location and its previous use for disaster and humanitarian response. Rehabilitation therefore provides benefits beyond sports development by strengthening the </w:t>
      </w:r>
      <w:proofErr w:type="gramStart"/>
      <w:r w:rsidRPr="00F40DF9">
        <w:rPr>
          <w:rFonts w:ascii="Times New Roman" w:hAnsi="Times New Roman"/>
        </w:rPr>
        <w:t>Province's</w:t>
      </w:r>
      <w:proofErr w:type="gramEnd"/>
      <w:r w:rsidRPr="00F40DF9">
        <w:rPr>
          <w:rFonts w:ascii="Times New Roman" w:hAnsi="Times New Roman"/>
        </w:rPr>
        <w:t xml:space="preserve"> emergency preparedness and community resilience.</w:t>
      </w:r>
    </w:p>
    <w:p w14:paraId="3C8B9F7F"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The project addresses gaps in the availability of modern, standards-compliant sports infrastructure and creates an opportunity to consolidate sports, community, event, commercial and emergency-response functions in an existing strategic provincial asset.</w:t>
      </w:r>
    </w:p>
    <w:p w14:paraId="5372A307"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Indicative Timeline</w:t>
      </w:r>
    </w:p>
    <w:p w14:paraId="6FE51FDA" w14:textId="77777777" w:rsidR="00F40DF9" w:rsidRPr="00F40DF9" w:rsidRDefault="00F40DF9" w:rsidP="00F40DF9">
      <w:pPr>
        <w:spacing w:before="160" w:after="80"/>
        <w:rPr>
          <w:rFonts w:ascii="Times New Roman" w:hAnsi="Times New Roman"/>
        </w:rPr>
      </w:pPr>
      <w:r w:rsidRPr="00F40DF9">
        <w:rPr>
          <w:rFonts w:ascii="Times New Roman" w:hAnsi="Times New Roman"/>
          <w:b/>
        </w:rPr>
        <w:t>Project Development</w:t>
      </w:r>
    </w:p>
    <w:tbl>
      <w:tblPr>
        <w:tblStyle w:val="TableGrid"/>
        <w:tblW w:w="0" w:type="auto"/>
        <w:jc w:val="center"/>
        <w:tblLook w:val="04A0" w:firstRow="1" w:lastRow="0" w:firstColumn="1" w:lastColumn="0" w:noHBand="0" w:noVBand="1"/>
      </w:tblPr>
      <w:tblGrid>
        <w:gridCol w:w="4552"/>
        <w:gridCol w:w="4464"/>
      </w:tblGrid>
      <w:tr w:rsidR="00F40DF9" w:rsidRPr="00F40DF9" w14:paraId="413A9514" w14:textId="77777777" w:rsidTr="00113F4C">
        <w:trPr>
          <w:jc w:val="center"/>
        </w:trPr>
        <w:tc>
          <w:tcPr>
            <w:tcW w:w="4801" w:type="dxa"/>
            <w:shd w:val="clear" w:color="auto" w:fill="D9E2F3"/>
          </w:tcPr>
          <w:p w14:paraId="4403E601" w14:textId="77777777" w:rsidR="00F40DF9" w:rsidRPr="00F40DF9" w:rsidRDefault="00F40DF9" w:rsidP="00113F4C">
            <w:pPr>
              <w:rPr>
                <w:rFonts w:ascii="Times New Roman" w:hAnsi="Times New Roman"/>
              </w:rPr>
            </w:pPr>
            <w:r w:rsidRPr="00F40DF9">
              <w:rPr>
                <w:rFonts w:ascii="Times New Roman" w:hAnsi="Times New Roman"/>
                <w:b/>
                <w:sz w:val="18"/>
              </w:rPr>
              <w:t>MILESTONE</w:t>
            </w:r>
          </w:p>
        </w:tc>
        <w:tc>
          <w:tcPr>
            <w:tcW w:w="4801" w:type="dxa"/>
            <w:shd w:val="clear" w:color="auto" w:fill="D9E2F3"/>
          </w:tcPr>
          <w:p w14:paraId="649B9F49" w14:textId="77777777" w:rsidR="00F40DF9" w:rsidRPr="00F40DF9" w:rsidRDefault="00F40DF9" w:rsidP="00113F4C">
            <w:pPr>
              <w:rPr>
                <w:rFonts w:ascii="Times New Roman" w:hAnsi="Times New Roman"/>
              </w:rPr>
            </w:pPr>
            <w:r w:rsidRPr="00F40DF9">
              <w:rPr>
                <w:rFonts w:ascii="Times New Roman" w:hAnsi="Times New Roman"/>
                <w:b/>
                <w:sz w:val="18"/>
              </w:rPr>
              <w:t>TARGET DATE</w:t>
            </w:r>
          </w:p>
        </w:tc>
      </w:tr>
      <w:tr w:rsidR="00F40DF9" w:rsidRPr="00F40DF9" w14:paraId="014A2349" w14:textId="77777777" w:rsidTr="00113F4C">
        <w:trPr>
          <w:jc w:val="center"/>
        </w:trPr>
        <w:tc>
          <w:tcPr>
            <w:tcW w:w="4801" w:type="dxa"/>
            <w:vAlign w:val="center"/>
          </w:tcPr>
          <w:p w14:paraId="7F75E6C5" w14:textId="77777777" w:rsidR="00F40DF9" w:rsidRPr="00F40DF9" w:rsidRDefault="00F40DF9" w:rsidP="00113F4C">
            <w:pPr>
              <w:rPr>
                <w:rFonts w:ascii="Times New Roman" w:hAnsi="Times New Roman"/>
              </w:rPr>
            </w:pPr>
            <w:r w:rsidRPr="00F40DF9">
              <w:rPr>
                <w:rFonts w:ascii="Times New Roman" w:hAnsi="Times New Roman"/>
                <w:sz w:val="18"/>
              </w:rPr>
              <w:t>Preparation and submission of Project Concept Note</w:t>
            </w:r>
          </w:p>
        </w:tc>
        <w:tc>
          <w:tcPr>
            <w:tcW w:w="4801" w:type="dxa"/>
            <w:vAlign w:val="center"/>
          </w:tcPr>
          <w:p w14:paraId="692310D8" w14:textId="77777777" w:rsidR="00F40DF9" w:rsidRPr="00F40DF9" w:rsidRDefault="00F40DF9" w:rsidP="00113F4C">
            <w:pPr>
              <w:rPr>
                <w:rFonts w:ascii="Times New Roman" w:hAnsi="Times New Roman"/>
              </w:rPr>
            </w:pPr>
            <w:r w:rsidRPr="00F40DF9">
              <w:rPr>
                <w:rFonts w:ascii="Times New Roman" w:hAnsi="Times New Roman"/>
                <w:sz w:val="18"/>
              </w:rPr>
              <w:t>August 2026 – proposed</w:t>
            </w:r>
          </w:p>
        </w:tc>
      </w:tr>
      <w:tr w:rsidR="00F40DF9" w:rsidRPr="00F40DF9" w14:paraId="638AF1A3" w14:textId="77777777" w:rsidTr="00113F4C">
        <w:trPr>
          <w:jc w:val="center"/>
        </w:trPr>
        <w:tc>
          <w:tcPr>
            <w:tcW w:w="4801" w:type="dxa"/>
            <w:vAlign w:val="center"/>
          </w:tcPr>
          <w:p w14:paraId="143861D1" w14:textId="77777777" w:rsidR="00F40DF9" w:rsidRPr="00F40DF9" w:rsidRDefault="00F40DF9" w:rsidP="00113F4C">
            <w:pPr>
              <w:rPr>
                <w:rFonts w:ascii="Times New Roman" w:hAnsi="Times New Roman"/>
              </w:rPr>
            </w:pPr>
            <w:r w:rsidRPr="00F40DF9">
              <w:rPr>
                <w:rFonts w:ascii="Times New Roman" w:hAnsi="Times New Roman"/>
                <w:sz w:val="18"/>
              </w:rPr>
              <w:t>PDMF project preparation/technical assistance approval</w:t>
            </w:r>
          </w:p>
        </w:tc>
        <w:tc>
          <w:tcPr>
            <w:tcW w:w="4801" w:type="dxa"/>
            <w:vAlign w:val="center"/>
          </w:tcPr>
          <w:p w14:paraId="520D4E8A" w14:textId="77777777" w:rsidR="00F40DF9" w:rsidRPr="00F40DF9" w:rsidRDefault="00F40DF9" w:rsidP="00113F4C">
            <w:pPr>
              <w:rPr>
                <w:rFonts w:ascii="Times New Roman" w:hAnsi="Times New Roman"/>
              </w:rPr>
            </w:pPr>
            <w:r w:rsidRPr="00F40DF9">
              <w:rPr>
                <w:rFonts w:ascii="Times New Roman" w:hAnsi="Times New Roman"/>
                <w:sz w:val="18"/>
              </w:rPr>
              <w:t>To be determined</w:t>
            </w:r>
          </w:p>
        </w:tc>
      </w:tr>
      <w:tr w:rsidR="00F40DF9" w:rsidRPr="00F40DF9" w14:paraId="502621BE" w14:textId="77777777" w:rsidTr="00113F4C">
        <w:trPr>
          <w:jc w:val="center"/>
        </w:trPr>
        <w:tc>
          <w:tcPr>
            <w:tcW w:w="4801" w:type="dxa"/>
            <w:vAlign w:val="center"/>
          </w:tcPr>
          <w:p w14:paraId="6464F924" w14:textId="77777777" w:rsidR="00F40DF9" w:rsidRPr="00F40DF9" w:rsidRDefault="00F40DF9" w:rsidP="00113F4C">
            <w:pPr>
              <w:rPr>
                <w:rFonts w:ascii="Times New Roman" w:hAnsi="Times New Roman"/>
              </w:rPr>
            </w:pPr>
            <w:r w:rsidRPr="00F40DF9">
              <w:rPr>
                <w:rFonts w:ascii="Times New Roman" w:hAnsi="Times New Roman"/>
                <w:sz w:val="18"/>
              </w:rPr>
              <w:t>Procurement/engagement of feasibility and transaction advisers</w:t>
            </w:r>
          </w:p>
        </w:tc>
        <w:tc>
          <w:tcPr>
            <w:tcW w:w="4801" w:type="dxa"/>
            <w:vAlign w:val="center"/>
          </w:tcPr>
          <w:p w14:paraId="10B6CEBF" w14:textId="77777777" w:rsidR="00F40DF9" w:rsidRPr="00F40DF9" w:rsidRDefault="00F40DF9" w:rsidP="00113F4C">
            <w:pPr>
              <w:rPr>
                <w:rFonts w:ascii="Times New Roman" w:hAnsi="Times New Roman"/>
              </w:rPr>
            </w:pPr>
            <w:r w:rsidRPr="00F40DF9">
              <w:rPr>
                <w:rFonts w:ascii="Times New Roman" w:hAnsi="Times New Roman"/>
                <w:sz w:val="18"/>
              </w:rPr>
              <w:t>To be determined after PDMF approval</w:t>
            </w:r>
          </w:p>
        </w:tc>
      </w:tr>
      <w:tr w:rsidR="00F40DF9" w:rsidRPr="00F40DF9" w14:paraId="07ADECA8" w14:textId="77777777" w:rsidTr="00113F4C">
        <w:trPr>
          <w:jc w:val="center"/>
        </w:trPr>
        <w:tc>
          <w:tcPr>
            <w:tcW w:w="4801" w:type="dxa"/>
            <w:vAlign w:val="center"/>
          </w:tcPr>
          <w:p w14:paraId="61E9643E" w14:textId="77777777" w:rsidR="00F40DF9" w:rsidRPr="00F40DF9" w:rsidRDefault="00F40DF9" w:rsidP="00113F4C">
            <w:pPr>
              <w:rPr>
                <w:rFonts w:ascii="Times New Roman" w:hAnsi="Times New Roman"/>
              </w:rPr>
            </w:pPr>
            <w:r w:rsidRPr="00F40DF9">
              <w:rPr>
                <w:rFonts w:ascii="Times New Roman" w:hAnsi="Times New Roman"/>
                <w:sz w:val="18"/>
              </w:rPr>
              <w:t>Feasibility Study and technical, market, financial, economic, legal and environmental assessments</w:t>
            </w:r>
          </w:p>
        </w:tc>
        <w:tc>
          <w:tcPr>
            <w:tcW w:w="4801" w:type="dxa"/>
            <w:vAlign w:val="center"/>
          </w:tcPr>
          <w:p w14:paraId="51B77FC8" w14:textId="77777777" w:rsidR="00F40DF9" w:rsidRPr="00F40DF9" w:rsidRDefault="00F40DF9" w:rsidP="00113F4C">
            <w:pPr>
              <w:rPr>
                <w:rFonts w:ascii="Times New Roman" w:hAnsi="Times New Roman"/>
              </w:rPr>
            </w:pPr>
            <w:r w:rsidRPr="00F40DF9">
              <w:rPr>
                <w:rFonts w:ascii="Times New Roman" w:hAnsi="Times New Roman"/>
                <w:sz w:val="18"/>
              </w:rPr>
              <w:t>Indicatively 6 months</w:t>
            </w:r>
          </w:p>
        </w:tc>
      </w:tr>
      <w:tr w:rsidR="00F40DF9" w:rsidRPr="00F40DF9" w14:paraId="2ADE4728" w14:textId="77777777" w:rsidTr="00113F4C">
        <w:trPr>
          <w:jc w:val="center"/>
        </w:trPr>
        <w:tc>
          <w:tcPr>
            <w:tcW w:w="4801" w:type="dxa"/>
            <w:vAlign w:val="center"/>
          </w:tcPr>
          <w:p w14:paraId="365CAA12" w14:textId="77777777" w:rsidR="00F40DF9" w:rsidRPr="00F40DF9" w:rsidRDefault="00F40DF9" w:rsidP="00113F4C">
            <w:pPr>
              <w:rPr>
                <w:rFonts w:ascii="Times New Roman" w:hAnsi="Times New Roman"/>
              </w:rPr>
            </w:pPr>
            <w:r w:rsidRPr="00F40DF9">
              <w:rPr>
                <w:rFonts w:ascii="Times New Roman" w:hAnsi="Times New Roman"/>
                <w:sz w:val="18"/>
              </w:rPr>
              <w:t>PPP structuring and preparation of proposed terms and conditions</w:t>
            </w:r>
          </w:p>
        </w:tc>
        <w:tc>
          <w:tcPr>
            <w:tcW w:w="4801" w:type="dxa"/>
            <w:vAlign w:val="center"/>
          </w:tcPr>
          <w:p w14:paraId="1BF5417E" w14:textId="77777777" w:rsidR="00F40DF9" w:rsidRPr="00F40DF9" w:rsidRDefault="00F40DF9" w:rsidP="00113F4C">
            <w:pPr>
              <w:rPr>
                <w:rFonts w:ascii="Times New Roman" w:hAnsi="Times New Roman"/>
              </w:rPr>
            </w:pPr>
            <w:r w:rsidRPr="00F40DF9">
              <w:rPr>
                <w:rFonts w:ascii="Times New Roman" w:hAnsi="Times New Roman"/>
                <w:sz w:val="18"/>
              </w:rPr>
              <w:t>Indicatively 4 months</w:t>
            </w:r>
          </w:p>
        </w:tc>
      </w:tr>
      <w:tr w:rsidR="00F40DF9" w:rsidRPr="00F40DF9" w14:paraId="46B19F6C" w14:textId="77777777" w:rsidTr="00113F4C">
        <w:trPr>
          <w:jc w:val="center"/>
        </w:trPr>
        <w:tc>
          <w:tcPr>
            <w:tcW w:w="4801" w:type="dxa"/>
            <w:vAlign w:val="center"/>
          </w:tcPr>
          <w:p w14:paraId="2C5C8ED7" w14:textId="77777777" w:rsidR="00F40DF9" w:rsidRPr="00F40DF9" w:rsidRDefault="00F40DF9" w:rsidP="00113F4C">
            <w:pPr>
              <w:rPr>
                <w:rFonts w:ascii="Times New Roman" w:hAnsi="Times New Roman"/>
              </w:rPr>
            </w:pPr>
            <w:r w:rsidRPr="00F40DF9">
              <w:rPr>
                <w:rFonts w:ascii="Times New Roman" w:hAnsi="Times New Roman"/>
                <w:sz w:val="18"/>
              </w:rPr>
              <w:t>Submission/processing for applicable PPP approvals</w:t>
            </w:r>
          </w:p>
        </w:tc>
        <w:tc>
          <w:tcPr>
            <w:tcW w:w="4801" w:type="dxa"/>
            <w:vAlign w:val="center"/>
          </w:tcPr>
          <w:p w14:paraId="75E0A89E" w14:textId="77777777" w:rsidR="00F40DF9" w:rsidRPr="00F40DF9" w:rsidRDefault="00F40DF9" w:rsidP="00113F4C">
            <w:pPr>
              <w:rPr>
                <w:rFonts w:ascii="Times New Roman" w:hAnsi="Times New Roman"/>
              </w:rPr>
            </w:pPr>
            <w:r w:rsidRPr="00F40DF9">
              <w:rPr>
                <w:rFonts w:ascii="Times New Roman" w:hAnsi="Times New Roman"/>
                <w:sz w:val="18"/>
              </w:rPr>
              <w:t>Indicatively 2–3 months</w:t>
            </w:r>
          </w:p>
        </w:tc>
      </w:tr>
      <w:tr w:rsidR="00F40DF9" w:rsidRPr="00F40DF9" w14:paraId="117DC57C" w14:textId="77777777" w:rsidTr="00113F4C">
        <w:trPr>
          <w:jc w:val="center"/>
        </w:trPr>
        <w:tc>
          <w:tcPr>
            <w:tcW w:w="4801" w:type="dxa"/>
            <w:vAlign w:val="center"/>
          </w:tcPr>
          <w:p w14:paraId="273DCCF9" w14:textId="77777777" w:rsidR="00F40DF9" w:rsidRPr="00F40DF9" w:rsidRDefault="00F40DF9" w:rsidP="00113F4C">
            <w:pPr>
              <w:rPr>
                <w:rFonts w:ascii="Times New Roman" w:hAnsi="Times New Roman"/>
              </w:rPr>
            </w:pPr>
            <w:r w:rsidRPr="00F40DF9">
              <w:rPr>
                <w:rFonts w:ascii="Times New Roman" w:hAnsi="Times New Roman"/>
                <w:sz w:val="18"/>
              </w:rPr>
              <w:t>Market sounding and preparation of procurement/transaction documents</w:t>
            </w:r>
          </w:p>
        </w:tc>
        <w:tc>
          <w:tcPr>
            <w:tcW w:w="4801" w:type="dxa"/>
            <w:vAlign w:val="center"/>
          </w:tcPr>
          <w:p w14:paraId="08ED4507" w14:textId="77777777" w:rsidR="00F40DF9" w:rsidRPr="00F40DF9" w:rsidRDefault="00F40DF9" w:rsidP="00113F4C">
            <w:pPr>
              <w:rPr>
                <w:rFonts w:ascii="Times New Roman" w:hAnsi="Times New Roman"/>
              </w:rPr>
            </w:pPr>
            <w:r w:rsidRPr="00F40DF9">
              <w:rPr>
                <w:rFonts w:ascii="Times New Roman" w:hAnsi="Times New Roman"/>
                <w:sz w:val="18"/>
              </w:rPr>
              <w:t>To be determined based on feasibility study</w:t>
            </w:r>
          </w:p>
        </w:tc>
      </w:tr>
    </w:tbl>
    <w:p w14:paraId="210DD268" w14:textId="77777777" w:rsidR="00F40DF9" w:rsidRPr="00F40DF9" w:rsidRDefault="00F40DF9" w:rsidP="00F40DF9">
      <w:pPr>
        <w:spacing w:after="20" w:line="252" w:lineRule="auto"/>
        <w:rPr>
          <w:rFonts w:ascii="Times New Roman" w:hAnsi="Times New Roman"/>
        </w:rPr>
      </w:pPr>
    </w:p>
    <w:p w14:paraId="2A4DA7A4" w14:textId="77777777" w:rsidR="00F40DF9" w:rsidRPr="00F40DF9" w:rsidRDefault="00F40DF9" w:rsidP="00F40DF9">
      <w:pPr>
        <w:spacing w:after="100" w:line="252" w:lineRule="auto"/>
        <w:rPr>
          <w:rFonts w:ascii="Times New Roman" w:hAnsi="Times New Roman"/>
        </w:rPr>
      </w:pPr>
      <w:r w:rsidRPr="00F40DF9">
        <w:rPr>
          <w:rFonts w:ascii="Times New Roman" w:hAnsi="Times New Roman"/>
        </w:rPr>
        <w:t>*Target dates are indicative and will be refined after PDMF approval and in accordance with the applicable PPP Code and implementing rules.</w:t>
      </w:r>
    </w:p>
    <w:p w14:paraId="0024F97A" w14:textId="77777777" w:rsidR="00F40DF9" w:rsidRPr="00F40DF9" w:rsidRDefault="00F40DF9" w:rsidP="00F40DF9">
      <w:pPr>
        <w:spacing w:before="160" w:after="80"/>
        <w:rPr>
          <w:rFonts w:ascii="Times New Roman" w:hAnsi="Times New Roman"/>
        </w:rPr>
      </w:pPr>
      <w:r w:rsidRPr="00F40DF9">
        <w:rPr>
          <w:rFonts w:ascii="Times New Roman" w:hAnsi="Times New Roman"/>
          <w:b/>
        </w:rPr>
        <w:t>Approval and Bidding Phase</w:t>
      </w:r>
    </w:p>
    <w:tbl>
      <w:tblPr>
        <w:tblStyle w:val="TableGrid"/>
        <w:tblW w:w="0" w:type="auto"/>
        <w:jc w:val="center"/>
        <w:tblLook w:val="04A0" w:firstRow="1" w:lastRow="0" w:firstColumn="1" w:lastColumn="0" w:noHBand="0" w:noVBand="1"/>
      </w:tblPr>
      <w:tblGrid>
        <w:gridCol w:w="4558"/>
        <w:gridCol w:w="4458"/>
      </w:tblGrid>
      <w:tr w:rsidR="00F40DF9" w:rsidRPr="00F40DF9" w14:paraId="240DF856" w14:textId="77777777" w:rsidTr="00113F4C">
        <w:trPr>
          <w:jc w:val="center"/>
        </w:trPr>
        <w:tc>
          <w:tcPr>
            <w:tcW w:w="4801" w:type="dxa"/>
            <w:shd w:val="clear" w:color="auto" w:fill="D9E2F3"/>
          </w:tcPr>
          <w:p w14:paraId="258367F5" w14:textId="77777777" w:rsidR="00F40DF9" w:rsidRPr="00F40DF9" w:rsidRDefault="00F40DF9" w:rsidP="00113F4C">
            <w:pPr>
              <w:rPr>
                <w:rFonts w:ascii="Times New Roman" w:hAnsi="Times New Roman"/>
              </w:rPr>
            </w:pPr>
            <w:r w:rsidRPr="00F40DF9">
              <w:rPr>
                <w:rFonts w:ascii="Times New Roman" w:hAnsi="Times New Roman"/>
                <w:b/>
                <w:sz w:val="18"/>
              </w:rPr>
              <w:t>MILESTONE</w:t>
            </w:r>
          </w:p>
        </w:tc>
        <w:tc>
          <w:tcPr>
            <w:tcW w:w="4801" w:type="dxa"/>
            <w:shd w:val="clear" w:color="auto" w:fill="D9E2F3"/>
          </w:tcPr>
          <w:p w14:paraId="3D37E30B" w14:textId="77777777" w:rsidR="00F40DF9" w:rsidRPr="00F40DF9" w:rsidRDefault="00F40DF9" w:rsidP="00113F4C">
            <w:pPr>
              <w:rPr>
                <w:rFonts w:ascii="Times New Roman" w:hAnsi="Times New Roman"/>
              </w:rPr>
            </w:pPr>
            <w:r w:rsidRPr="00F40DF9">
              <w:rPr>
                <w:rFonts w:ascii="Times New Roman" w:hAnsi="Times New Roman"/>
                <w:b/>
                <w:sz w:val="18"/>
              </w:rPr>
              <w:t>TARGET DATE</w:t>
            </w:r>
          </w:p>
        </w:tc>
      </w:tr>
      <w:tr w:rsidR="00F40DF9" w:rsidRPr="00F40DF9" w14:paraId="2FA281D6" w14:textId="77777777" w:rsidTr="00113F4C">
        <w:trPr>
          <w:jc w:val="center"/>
        </w:trPr>
        <w:tc>
          <w:tcPr>
            <w:tcW w:w="4801" w:type="dxa"/>
            <w:vAlign w:val="center"/>
          </w:tcPr>
          <w:p w14:paraId="46FCBED4" w14:textId="77777777" w:rsidR="00F40DF9" w:rsidRPr="00F40DF9" w:rsidRDefault="00F40DF9" w:rsidP="00113F4C">
            <w:pPr>
              <w:rPr>
                <w:rFonts w:ascii="Times New Roman" w:hAnsi="Times New Roman"/>
              </w:rPr>
            </w:pPr>
            <w:r w:rsidRPr="00F40DF9">
              <w:rPr>
                <w:rFonts w:ascii="Times New Roman" w:hAnsi="Times New Roman"/>
                <w:sz w:val="18"/>
              </w:rPr>
              <w:t>Approval of project parameters/terms and conditions by the appropriate approving body</w:t>
            </w:r>
          </w:p>
        </w:tc>
        <w:tc>
          <w:tcPr>
            <w:tcW w:w="4801" w:type="dxa"/>
            <w:vAlign w:val="center"/>
          </w:tcPr>
          <w:p w14:paraId="69319EB5" w14:textId="77777777" w:rsidR="00F40DF9" w:rsidRPr="00F40DF9" w:rsidRDefault="00F40DF9" w:rsidP="00113F4C">
            <w:pPr>
              <w:rPr>
                <w:rFonts w:ascii="Times New Roman" w:hAnsi="Times New Roman"/>
              </w:rPr>
            </w:pPr>
            <w:r w:rsidRPr="00F40DF9">
              <w:rPr>
                <w:rFonts w:ascii="Times New Roman" w:hAnsi="Times New Roman"/>
                <w:sz w:val="18"/>
              </w:rPr>
              <w:t>To be determined</w:t>
            </w:r>
          </w:p>
        </w:tc>
      </w:tr>
      <w:tr w:rsidR="00F40DF9" w:rsidRPr="00F40DF9" w14:paraId="6C8B063B" w14:textId="77777777" w:rsidTr="00113F4C">
        <w:trPr>
          <w:jc w:val="center"/>
        </w:trPr>
        <w:tc>
          <w:tcPr>
            <w:tcW w:w="4801" w:type="dxa"/>
            <w:vAlign w:val="center"/>
          </w:tcPr>
          <w:p w14:paraId="085BC0CB" w14:textId="77777777" w:rsidR="00F40DF9" w:rsidRPr="00F40DF9" w:rsidRDefault="00F40DF9" w:rsidP="00113F4C">
            <w:pPr>
              <w:rPr>
                <w:rFonts w:ascii="Times New Roman" w:hAnsi="Times New Roman"/>
              </w:rPr>
            </w:pPr>
            <w:r w:rsidRPr="00F40DF9">
              <w:rPr>
                <w:rFonts w:ascii="Times New Roman" w:hAnsi="Times New Roman"/>
                <w:sz w:val="18"/>
              </w:rPr>
              <w:t>Issuance of procurement/solicitation documents</w:t>
            </w:r>
          </w:p>
        </w:tc>
        <w:tc>
          <w:tcPr>
            <w:tcW w:w="4801" w:type="dxa"/>
            <w:vAlign w:val="center"/>
          </w:tcPr>
          <w:p w14:paraId="42FFDB40" w14:textId="77777777" w:rsidR="00F40DF9" w:rsidRPr="00F40DF9" w:rsidRDefault="00F40DF9" w:rsidP="00113F4C">
            <w:pPr>
              <w:rPr>
                <w:rFonts w:ascii="Times New Roman" w:hAnsi="Times New Roman"/>
              </w:rPr>
            </w:pPr>
            <w:r w:rsidRPr="00F40DF9">
              <w:rPr>
                <w:rFonts w:ascii="Times New Roman" w:hAnsi="Times New Roman"/>
                <w:sz w:val="18"/>
              </w:rPr>
              <w:t>To be determined</w:t>
            </w:r>
          </w:p>
        </w:tc>
      </w:tr>
      <w:tr w:rsidR="00F40DF9" w:rsidRPr="00F40DF9" w14:paraId="425CE4AD" w14:textId="77777777" w:rsidTr="00113F4C">
        <w:trPr>
          <w:jc w:val="center"/>
        </w:trPr>
        <w:tc>
          <w:tcPr>
            <w:tcW w:w="4801" w:type="dxa"/>
            <w:vAlign w:val="center"/>
          </w:tcPr>
          <w:p w14:paraId="2C7AF96D" w14:textId="77777777" w:rsidR="00F40DF9" w:rsidRPr="00F40DF9" w:rsidRDefault="00F40DF9" w:rsidP="00113F4C">
            <w:pPr>
              <w:rPr>
                <w:rFonts w:ascii="Times New Roman" w:hAnsi="Times New Roman"/>
              </w:rPr>
            </w:pPr>
            <w:r w:rsidRPr="00F40DF9">
              <w:rPr>
                <w:rFonts w:ascii="Times New Roman" w:hAnsi="Times New Roman"/>
                <w:sz w:val="18"/>
              </w:rPr>
              <w:t>Submission and evaluation of bids/proposals</w:t>
            </w:r>
          </w:p>
        </w:tc>
        <w:tc>
          <w:tcPr>
            <w:tcW w:w="4801" w:type="dxa"/>
            <w:vAlign w:val="center"/>
          </w:tcPr>
          <w:p w14:paraId="04BF84F9" w14:textId="77777777" w:rsidR="00F40DF9" w:rsidRPr="00F40DF9" w:rsidRDefault="00F40DF9" w:rsidP="00113F4C">
            <w:pPr>
              <w:rPr>
                <w:rFonts w:ascii="Times New Roman" w:hAnsi="Times New Roman"/>
              </w:rPr>
            </w:pPr>
            <w:r w:rsidRPr="00F40DF9">
              <w:rPr>
                <w:rFonts w:ascii="Times New Roman" w:hAnsi="Times New Roman"/>
                <w:sz w:val="18"/>
              </w:rPr>
              <w:t>To be determined</w:t>
            </w:r>
          </w:p>
        </w:tc>
      </w:tr>
      <w:tr w:rsidR="00F40DF9" w:rsidRPr="00F40DF9" w14:paraId="0211472A" w14:textId="77777777" w:rsidTr="00113F4C">
        <w:trPr>
          <w:jc w:val="center"/>
        </w:trPr>
        <w:tc>
          <w:tcPr>
            <w:tcW w:w="4801" w:type="dxa"/>
            <w:vAlign w:val="center"/>
          </w:tcPr>
          <w:p w14:paraId="00BD9EBD" w14:textId="77777777" w:rsidR="00F40DF9" w:rsidRPr="00F40DF9" w:rsidRDefault="00F40DF9" w:rsidP="00113F4C">
            <w:pPr>
              <w:rPr>
                <w:rFonts w:ascii="Times New Roman" w:hAnsi="Times New Roman"/>
              </w:rPr>
            </w:pPr>
            <w:r w:rsidRPr="00F40DF9">
              <w:rPr>
                <w:rFonts w:ascii="Times New Roman" w:hAnsi="Times New Roman"/>
                <w:sz w:val="18"/>
              </w:rPr>
              <w:t>Selection/award of private partner</w:t>
            </w:r>
          </w:p>
        </w:tc>
        <w:tc>
          <w:tcPr>
            <w:tcW w:w="4801" w:type="dxa"/>
            <w:vAlign w:val="center"/>
          </w:tcPr>
          <w:p w14:paraId="057F5CA1" w14:textId="77777777" w:rsidR="00F40DF9" w:rsidRPr="00F40DF9" w:rsidRDefault="00F40DF9" w:rsidP="00113F4C">
            <w:pPr>
              <w:rPr>
                <w:rFonts w:ascii="Times New Roman" w:hAnsi="Times New Roman"/>
              </w:rPr>
            </w:pPr>
            <w:r w:rsidRPr="00F40DF9">
              <w:rPr>
                <w:rFonts w:ascii="Times New Roman" w:hAnsi="Times New Roman"/>
                <w:sz w:val="18"/>
              </w:rPr>
              <w:t>To be determined</w:t>
            </w:r>
          </w:p>
        </w:tc>
      </w:tr>
      <w:tr w:rsidR="00F40DF9" w:rsidRPr="00F40DF9" w14:paraId="7C03B591" w14:textId="77777777" w:rsidTr="00113F4C">
        <w:trPr>
          <w:jc w:val="center"/>
        </w:trPr>
        <w:tc>
          <w:tcPr>
            <w:tcW w:w="4801" w:type="dxa"/>
            <w:vAlign w:val="center"/>
          </w:tcPr>
          <w:p w14:paraId="6BE3B77B" w14:textId="77777777" w:rsidR="00F40DF9" w:rsidRPr="00F40DF9" w:rsidRDefault="00F40DF9" w:rsidP="00113F4C">
            <w:pPr>
              <w:rPr>
                <w:rFonts w:ascii="Times New Roman" w:hAnsi="Times New Roman"/>
              </w:rPr>
            </w:pPr>
            <w:r w:rsidRPr="00F40DF9">
              <w:rPr>
                <w:rFonts w:ascii="Times New Roman" w:hAnsi="Times New Roman"/>
                <w:sz w:val="18"/>
              </w:rPr>
              <w:t>Contract signing and satisfaction of conditions precedent</w:t>
            </w:r>
          </w:p>
        </w:tc>
        <w:tc>
          <w:tcPr>
            <w:tcW w:w="4801" w:type="dxa"/>
            <w:vAlign w:val="center"/>
          </w:tcPr>
          <w:p w14:paraId="1A02E479" w14:textId="77777777" w:rsidR="00F40DF9" w:rsidRPr="00F40DF9" w:rsidRDefault="00F40DF9" w:rsidP="00113F4C">
            <w:pPr>
              <w:rPr>
                <w:rFonts w:ascii="Times New Roman" w:hAnsi="Times New Roman"/>
              </w:rPr>
            </w:pPr>
            <w:r w:rsidRPr="00F40DF9">
              <w:rPr>
                <w:rFonts w:ascii="Times New Roman" w:hAnsi="Times New Roman"/>
                <w:sz w:val="18"/>
              </w:rPr>
              <w:t>To be determined</w:t>
            </w:r>
          </w:p>
        </w:tc>
      </w:tr>
      <w:tr w:rsidR="00F40DF9" w:rsidRPr="00F40DF9" w14:paraId="0F66039F" w14:textId="77777777" w:rsidTr="00113F4C">
        <w:trPr>
          <w:jc w:val="center"/>
        </w:trPr>
        <w:tc>
          <w:tcPr>
            <w:tcW w:w="4801" w:type="dxa"/>
            <w:vAlign w:val="center"/>
          </w:tcPr>
          <w:p w14:paraId="3559840C" w14:textId="77777777" w:rsidR="00F40DF9" w:rsidRPr="00F40DF9" w:rsidRDefault="00F40DF9" w:rsidP="00113F4C">
            <w:pPr>
              <w:rPr>
                <w:rFonts w:ascii="Times New Roman" w:hAnsi="Times New Roman"/>
              </w:rPr>
            </w:pPr>
            <w:r w:rsidRPr="00F40DF9">
              <w:rPr>
                <w:rFonts w:ascii="Times New Roman" w:hAnsi="Times New Roman"/>
                <w:sz w:val="18"/>
              </w:rPr>
              <w:t>Financial close</w:t>
            </w:r>
          </w:p>
        </w:tc>
        <w:tc>
          <w:tcPr>
            <w:tcW w:w="4801" w:type="dxa"/>
            <w:vAlign w:val="center"/>
          </w:tcPr>
          <w:p w14:paraId="462B8A50" w14:textId="77777777" w:rsidR="00F40DF9" w:rsidRPr="00F40DF9" w:rsidRDefault="00F40DF9" w:rsidP="00113F4C">
            <w:pPr>
              <w:rPr>
                <w:rFonts w:ascii="Times New Roman" w:hAnsi="Times New Roman"/>
              </w:rPr>
            </w:pPr>
            <w:r w:rsidRPr="00F40DF9">
              <w:rPr>
                <w:rFonts w:ascii="Times New Roman" w:hAnsi="Times New Roman"/>
                <w:sz w:val="18"/>
              </w:rPr>
              <w:t>Indicatively 2 months after award, subject to project structure</w:t>
            </w:r>
          </w:p>
        </w:tc>
      </w:tr>
      <w:tr w:rsidR="00F40DF9" w:rsidRPr="00F40DF9" w14:paraId="1FA55D1C" w14:textId="77777777" w:rsidTr="00113F4C">
        <w:trPr>
          <w:jc w:val="center"/>
        </w:trPr>
        <w:tc>
          <w:tcPr>
            <w:tcW w:w="4801" w:type="dxa"/>
            <w:vAlign w:val="center"/>
          </w:tcPr>
          <w:p w14:paraId="57A59518" w14:textId="77777777" w:rsidR="00F40DF9" w:rsidRPr="00F40DF9" w:rsidRDefault="00F40DF9" w:rsidP="00113F4C">
            <w:pPr>
              <w:rPr>
                <w:rFonts w:ascii="Times New Roman" w:hAnsi="Times New Roman"/>
              </w:rPr>
            </w:pPr>
            <w:r w:rsidRPr="00F40DF9">
              <w:rPr>
                <w:rFonts w:ascii="Times New Roman" w:hAnsi="Times New Roman"/>
                <w:sz w:val="18"/>
              </w:rPr>
              <w:t>Construction/rehabilitation and commissioning</w:t>
            </w:r>
          </w:p>
        </w:tc>
        <w:tc>
          <w:tcPr>
            <w:tcW w:w="4801" w:type="dxa"/>
            <w:vAlign w:val="center"/>
          </w:tcPr>
          <w:p w14:paraId="0655AB9D" w14:textId="77777777" w:rsidR="00F40DF9" w:rsidRPr="00F40DF9" w:rsidRDefault="00F40DF9" w:rsidP="00113F4C">
            <w:pPr>
              <w:rPr>
                <w:rFonts w:ascii="Times New Roman" w:hAnsi="Times New Roman"/>
              </w:rPr>
            </w:pPr>
            <w:r w:rsidRPr="00F40DF9">
              <w:rPr>
                <w:rFonts w:ascii="Times New Roman" w:hAnsi="Times New Roman"/>
                <w:sz w:val="18"/>
              </w:rPr>
              <w:t>Indicatively 18–24 months</w:t>
            </w:r>
          </w:p>
        </w:tc>
      </w:tr>
    </w:tbl>
    <w:p w14:paraId="25F1C20E" w14:textId="77777777" w:rsidR="00F40DF9" w:rsidRPr="00F40DF9" w:rsidRDefault="00F40DF9" w:rsidP="00F40DF9">
      <w:pPr>
        <w:spacing w:after="20" w:line="252" w:lineRule="auto"/>
        <w:rPr>
          <w:rFonts w:ascii="Times New Roman" w:hAnsi="Times New Roman"/>
        </w:rPr>
      </w:pPr>
    </w:p>
    <w:p w14:paraId="46AE667B" w14:textId="77777777" w:rsidR="00F40DF9" w:rsidRPr="00F40DF9" w:rsidRDefault="00F40DF9" w:rsidP="00F40DF9">
      <w:pPr>
        <w:spacing w:after="100" w:line="252" w:lineRule="auto"/>
        <w:rPr>
          <w:rFonts w:ascii="Times New Roman" w:hAnsi="Times New Roman"/>
        </w:rPr>
      </w:pPr>
      <w:r w:rsidRPr="00F40DF9">
        <w:rPr>
          <w:rFonts w:ascii="Times New Roman" w:hAnsi="Times New Roman"/>
        </w:rPr>
        <w:lastRenderedPageBreak/>
        <w:t>*The project has not yet reached the approval and bidding phase. No Instructions to Prospective Bidders, bid documents, financial close or construction activities under the proposed PPP have been issued/undertaken based on the documents provided.</w:t>
      </w:r>
    </w:p>
    <w:p w14:paraId="2B9E5CE5"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Support Requirements (applicable to projects that would require PDMF Support)</w:t>
      </w:r>
    </w:p>
    <w:p w14:paraId="755E795B" w14:textId="77777777" w:rsidR="00F40DF9" w:rsidRPr="00F40DF9" w:rsidRDefault="00F40DF9" w:rsidP="00F40DF9">
      <w:pPr>
        <w:spacing w:before="160" w:after="80"/>
        <w:rPr>
          <w:rFonts w:ascii="Times New Roman" w:hAnsi="Times New Roman"/>
        </w:rPr>
      </w:pPr>
      <w:r w:rsidRPr="00F40DF9">
        <w:rPr>
          <w:rFonts w:ascii="Times New Roman" w:hAnsi="Times New Roman"/>
          <w:b/>
        </w:rPr>
        <w:t>1. Major Outputs</w:t>
      </w:r>
    </w:p>
    <w:tbl>
      <w:tblPr>
        <w:tblStyle w:val="TableGrid"/>
        <w:tblW w:w="0" w:type="auto"/>
        <w:jc w:val="center"/>
        <w:tblLook w:val="04A0" w:firstRow="1" w:lastRow="0" w:firstColumn="1" w:lastColumn="0" w:noHBand="0" w:noVBand="1"/>
      </w:tblPr>
      <w:tblGrid>
        <w:gridCol w:w="4485"/>
        <w:gridCol w:w="4531"/>
      </w:tblGrid>
      <w:tr w:rsidR="00F40DF9" w:rsidRPr="00F40DF9" w14:paraId="48961E34" w14:textId="77777777" w:rsidTr="00113F4C">
        <w:trPr>
          <w:jc w:val="center"/>
        </w:trPr>
        <w:tc>
          <w:tcPr>
            <w:tcW w:w="4801" w:type="dxa"/>
            <w:shd w:val="clear" w:color="auto" w:fill="D9E2F3"/>
          </w:tcPr>
          <w:p w14:paraId="446292CB" w14:textId="77777777" w:rsidR="00F40DF9" w:rsidRPr="00F40DF9" w:rsidRDefault="00F40DF9" w:rsidP="00113F4C">
            <w:pPr>
              <w:rPr>
                <w:rFonts w:ascii="Times New Roman" w:hAnsi="Times New Roman"/>
              </w:rPr>
            </w:pPr>
            <w:r w:rsidRPr="00F40DF9">
              <w:rPr>
                <w:rFonts w:ascii="Times New Roman" w:hAnsi="Times New Roman"/>
                <w:b/>
                <w:sz w:val="18"/>
              </w:rPr>
              <w:t>Major Output</w:t>
            </w:r>
          </w:p>
        </w:tc>
        <w:tc>
          <w:tcPr>
            <w:tcW w:w="4801" w:type="dxa"/>
            <w:shd w:val="clear" w:color="auto" w:fill="D9E2F3"/>
          </w:tcPr>
          <w:p w14:paraId="14A63D9B" w14:textId="77777777" w:rsidR="00F40DF9" w:rsidRPr="00F40DF9" w:rsidRDefault="00F40DF9" w:rsidP="00113F4C">
            <w:pPr>
              <w:rPr>
                <w:rFonts w:ascii="Times New Roman" w:hAnsi="Times New Roman"/>
              </w:rPr>
            </w:pPr>
            <w:r w:rsidRPr="00F40DF9">
              <w:rPr>
                <w:rFonts w:ascii="Times New Roman" w:hAnsi="Times New Roman"/>
                <w:b/>
                <w:sz w:val="18"/>
              </w:rPr>
              <w:t>Brief Description</w:t>
            </w:r>
          </w:p>
        </w:tc>
      </w:tr>
      <w:tr w:rsidR="00F40DF9" w:rsidRPr="00F40DF9" w14:paraId="7D16B999" w14:textId="77777777" w:rsidTr="00113F4C">
        <w:trPr>
          <w:jc w:val="center"/>
        </w:trPr>
        <w:tc>
          <w:tcPr>
            <w:tcW w:w="4801" w:type="dxa"/>
            <w:vAlign w:val="center"/>
          </w:tcPr>
          <w:p w14:paraId="421181E3" w14:textId="77777777" w:rsidR="00F40DF9" w:rsidRPr="00F40DF9" w:rsidRDefault="00F40DF9" w:rsidP="00113F4C">
            <w:pPr>
              <w:rPr>
                <w:rFonts w:ascii="Times New Roman" w:hAnsi="Times New Roman"/>
              </w:rPr>
            </w:pPr>
            <w:r w:rsidRPr="00F40DF9">
              <w:rPr>
                <w:rFonts w:ascii="Times New Roman" w:hAnsi="Times New Roman"/>
                <w:sz w:val="18"/>
              </w:rPr>
              <w:t>Feasibility Study</w:t>
            </w:r>
          </w:p>
        </w:tc>
        <w:tc>
          <w:tcPr>
            <w:tcW w:w="4801" w:type="dxa"/>
            <w:vAlign w:val="center"/>
          </w:tcPr>
          <w:p w14:paraId="34B0C8DE" w14:textId="77777777" w:rsidR="00F40DF9" w:rsidRPr="00F40DF9" w:rsidRDefault="00F40DF9" w:rsidP="00113F4C">
            <w:pPr>
              <w:rPr>
                <w:rFonts w:ascii="Times New Roman" w:hAnsi="Times New Roman"/>
              </w:rPr>
            </w:pPr>
            <w:r w:rsidRPr="00F40DF9">
              <w:rPr>
                <w:rFonts w:ascii="Times New Roman" w:hAnsi="Times New Roman"/>
                <w:sz w:val="18"/>
              </w:rPr>
              <w:t>Comprehensive technical, demand/market, financial, economic, legal, environmental, social, institutional and PPP viability assessment.</w:t>
            </w:r>
          </w:p>
        </w:tc>
      </w:tr>
      <w:tr w:rsidR="00F40DF9" w:rsidRPr="00F40DF9" w14:paraId="5077A0FB" w14:textId="77777777" w:rsidTr="00113F4C">
        <w:trPr>
          <w:jc w:val="center"/>
        </w:trPr>
        <w:tc>
          <w:tcPr>
            <w:tcW w:w="4801" w:type="dxa"/>
            <w:vAlign w:val="center"/>
          </w:tcPr>
          <w:p w14:paraId="6BDB1153" w14:textId="77777777" w:rsidR="00F40DF9" w:rsidRPr="00F40DF9" w:rsidRDefault="00F40DF9" w:rsidP="00113F4C">
            <w:pPr>
              <w:rPr>
                <w:rFonts w:ascii="Times New Roman" w:hAnsi="Times New Roman"/>
              </w:rPr>
            </w:pPr>
            <w:r w:rsidRPr="00F40DF9">
              <w:rPr>
                <w:rFonts w:ascii="Times New Roman" w:hAnsi="Times New Roman"/>
                <w:sz w:val="18"/>
              </w:rPr>
              <w:t>Technical and Engineering Assessment</w:t>
            </w:r>
          </w:p>
        </w:tc>
        <w:tc>
          <w:tcPr>
            <w:tcW w:w="4801" w:type="dxa"/>
            <w:vAlign w:val="center"/>
          </w:tcPr>
          <w:p w14:paraId="4E3488F9" w14:textId="77777777" w:rsidR="00F40DF9" w:rsidRPr="00F40DF9" w:rsidRDefault="00F40DF9" w:rsidP="00113F4C">
            <w:pPr>
              <w:rPr>
                <w:rFonts w:ascii="Times New Roman" w:hAnsi="Times New Roman"/>
              </w:rPr>
            </w:pPr>
            <w:r w:rsidRPr="00F40DF9">
              <w:rPr>
                <w:rFonts w:ascii="Times New Roman" w:hAnsi="Times New Roman"/>
                <w:sz w:val="18"/>
              </w:rPr>
              <w:t>Condition assessment of existing facilities; site, structural, civil, electrical, mechanical, drainage, water/sanitation and sports-facility requirements; preliminary engineering design; capital and lifecycle cost estimates.</w:t>
            </w:r>
          </w:p>
        </w:tc>
      </w:tr>
      <w:tr w:rsidR="00F40DF9" w:rsidRPr="00F40DF9" w14:paraId="7DDFDED3" w14:textId="77777777" w:rsidTr="00113F4C">
        <w:trPr>
          <w:jc w:val="center"/>
        </w:trPr>
        <w:tc>
          <w:tcPr>
            <w:tcW w:w="4801" w:type="dxa"/>
            <w:vAlign w:val="center"/>
          </w:tcPr>
          <w:p w14:paraId="1867A5F0" w14:textId="77777777" w:rsidR="00F40DF9" w:rsidRPr="00F40DF9" w:rsidRDefault="00F40DF9" w:rsidP="00113F4C">
            <w:pPr>
              <w:rPr>
                <w:rFonts w:ascii="Times New Roman" w:hAnsi="Times New Roman"/>
              </w:rPr>
            </w:pPr>
            <w:r w:rsidRPr="00F40DF9">
              <w:rPr>
                <w:rFonts w:ascii="Times New Roman" w:hAnsi="Times New Roman"/>
                <w:sz w:val="18"/>
              </w:rPr>
              <w:t>Demand and Market Study</w:t>
            </w:r>
          </w:p>
        </w:tc>
        <w:tc>
          <w:tcPr>
            <w:tcW w:w="4801" w:type="dxa"/>
            <w:vAlign w:val="center"/>
          </w:tcPr>
          <w:p w14:paraId="5B55991D" w14:textId="77777777" w:rsidR="00F40DF9" w:rsidRPr="00F40DF9" w:rsidRDefault="00F40DF9" w:rsidP="00113F4C">
            <w:pPr>
              <w:rPr>
                <w:rFonts w:ascii="Times New Roman" w:hAnsi="Times New Roman"/>
              </w:rPr>
            </w:pPr>
            <w:r w:rsidRPr="00F40DF9">
              <w:rPr>
                <w:rFonts w:ascii="Times New Roman" w:hAnsi="Times New Roman"/>
                <w:sz w:val="18"/>
              </w:rPr>
              <w:t>Assessment of current and projected demand for sports, events, training, recreation, commercial and ancillary services, including benchmarking of comparable facilities.</w:t>
            </w:r>
          </w:p>
        </w:tc>
      </w:tr>
      <w:tr w:rsidR="00F40DF9" w:rsidRPr="00F40DF9" w14:paraId="7BC00FCF" w14:textId="77777777" w:rsidTr="00113F4C">
        <w:trPr>
          <w:jc w:val="center"/>
        </w:trPr>
        <w:tc>
          <w:tcPr>
            <w:tcW w:w="4801" w:type="dxa"/>
            <w:vAlign w:val="center"/>
          </w:tcPr>
          <w:p w14:paraId="10743712" w14:textId="77777777" w:rsidR="00F40DF9" w:rsidRPr="00F40DF9" w:rsidRDefault="00F40DF9" w:rsidP="00113F4C">
            <w:pPr>
              <w:rPr>
                <w:rFonts w:ascii="Times New Roman" w:hAnsi="Times New Roman"/>
              </w:rPr>
            </w:pPr>
            <w:r w:rsidRPr="00F40DF9">
              <w:rPr>
                <w:rFonts w:ascii="Times New Roman" w:hAnsi="Times New Roman"/>
                <w:sz w:val="18"/>
              </w:rPr>
              <w:t>Financial Model and Financial Viability Analysis</w:t>
            </w:r>
          </w:p>
        </w:tc>
        <w:tc>
          <w:tcPr>
            <w:tcW w:w="4801" w:type="dxa"/>
            <w:vAlign w:val="center"/>
          </w:tcPr>
          <w:p w14:paraId="55716F1A" w14:textId="77777777" w:rsidR="00F40DF9" w:rsidRPr="00F40DF9" w:rsidRDefault="00F40DF9" w:rsidP="00113F4C">
            <w:pPr>
              <w:rPr>
                <w:rFonts w:ascii="Times New Roman" w:hAnsi="Times New Roman"/>
              </w:rPr>
            </w:pPr>
            <w:r w:rsidRPr="00F40DF9">
              <w:rPr>
                <w:rFonts w:ascii="Times New Roman" w:hAnsi="Times New Roman"/>
                <w:sz w:val="18"/>
              </w:rPr>
              <w:t>Project investment requirements, operating costs, revenue projections, financing structure, affordability, financial returns and sensitivity/scenario analysis.</w:t>
            </w:r>
          </w:p>
        </w:tc>
      </w:tr>
      <w:tr w:rsidR="00F40DF9" w:rsidRPr="00F40DF9" w14:paraId="608E2834" w14:textId="77777777" w:rsidTr="00113F4C">
        <w:trPr>
          <w:jc w:val="center"/>
        </w:trPr>
        <w:tc>
          <w:tcPr>
            <w:tcW w:w="4801" w:type="dxa"/>
            <w:vAlign w:val="center"/>
          </w:tcPr>
          <w:p w14:paraId="122B7076" w14:textId="77777777" w:rsidR="00F40DF9" w:rsidRPr="00F40DF9" w:rsidRDefault="00F40DF9" w:rsidP="00113F4C">
            <w:pPr>
              <w:rPr>
                <w:rFonts w:ascii="Times New Roman" w:hAnsi="Times New Roman"/>
              </w:rPr>
            </w:pPr>
            <w:r w:rsidRPr="00F40DF9">
              <w:rPr>
                <w:rFonts w:ascii="Times New Roman" w:hAnsi="Times New Roman"/>
                <w:sz w:val="18"/>
              </w:rPr>
              <w:t>Economic and Value-for-Money Analysis</w:t>
            </w:r>
          </w:p>
        </w:tc>
        <w:tc>
          <w:tcPr>
            <w:tcW w:w="4801" w:type="dxa"/>
            <w:vAlign w:val="center"/>
          </w:tcPr>
          <w:p w14:paraId="278626E0" w14:textId="77777777" w:rsidR="00F40DF9" w:rsidRPr="00F40DF9" w:rsidRDefault="00F40DF9" w:rsidP="00113F4C">
            <w:pPr>
              <w:rPr>
                <w:rFonts w:ascii="Times New Roman" w:hAnsi="Times New Roman"/>
              </w:rPr>
            </w:pPr>
            <w:r w:rsidRPr="00F40DF9">
              <w:rPr>
                <w:rFonts w:ascii="Times New Roman" w:hAnsi="Times New Roman"/>
                <w:sz w:val="18"/>
              </w:rPr>
              <w:t>Assessment of economic benefits, costs, value for money and suitability of PPP delivery compared with conventional public procurement.</w:t>
            </w:r>
          </w:p>
        </w:tc>
      </w:tr>
      <w:tr w:rsidR="00F40DF9" w:rsidRPr="00F40DF9" w14:paraId="255133A6" w14:textId="77777777" w:rsidTr="00113F4C">
        <w:trPr>
          <w:jc w:val="center"/>
        </w:trPr>
        <w:tc>
          <w:tcPr>
            <w:tcW w:w="4801" w:type="dxa"/>
            <w:vAlign w:val="center"/>
          </w:tcPr>
          <w:p w14:paraId="48A94202" w14:textId="77777777" w:rsidR="00F40DF9" w:rsidRPr="00F40DF9" w:rsidRDefault="00F40DF9" w:rsidP="00113F4C">
            <w:pPr>
              <w:rPr>
                <w:rFonts w:ascii="Times New Roman" w:hAnsi="Times New Roman"/>
              </w:rPr>
            </w:pPr>
            <w:r w:rsidRPr="00F40DF9">
              <w:rPr>
                <w:rFonts w:ascii="Times New Roman" w:hAnsi="Times New Roman"/>
                <w:sz w:val="18"/>
              </w:rPr>
              <w:t>PPP Structuring and Risk Allocation</w:t>
            </w:r>
          </w:p>
        </w:tc>
        <w:tc>
          <w:tcPr>
            <w:tcW w:w="4801" w:type="dxa"/>
            <w:vAlign w:val="center"/>
          </w:tcPr>
          <w:p w14:paraId="20562EE1" w14:textId="77777777" w:rsidR="00F40DF9" w:rsidRPr="00F40DF9" w:rsidRDefault="00F40DF9" w:rsidP="00113F4C">
            <w:pPr>
              <w:rPr>
                <w:rFonts w:ascii="Times New Roman" w:hAnsi="Times New Roman"/>
              </w:rPr>
            </w:pPr>
            <w:r w:rsidRPr="00F40DF9">
              <w:rPr>
                <w:rFonts w:ascii="Times New Roman" w:hAnsi="Times New Roman"/>
                <w:sz w:val="18"/>
              </w:rPr>
              <w:t>Assessment of alternative PPP modalities, proposed contractual structure, revenue/payment mechanism, government support, performance standards and risk allocation.</w:t>
            </w:r>
          </w:p>
        </w:tc>
      </w:tr>
      <w:tr w:rsidR="00F40DF9" w:rsidRPr="00F40DF9" w14:paraId="125FEB8F" w14:textId="77777777" w:rsidTr="00113F4C">
        <w:trPr>
          <w:jc w:val="center"/>
        </w:trPr>
        <w:tc>
          <w:tcPr>
            <w:tcW w:w="4801" w:type="dxa"/>
            <w:vAlign w:val="center"/>
          </w:tcPr>
          <w:p w14:paraId="37372CD7" w14:textId="77777777" w:rsidR="00F40DF9" w:rsidRPr="00F40DF9" w:rsidRDefault="00F40DF9" w:rsidP="00113F4C">
            <w:pPr>
              <w:rPr>
                <w:rFonts w:ascii="Times New Roman" w:hAnsi="Times New Roman"/>
              </w:rPr>
            </w:pPr>
            <w:r w:rsidRPr="00F40DF9">
              <w:rPr>
                <w:rFonts w:ascii="Times New Roman" w:hAnsi="Times New Roman"/>
                <w:sz w:val="18"/>
              </w:rPr>
              <w:t>Legal and Institutional Assessment</w:t>
            </w:r>
          </w:p>
        </w:tc>
        <w:tc>
          <w:tcPr>
            <w:tcW w:w="4801" w:type="dxa"/>
            <w:vAlign w:val="center"/>
          </w:tcPr>
          <w:p w14:paraId="5ABFFD29" w14:textId="77777777" w:rsidR="00F40DF9" w:rsidRPr="00F40DF9" w:rsidRDefault="00F40DF9" w:rsidP="00113F4C">
            <w:pPr>
              <w:rPr>
                <w:rFonts w:ascii="Times New Roman" w:hAnsi="Times New Roman"/>
              </w:rPr>
            </w:pPr>
            <w:r w:rsidRPr="00F40DF9">
              <w:rPr>
                <w:rFonts w:ascii="Times New Roman" w:hAnsi="Times New Roman"/>
                <w:sz w:val="18"/>
              </w:rPr>
              <w:t>Review of legal authority, land/site arrangements, institutional responsibilities, permits, approvals and PPP contractual requirements.</w:t>
            </w:r>
          </w:p>
        </w:tc>
      </w:tr>
      <w:tr w:rsidR="00F40DF9" w:rsidRPr="00F40DF9" w14:paraId="173F9C9E" w14:textId="77777777" w:rsidTr="00113F4C">
        <w:trPr>
          <w:jc w:val="center"/>
        </w:trPr>
        <w:tc>
          <w:tcPr>
            <w:tcW w:w="4801" w:type="dxa"/>
            <w:vAlign w:val="center"/>
          </w:tcPr>
          <w:p w14:paraId="04DC8261" w14:textId="77777777" w:rsidR="00F40DF9" w:rsidRPr="00F40DF9" w:rsidRDefault="00F40DF9" w:rsidP="00113F4C">
            <w:pPr>
              <w:rPr>
                <w:rFonts w:ascii="Times New Roman" w:hAnsi="Times New Roman"/>
              </w:rPr>
            </w:pPr>
            <w:r w:rsidRPr="00F40DF9">
              <w:rPr>
                <w:rFonts w:ascii="Times New Roman" w:hAnsi="Times New Roman"/>
                <w:sz w:val="18"/>
              </w:rPr>
              <w:t>Environmental, Social and Disaster-Resilience Assessment</w:t>
            </w:r>
          </w:p>
        </w:tc>
        <w:tc>
          <w:tcPr>
            <w:tcW w:w="4801" w:type="dxa"/>
            <w:vAlign w:val="center"/>
          </w:tcPr>
          <w:p w14:paraId="1A8263E9" w14:textId="77777777" w:rsidR="00F40DF9" w:rsidRPr="00F40DF9" w:rsidRDefault="00F40DF9" w:rsidP="00113F4C">
            <w:pPr>
              <w:rPr>
                <w:rFonts w:ascii="Times New Roman" w:hAnsi="Times New Roman"/>
              </w:rPr>
            </w:pPr>
            <w:r w:rsidRPr="00F40DF9">
              <w:rPr>
                <w:rFonts w:ascii="Times New Roman" w:hAnsi="Times New Roman"/>
                <w:sz w:val="18"/>
              </w:rPr>
              <w:t>Assessment of environmental and social requirements, climate and disaster risks, emergency/evacuation functions and resilience measures.</w:t>
            </w:r>
          </w:p>
        </w:tc>
      </w:tr>
      <w:tr w:rsidR="00F40DF9" w:rsidRPr="00F40DF9" w14:paraId="1D47B18F" w14:textId="77777777" w:rsidTr="00113F4C">
        <w:trPr>
          <w:jc w:val="center"/>
        </w:trPr>
        <w:tc>
          <w:tcPr>
            <w:tcW w:w="4801" w:type="dxa"/>
            <w:vAlign w:val="center"/>
          </w:tcPr>
          <w:p w14:paraId="7E680AFF" w14:textId="77777777" w:rsidR="00F40DF9" w:rsidRPr="00F40DF9" w:rsidRDefault="00F40DF9" w:rsidP="00113F4C">
            <w:pPr>
              <w:rPr>
                <w:rFonts w:ascii="Times New Roman" w:hAnsi="Times New Roman"/>
              </w:rPr>
            </w:pPr>
            <w:r w:rsidRPr="00F40DF9">
              <w:rPr>
                <w:rFonts w:ascii="Times New Roman" w:hAnsi="Times New Roman"/>
                <w:sz w:val="18"/>
              </w:rPr>
              <w:t>Draft PPP Contract and Procurement Documents</w:t>
            </w:r>
          </w:p>
        </w:tc>
        <w:tc>
          <w:tcPr>
            <w:tcW w:w="4801" w:type="dxa"/>
            <w:vAlign w:val="center"/>
          </w:tcPr>
          <w:p w14:paraId="787AE247" w14:textId="77777777" w:rsidR="00F40DF9" w:rsidRPr="00F40DF9" w:rsidRDefault="00F40DF9" w:rsidP="00113F4C">
            <w:pPr>
              <w:rPr>
                <w:rFonts w:ascii="Times New Roman" w:hAnsi="Times New Roman"/>
              </w:rPr>
            </w:pPr>
            <w:r w:rsidRPr="00F40DF9">
              <w:rPr>
                <w:rFonts w:ascii="Times New Roman" w:hAnsi="Times New Roman"/>
                <w:sz w:val="18"/>
              </w:rPr>
              <w:t>Preparation of proposed terms and conditions, performance requirements, draft agreement and appropriate bidding/procurement documents.</w:t>
            </w:r>
          </w:p>
        </w:tc>
      </w:tr>
      <w:tr w:rsidR="00F40DF9" w:rsidRPr="00F40DF9" w14:paraId="4CFA91D0" w14:textId="77777777" w:rsidTr="00113F4C">
        <w:trPr>
          <w:jc w:val="center"/>
        </w:trPr>
        <w:tc>
          <w:tcPr>
            <w:tcW w:w="4801" w:type="dxa"/>
            <w:vAlign w:val="center"/>
          </w:tcPr>
          <w:p w14:paraId="627386DA" w14:textId="77777777" w:rsidR="00F40DF9" w:rsidRPr="00F40DF9" w:rsidRDefault="00F40DF9" w:rsidP="00113F4C">
            <w:pPr>
              <w:rPr>
                <w:rFonts w:ascii="Times New Roman" w:hAnsi="Times New Roman"/>
              </w:rPr>
            </w:pPr>
            <w:r w:rsidRPr="00F40DF9">
              <w:rPr>
                <w:rFonts w:ascii="Times New Roman" w:hAnsi="Times New Roman"/>
                <w:sz w:val="18"/>
              </w:rPr>
              <w:t>Transaction Advisory and Market Sounding</w:t>
            </w:r>
          </w:p>
        </w:tc>
        <w:tc>
          <w:tcPr>
            <w:tcW w:w="4801" w:type="dxa"/>
            <w:vAlign w:val="center"/>
          </w:tcPr>
          <w:p w14:paraId="0509331D" w14:textId="77777777" w:rsidR="00F40DF9" w:rsidRPr="00F40DF9" w:rsidRDefault="00F40DF9" w:rsidP="00113F4C">
            <w:pPr>
              <w:rPr>
                <w:rFonts w:ascii="Times New Roman" w:hAnsi="Times New Roman"/>
              </w:rPr>
            </w:pPr>
            <w:r w:rsidRPr="00F40DF9">
              <w:rPr>
                <w:rFonts w:ascii="Times New Roman" w:hAnsi="Times New Roman"/>
                <w:sz w:val="18"/>
              </w:rPr>
              <w:t>Engagement with potential private partners, validation of commercial assumptions and support through applicable approval and procurement processes.</w:t>
            </w:r>
          </w:p>
        </w:tc>
      </w:tr>
    </w:tbl>
    <w:p w14:paraId="43B8ADD5" w14:textId="77777777" w:rsidR="00F40DF9" w:rsidRPr="00F40DF9" w:rsidRDefault="00F40DF9" w:rsidP="00F40DF9">
      <w:pPr>
        <w:spacing w:after="20" w:line="252" w:lineRule="auto"/>
        <w:rPr>
          <w:rFonts w:ascii="Times New Roman" w:hAnsi="Times New Roman"/>
        </w:rPr>
      </w:pPr>
    </w:p>
    <w:p w14:paraId="1EF192FB" w14:textId="77777777" w:rsidR="00F40DF9" w:rsidRPr="00F40DF9" w:rsidRDefault="00F40DF9" w:rsidP="00F40DF9">
      <w:pPr>
        <w:spacing w:before="160" w:after="80"/>
        <w:rPr>
          <w:rFonts w:ascii="Times New Roman" w:hAnsi="Times New Roman"/>
        </w:rPr>
      </w:pPr>
      <w:r w:rsidRPr="00F40DF9">
        <w:rPr>
          <w:rFonts w:ascii="Times New Roman" w:hAnsi="Times New Roman"/>
          <w:b/>
        </w:rPr>
        <w:t>2. Experts Required, Qualification, and Tasks</w:t>
      </w:r>
    </w:p>
    <w:p w14:paraId="34A06F6A"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PPP/Transaction Adviser</w:t>
      </w:r>
    </w:p>
    <w:p w14:paraId="09DF133F"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 xml:space="preserve">Qualification: Relevant degree in business, economics, finance, law, engineering, public policy or related field; preferably with PPP/project finance experience and experience in a </w:t>
      </w:r>
      <w:proofErr w:type="gramStart"/>
      <w:r w:rsidRPr="00F40DF9">
        <w:rPr>
          <w:rFonts w:ascii="Times New Roman" w:hAnsi="Times New Roman"/>
        </w:rPr>
        <w:t>comparable infrastructure PPP transactions</w:t>
      </w:r>
      <w:proofErr w:type="gramEnd"/>
      <w:r w:rsidRPr="00F40DF9">
        <w:rPr>
          <w:rFonts w:ascii="Times New Roman" w:hAnsi="Times New Roman"/>
        </w:rPr>
        <w:t>.</w:t>
      </w:r>
    </w:p>
    <w:p w14:paraId="4DF21447"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4–6 person-months</w:t>
      </w:r>
    </w:p>
    <w:p w14:paraId="5B00D111"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lastRenderedPageBreak/>
        <w:t>Tasks:</w:t>
      </w:r>
    </w:p>
    <w:p w14:paraId="49615AE2"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Lead PPP structuring, transaction strategy and feasibility study.</w:t>
      </w:r>
    </w:p>
    <w:p w14:paraId="36E8648C"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PPP modalities, commercial structure, revenue/payment mechanisms and government support.</w:t>
      </w:r>
    </w:p>
    <w:p w14:paraId="0C661D8A"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Lead market sounding and coordinate transaction documents and approval requirements.</w:t>
      </w:r>
    </w:p>
    <w:p w14:paraId="4487DFF8"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Sports Facility Planning and Design Specialist</w:t>
      </w:r>
    </w:p>
    <w:p w14:paraId="2BA806B6"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Licensed architect/engineer or equivalent sports facility professional with relevant experience and preferably sports facility projects.</w:t>
      </w:r>
    </w:p>
    <w:p w14:paraId="681630E2"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3–4 person-months</w:t>
      </w:r>
    </w:p>
    <w:p w14:paraId="365E33DB"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56F825A9"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existing sports facilities and develop rehabilitation/modernization requirements.</w:t>
      </w:r>
    </w:p>
    <w:p w14:paraId="08C99AB7"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Develop functional requirements and standards for track, football field, grandstand, indoor sports facilities and swimming pool.</w:t>
      </w:r>
    </w:p>
    <w:p w14:paraId="39411B8C"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Coordinate preliminary design, space planning and facility programming.</w:t>
      </w:r>
    </w:p>
    <w:p w14:paraId="11CAA520"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Civil/Structural Engineer</w:t>
      </w:r>
    </w:p>
    <w:p w14:paraId="262D793E"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 xml:space="preserve">Qualification: Licensed civil/structural engineer with </w:t>
      </w:r>
      <w:proofErr w:type="spellStart"/>
      <w:r w:rsidRPr="00F40DF9">
        <w:rPr>
          <w:rFonts w:ascii="Times New Roman" w:hAnsi="Times New Roman"/>
        </w:rPr>
        <w:t>arelevant</w:t>
      </w:r>
      <w:proofErr w:type="spellEnd"/>
      <w:r w:rsidRPr="00F40DF9">
        <w:rPr>
          <w:rFonts w:ascii="Times New Roman" w:hAnsi="Times New Roman"/>
        </w:rPr>
        <w:t xml:space="preserve"> experience in rehabilitation and construction of public buildings/sports facilities.</w:t>
      </w:r>
    </w:p>
    <w:p w14:paraId="39911757"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3 person-months</w:t>
      </w:r>
    </w:p>
    <w:p w14:paraId="0E3939F4"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4470F4D8"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Undertake structural and civil condition assessment.</w:t>
      </w:r>
    </w:p>
    <w:p w14:paraId="3C6DECF1"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Prepare rehabilitation concepts, site development, drainage and flood-control requirements.</w:t>
      </w:r>
    </w:p>
    <w:p w14:paraId="6027B7A9"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Support cost estimates, technical specifications and construction planning.</w:t>
      </w:r>
    </w:p>
    <w:p w14:paraId="6EBDADA0"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MEP/Utilities Engineer</w:t>
      </w:r>
    </w:p>
    <w:p w14:paraId="7DBACE27"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Licensed electrical/mechanical engineer with experience in complex public facilities.</w:t>
      </w:r>
    </w:p>
    <w:p w14:paraId="0283B844"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3 person-months</w:t>
      </w:r>
    </w:p>
    <w:p w14:paraId="1240B331"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572711E7"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electrical, lighting, water supply, sanitation, mechanical and fire-protection systems.</w:t>
      </w:r>
    </w:p>
    <w:p w14:paraId="10E6B71E"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Develop energy-efficiency, solar lighting/renewable-energy and utility-upgrade requirements.</w:t>
      </w:r>
    </w:p>
    <w:p w14:paraId="7E0BB876"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Prepare preliminary technical specifications and lifecycle cost inputs.</w:t>
      </w:r>
    </w:p>
    <w:p w14:paraId="22B07A69"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Sports Surface and Aquatics Specialist</w:t>
      </w:r>
    </w:p>
    <w:p w14:paraId="6754C537"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 xml:space="preserve">Qualification: Relevant professional with experience in athletic track, football/sports surfaces and swimming pool facilities; standards-compliant facility </w:t>
      </w:r>
      <w:proofErr w:type="gramStart"/>
      <w:r w:rsidRPr="00F40DF9">
        <w:rPr>
          <w:rFonts w:ascii="Times New Roman" w:hAnsi="Times New Roman"/>
        </w:rPr>
        <w:t>experience</w:t>
      </w:r>
      <w:proofErr w:type="gramEnd"/>
      <w:r w:rsidRPr="00F40DF9">
        <w:rPr>
          <w:rFonts w:ascii="Times New Roman" w:hAnsi="Times New Roman"/>
        </w:rPr>
        <w:t xml:space="preserve"> preferred.</w:t>
      </w:r>
    </w:p>
    <w:p w14:paraId="3A1EBC3A"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2 person-months</w:t>
      </w:r>
    </w:p>
    <w:p w14:paraId="4827D077"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3A754570"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sports surfaces and aquatic facilities.</w:t>
      </w:r>
    </w:p>
    <w:p w14:paraId="3FF5BC38"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Recommend materials, systems, equipment and maintenance requirements.</w:t>
      </w:r>
    </w:p>
    <w:p w14:paraId="514284B6"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Support technical specifications and lifecycle/O&amp;M requirements.</w:t>
      </w:r>
    </w:p>
    <w:p w14:paraId="7FEA282F"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Demand/Market and Commercial Development Specialist</w:t>
      </w:r>
    </w:p>
    <w:p w14:paraId="55148CC2"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Economics, business, marketing or related professional with experience in market/demand and commercial development.</w:t>
      </w:r>
    </w:p>
    <w:p w14:paraId="1068C7B8"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2–3 person-months</w:t>
      </w:r>
    </w:p>
    <w:p w14:paraId="1EC29E22"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2B395259"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user demand, event market, competing facilities and potential commercial uses.</w:t>
      </w:r>
    </w:p>
    <w:p w14:paraId="5118EB8F"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Develop revenue assumptions for rentals, events, concessions, advertising, parking, training and ancillary activities.</w:t>
      </w:r>
    </w:p>
    <w:p w14:paraId="4411B4E0"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lastRenderedPageBreak/>
        <w:t xml:space="preserve">• </w:t>
      </w:r>
      <w:r w:rsidRPr="00F40DF9">
        <w:rPr>
          <w:rFonts w:ascii="Times New Roman" w:hAnsi="Times New Roman"/>
        </w:rPr>
        <w:t>Support market sounding and commercial strategy.</w:t>
      </w:r>
    </w:p>
    <w:p w14:paraId="7654CCBD"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Financial/Project Finance Specialist</w:t>
      </w:r>
    </w:p>
    <w:p w14:paraId="2E3F66EC"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Finance, economics, accounting or related professional with project finance/financial modelling experience, preferably in PPPs.</w:t>
      </w:r>
    </w:p>
    <w:p w14:paraId="515C33BD"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3 person-months</w:t>
      </w:r>
    </w:p>
    <w:p w14:paraId="5939C8DA"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18DB4251"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Develop the project financial model and assess financial viability.</w:t>
      </w:r>
    </w:p>
    <w:p w14:paraId="2E8BDF37"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Analyze financing requirements, returns, sensitivity and affordability.</w:t>
      </w:r>
    </w:p>
    <w:p w14:paraId="46FF06E3"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Support appropriate financial structure and government support.</w:t>
      </w:r>
    </w:p>
    <w:p w14:paraId="40B81E5D"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Economic/Value-for-Money Specialist</w:t>
      </w:r>
    </w:p>
    <w:p w14:paraId="72719ED6"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Economist or related professional with economic appraisal and public investment analysis experience.</w:t>
      </w:r>
    </w:p>
    <w:p w14:paraId="0BE77BC5"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2 person-months</w:t>
      </w:r>
    </w:p>
    <w:p w14:paraId="4A83EA24"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41BA3C0C"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Conduct economic cost-benefit analysis.</w:t>
      </w:r>
    </w:p>
    <w:p w14:paraId="209E7174"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socioeconomic benefits including sports, tourism, employment, local economic activity and disaster resilience.</w:t>
      </w:r>
    </w:p>
    <w:p w14:paraId="7973217D"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Undertake value-for-money/public-sector comparator analysis as appropriate.</w:t>
      </w:r>
    </w:p>
    <w:p w14:paraId="50D8BB02"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Legal and PPP Regulatory Adviser</w:t>
      </w:r>
    </w:p>
    <w:p w14:paraId="258B2CA5"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Philippine-licensed lawyer with relevant experience in infrastructure, government contracts and PPP transactions.</w:t>
      </w:r>
    </w:p>
    <w:p w14:paraId="673C8583"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2–3 person-months</w:t>
      </w:r>
    </w:p>
    <w:p w14:paraId="17DAEF0C"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45116DE2"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legal authority and institutional requirements.</w:t>
      </w:r>
    </w:p>
    <w:p w14:paraId="48B15EBA"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Review applicable PPP laws, rules, permits, land arrangements and government approvals.</w:t>
      </w:r>
    </w:p>
    <w:p w14:paraId="578BE76D"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Prepare/review proposed PPP contract and transaction documents.</w:t>
      </w:r>
    </w:p>
    <w:p w14:paraId="2D3A22FB"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Environmental and Disaster Resilience Specialist</w:t>
      </w:r>
    </w:p>
    <w:p w14:paraId="2A5CBD9E"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Environmental planner/scientist/engineer or DRRM specialist with relevant experience.</w:t>
      </w:r>
    </w:p>
    <w:p w14:paraId="42E32659"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2 person-months</w:t>
      </w:r>
    </w:p>
    <w:p w14:paraId="1F42F6E8"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6706DC33"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environmental, climate and disaster risks.</w:t>
      </w:r>
    </w:p>
    <w:p w14:paraId="0D3A7A08"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Integrate flood, geohazard, emergency access and evacuation requirements into project design.</w:t>
      </w:r>
    </w:p>
    <w:p w14:paraId="17682ECB"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Identify permitting and environmental compliance requirements.</w:t>
      </w:r>
    </w:p>
    <w:p w14:paraId="12D7E9D5"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Quantity Surveyor/Cost Engineer</w:t>
      </w:r>
    </w:p>
    <w:p w14:paraId="003239D2"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Licensed engineer, quantity surveyor or equivalent with infrastructure cost-estimation experience.</w:t>
      </w:r>
    </w:p>
    <w:p w14:paraId="21E0CB90"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2 person-months</w:t>
      </w:r>
    </w:p>
    <w:p w14:paraId="47EE157A"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13BABA19"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Prepare capital, operating and lifecycle cost estimates.</w:t>
      </w:r>
    </w:p>
    <w:p w14:paraId="7D81FD36"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Validate quantities, cost assumptions and rehabilitation requirements.</w:t>
      </w:r>
    </w:p>
    <w:p w14:paraId="7EDC004B"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Support financial model and value-for-money analysis.</w:t>
      </w:r>
    </w:p>
    <w:p w14:paraId="59042ADD"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ICT/Smart Facility Management Specialist</w:t>
      </w:r>
    </w:p>
    <w:p w14:paraId="0FED569A"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IT/MIS or systems professional with experience in facility management, ticketing, CCTV/access control and digital systems.</w:t>
      </w:r>
    </w:p>
    <w:p w14:paraId="1F1FFE28"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1–2 person-months</w:t>
      </w:r>
    </w:p>
    <w:p w14:paraId="2965FE74"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lastRenderedPageBreak/>
        <w:t>Tasks:</w:t>
      </w:r>
    </w:p>
    <w:p w14:paraId="48DF6B47"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Develop digital ticketing and facility management requirements.</w:t>
      </w:r>
    </w:p>
    <w:p w14:paraId="3E23530B"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Assess CCTV, access control, communications and data systems.</w:t>
      </w:r>
    </w:p>
    <w:p w14:paraId="6C359513"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Integrate technology requirements into O&amp;M and cybersecurity provisions.</w:t>
      </w:r>
    </w:p>
    <w:p w14:paraId="5EA4F010" w14:textId="77777777" w:rsidR="00F40DF9" w:rsidRPr="00F40DF9" w:rsidRDefault="00F40DF9" w:rsidP="00F40DF9">
      <w:pPr>
        <w:spacing w:after="40" w:line="252" w:lineRule="auto"/>
        <w:rPr>
          <w:rFonts w:ascii="Times New Roman" w:hAnsi="Times New Roman"/>
        </w:rPr>
      </w:pPr>
      <w:r w:rsidRPr="00F40DF9">
        <w:rPr>
          <w:rFonts w:ascii="Times New Roman" w:hAnsi="Times New Roman"/>
          <w:b/>
        </w:rPr>
        <w:t>Operations and Maintenance Specialist</w:t>
      </w:r>
    </w:p>
    <w:p w14:paraId="789A80E2"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Qualification: Facility/sports operations professional with experience in sports, recreation, commercial or public facility O&amp;M.</w:t>
      </w:r>
    </w:p>
    <w:p w14:paraId="5A4F4D98"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Duration of Engagement: Indicatively 2–3 person-months</w:t>
      </w:r>
    </w:p>
    <w:p w14:paraId="2F60A4D9" w14:textId="77777777" w:rsidR="00F40DF9" w:rsidRPr="00F40DF9" w:rsidRDefault="00F40DF9" w:rsidP="00F40DF9">
      <w:pPr>
        <w:spacing w:after="80" w:line="252" w:lineRule="auto"/>
        <w:rPr>
          <w:rFonts w:ascii="Times New Roman" w:hAnsi="Times New Roman"/>
        </w:rPr>
      </w:pPr>
      <w:r w:rsidRPr="00F40DF9">
        <w:rPr>
          <w:rFonts w:ascii="Times New Roman" w:hAnsi="Times New Roman"/>
        </w:rPr>
        <w:t>Tasks:</w:t>
      </w:r>
    </w:p>
    <w:p w14:paraId="29A0F080"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Develop O&amp;M strategy, staffing and service standards.</w:t>
      </w:r>
    </w:p>
    <w:p w14:paraId="1E3725E9"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Prepare lifecycle maintenance and asset-management requirements.</w:t>
      </w:r>
    </w:p>
    <w:p w14:paraId="44B61317" w14:textId="77777777" w:rsidR="00F40DF9" w:rsidRPr="00F40DF9" w:rsidRDefault="00F40DF9" w:rsidP="00F40DF9">
      <w:pPr>
        <w:spacing w:after="40"/>
        <w:ind w:left="360" w:hanging="216"/>
        <w:rPr>
          <w:rFonts w:ascii="Times New Roman" w:hAnsi="Times New Roman"/>
        </w:rPr>
      </w:pPr>
      <w:r w:rsidRPr="00F40DF9">
        <w:rPr>
          <w:rFonts w:ascii="Times New Roman" w:hAnsi="Times New Roman"/>
          <w:b/>
        </w:rPr>
        <w:t xml:space="preserve">• </w:t>
      </w:r>
      <w:r w:rsidRPr="00F40DF9">
        <w:rPr>
          <w:rFonts w:ascii="Times New Roman" w:hAnsi="Times New Roman"/>
        </w:rPr>
        <w:t>Define performance standards and monitoring mechanisms for the PPP contract.</w:t>
      </w:r>
    </w:p>
    <w:p w14:paraId="18074315"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Available Documents on the Project</w:t>
      </w:r>
    </w:p>
    <w:tbl>
      <w:tblPr>
        <w:tblStyle w:val="TableGrid"/>
        <w:tblW w:w="0" w:type="auto"/>
        <w:jc w:val="center"/>
        <w:tblLook w:val="04A0" w:firstRow="1" w:lastRow="0" w:firstColumn="1" w:lastColumn="0" w:noHBand="0" w:noVBand="1"/>
      </w:tblPr>
      <w:tblGrid>
        <w:gridCol w:w="4471"/>
        <w:gridCol w:w="4545"/>
      </w:tblGrid>
      <w:tr w:rsidR="00F40DF9" w:rsidRPr="00F40DF9" w14:paraId="33B8B690" w14:textId="77777777" w:rsidTr="00113F4C">
        <w:trPr>
          <w:jc w:val="center"/>
        </w:trPr>
        <w:tc>
          <w:tcPr>
            <w:tcW w:w="4801" w:type="dxa"/>
            <w:shd w:val="clear" w:color="auto" w:fill="D9E2F3"/>
          </w:tcPr>
          <w:p w14:paraId="69A53B6B" w14:textId="77777777" w:rsidR="00F40DF9" w:rsidRPr="00F40DF9" w:rsidRDefault="00F40DF9" w:rsidP="00113F4C">
            <w:pPr>
              <w:rPr>
                <w:rFonts w:ascii="Times New Roman" w:hAnsi="Times New Roman"/>
              </w:rPr>
            </w:pPr>
            <w:r w:rsidRPr="00F40DF9">
              <w:rPr>
                <w:rFonts w:ascii="Times New Roman" w:hAnsi="Times New Roman"/>
                <w:b/>
                <w:sz w:val="18"/>
              </w:rPr>
              <w:t>Document</w:t>
            </w:r>
          </w:p>
        </w:tc>
        <w:tc>
          <w:tcPr>
            <w:tcW w:w="4801" w:type="dxa"/>
            <w:shd w:val="clear" w:color="auto" w:fill="D9E2F3"/>
          </w:tcPr>
          <w:p w14:paraId="02E559F5" w14:textId="77777777" w:rsidR="00F40DF9" w:rsidRPr="00F40DF9" w:rsidRDefault="00F40DF9" w:rsidP="00113F4C">
            <w:pPr>
              <w:rPr>
                <w:rFonts w:ascii="Times New Roman" w:hAnsi="Times New Roman"/>
              </w:rPr>
            </w:pPr>
            <w:r w:rsidRPr="00F40DF9">
              <w:rPr>
                <w:rFonts w:ascii="Times New Roman" w:hAnsi="Times New Roman"/>
                <w:b/>
                <w:sz w:val="18"/>
              </w:rPr>
              <w:t>Relevance</w:t>
            </w:r>
          </w:p>
        </w:tc>
      </w:tr>
      <w:tr w:rsidR="00F40DF9" w:rsidRPr="00F40DF9" w14:paraId="3FBB412C" w14:textId="77777777" w:rsidTr="00113F4C">
        <w:trPr>
          <w:jc w:val="center"/>
        </w:trPr>
        <w:tc>
          <w:tcPr>
            <w:tcW w:w="4801" w:type="dxa"/>
            <w:vAlign w:val="center"/>
          </w:tcPr>
          <w:p w14:paraId="504092BF" w14:textId="77777777" w:rsidR="00F40DF9" w:rsidRPr="00F40DF9" w:rsidRDefault="00F40DF9" w:rsidP="00113F4C">
            <w:pPr>
              <w:rPr>
                <w:rFonts w:ascii="Times New Roman" w:hAnsi="Times New Roman"/>
              </w:rPr>
            </w:pPr>
            <w:r w:rsidRPr="00F40DF9">
              <w:rPr>
                <w:rFonts w:ascii="Times New Roman" w:hAnsi="Times New Roman"/>
                <w:sz w:val="18"/>
              </w:rPr>
              <w:t>Project Information Sheet (PIS)</w:t>
            </w:r>
          </w:p>
        </w:tc>
        <w:tc>
          <w:tcPr>
            <w:tcW w:w="4801" w:type="dxa"/>
            <w:vAlign w:val="center"/>
          </w:tcPr>
          <w:p w14:paraId="584A9176" w14:textId="77777777" w:rsidR="00F40DF9" w:rsidRPr="00F40DF9" w:rsidRDefault="00F40DF9" w:rsidP="00113F4C">
            <w:pPr>
              <w:rPr>
                <w:rFonts w:ascii="Times New Roman" w:hAnsi="Times New Roman"/>
              </w:rPr>
            </w:pPr>
            <w:r w:rsidRPr="00F40DF9">
              <w:rPr>
                <w:rFonts w:ascii="Times New Roman" w:hAnsi="Times New Roman"/>
                <w:sz w:val="18"/>
              </w:rPr>
              <w:t>Preliminary project rationale, description, objectives, components, beneficiaries, PPP options, indicative risk allocation, revenue sources and implementation schedule.</w:t>
            </w:r>
          </w:p>
        </w:tc>
      </w:tr>
      <w:tr w:rsidR="00F40DF9" w:rsidRPr="00F40DF9" w14:paraId="0F959F29" w14:textId="77777777" w:rsidTr="00113F4C">
        <w:trPr>
          <w:jc w:val="center"/>
        </w:trPr>
        <w:tc>
          <w:tcPr>
            <w:tcW w:w="4801" w:type="dxa"/>
            <w:vAlign w:val="center"/>
          </w:tcPr>
          <w:p w14:paraId="0DBFFEA4" w14:textId="77777777" w:rsidR="00F40DF9" w:rsidRPr="00F40DF9" w:rsidRDefault="00F40DF9" w:rsidP="00113F4C">
            <w:pPr>
              <w:rPr>
                <w:rFonts w:ascii="Times New Roman" w:hAnsi="Times New Roman"/>
              </w:rPr>
            </w:pPr>
            <w:r w:rsidRPr="00F40DF9">
              <w:rPr>
                <w:rFonts w:ascii="Times New Roman" w:hAnsi="Times New Roman"/>
                <w:sz w:val="18"/>
              </w:rPr>
              <w:t>Project Proposal / Preliminary Project Concept</w:t>
            </w:r>
          </w:p>
        </w:tc>
        <w:tc>
          <w:tcPr>
            <w:tcW w:w="4801" w:type="dxa"/>
            <w:vAlign w:val="center"/>
          </w:tcPr>
          <w:p w14:paraId="1998A243" w14:textId="77777777" w:rsidR="00F40DF9" w:rsidRPr="00F40DF9" w:rsidRDefault="00F40DF9" w:rsidP="00113F4C">
            <w:pPr>
              <w:rPr>
                <w:rFonts w:ascii="Times New Roman" w:hAnsi="Times New Roman"/>
              </w:rPr>
            </w:pPr>
            <w:r w:rsidRPr="00F40DF9">
              <w:rPr>
                <w:rFonts w:ascii="Times New Roman" w:hAnsi="Times New Roman"/>
                <w:sz w:val="18"/>
              </w:rPr>
              <w:t>Background of the Sports Complex, proposed rehabilitation/modernization components, benefits, sustainability and private-sector participation.</w:t>
            </w:r>
          </w:p>
        </w:tc>
      </w:tr>
      <w:tr w:rsidR="00F40DF9" w:rsidRPr="00F40DF9" w14:paraId="332E2EA1" w14:textId="77777777" w:rsidTr="00113F4C">
        <w:trPr>
          <w:jc w:val="center"/>
        </w:trPr>
        <w:tc>
          <w:tcPr>
            <w:tcW w:w="4801" w:type="dxa"/>
            <w:vAlign w:val="center"/>
          </w:tcPr>
          <w:p w14:paraId="7A07B1EC" w14:textId="77777777" w:rsidR="00F40DF9" w:rsidRPr="00F40DF9" w:rsidRDefault="00F40DF9" w:rsidP="00113F4C">
            <w:pPr>
              <w:rPr>
                <w:rFonts w:ascii="Times New Roman" w:hAnsi="Times New Roman"/>
              </w:rPr>
            </w:pPr>
            <w:r w:rsidRPr="00F40DF9">
              <w:rPr>
                <w:rFonts w:ascii="Times New Roman" w:hAnsi="Times New Roman"/>
                <w:sz w:val="18"/>
              </w:rPr>
              <w:t>Historical/Facility Information</w:t>
            </w:r>
          </w:p>
        </w:tc>
        <w:tc>
          <w:tcPr>
            <w:tcW w:w="4801" w:type="dxa"/>
            <w:vAlign w:val="center"/>
          </w:tcPr>
          <w:p w14:paraId="14419642" w14:textId="77777777" w:rsidR="00F40DF9" w:rsidRPr="00F40DF9" w:rsidRDefault="00F40DF9" w:rsidP="00113F4C">
            <w:pPr>
              <w:rPr>
                <w:rFonts w:ascii="Times New Roman" w:hAnsi="Times New Roman"/>
              </w:rPr>
            </w:pPr>
            <w:r w:rsidRPr="00F40DF9">
              <w:rPr>
                <w:rFonts w:ascii="Times New Roman" w:hAnsi="Times New Roman"/>
                <w:sz w:val="18"/>
              </w:rPr>
              <w:t>Information on establishment, previous improvements, 2015 Caraga Regional Athletic Meet and use as an evacuation/humanitarian facility.</w:t>
            </w:r>
          </w:p>
        </w:tc>
      </w:tr>
      <w:tr w:rsidR="00F40DF9" w:rsidRPr="00F40DF9" w14:paraId="499B8AFF" w14:textId="77777777" w:rsidTr="00113F4C">
        <w:trPr>
          <w:jc w:val="center"/>
        </w:trPr>
        <w:tc>
          <w:tcPr>
            <w:tcW w:w="4801" w:type="dxa"/>
            <w:vAlign w:val="center"/>
          </w:tcPr>
          <w:p w14:paraId="0DBFA95D" w14:textId="77777777" w:rsidR="00F40DF9" w:rsidRPr="00F40DF9" w:rsidRDefault="00F40DF9" w:rsidP="00113F4C">
            <w:pPr>
              <w:rPr>
                <w:rFonts w:ascii="Times New Roman" w:hAnsi="Times New Roman"/>
              </w:rPr>
            </w:pPr>
            <w:r w:rsidRPr="00F40DF9">
              <w:rPr>
                <w:rFonts w:ascii="Times New Roman" w:hAnsi="Times New Roman"/>
                <w:sz w:val="18"/>
              </w:rPr>
              <w:t>Provincial Development Investment Program (PDIP) 2025–2028</w:t>
            </w:r>
          </w:p>
        </w:tc>
        <w:tc>
          <w:tcPr>
            <w:tcW w:w="4801" w:type="dxa"/>
            <w:vAlign w:val="center"/>
          </w:tcPr>
          <w:p w14:paraId="0CD10438" w14:textId="77777777" w:rsidR="00F40DF9" w:rsidRPr="00F40DF9" w:rsidRDefault="00F40DF9" w:rsidP="00113F4C">
            <w:pPr>
              <w:rPr>
                <w:rFonts w:ascii="Times New Roman" w:hAnsi="Times New Roman"/>
              </w:rPr>
            </w:pPr>
            <w:r w:rsidRPr="00F40DF9">
              <w:rPr>
                <w:rFonts w:ascii="Times New Roman" w:hAnsi="Times New Roman"/>
                <w:sz w:val="18"/>
              </w:rPr>
              <w:t>Provincial investment-programming context supporting the project.</w:t>
            </w:r>
          </w:p>
        </w:tc>
      </w:tr>
      <w:tr w:rsidR="00F40DF9" w:rsidRPr="00F40DF9" w14:paraId="3D41949F" w14:textId="77777777" w:rsidTr="00113F4C">
        <w:trPr>
          <w:jc w:val="center"/>
        </w:trPr>
        <w:tc>
          <w:tcPr>
            <w:tcW w:w="4801" w:type="dxa"/>
            <w:vAlign w:val="center"/>
          </w:tcPr>
          <w:p w14:paraId="6F302A62" w14:textId="77777777" w:rsidR="00F40DF9" w:rsidRPr="00F40DF9" w:rsidRDefault="00F40DF9" w:rsidP="00113F4C">
            <w:pPr>
              <w:rPr>
                <w:rFonts w:ascii="Times New Roman" w:hAnsi="Times New Roman"/>
              </w:rPr>
            </w:pPr>
            <w:r w:rsidRPr="00F40DF9">
              <w:rPr>
                <w:rFonts w:ascii="Times New Roman" w:hAnsi="Times New Roman"/>
                <w:sz w:val="18"/>
              </w:rPr>
              <w:t>Annual Investment Program (AIP) 2027</w:t>
            </w:r>
          </w:p>
        </w:tc>
        <w:tc>
          <w:tcPr>
            <w:tcW w:w="4801" w:type="dxa"/>
            <w:vAlign w:val="center"/>
          </w:tcPr>
          <w:p w14:paraId="25D6D1F6" w14:textId="77777777" w:rsidR="00F40DF9" w:rsidRPr="00F40DF9" w:rsidRDefault="00F40DF9" w:rsidP="00113F4C">
            <w:pPr>
              <w:rPr>
                <w:rFonts w:ascii="Times New Roman" w:hAnsi="Times New Roman"/>
              </w:rPr>
            </w:pPr>
            <w:r w:rsidRPr="00F40DF9">
              <w:rPr>
                <w:rFonts w:ascii="Times New Roman" w:hAnsi="Times New Roman"/>
                <w:sz w:val="18"/>
              </w:rPr>
              <w:t>Identification of the Sports Complex project as a priority provincial investment.</w:t>
            </w:r>
          </w:p>
        </w:tc>
      </w:tr>
      <w:tr w:rsidR="00F40DF9" w:rsidRPr="00F40DF9" w14:paraId="766CAE75" w14:textId="77777777" w:rsidTr="00113F4C">
        <w:trPr>
          <w:jc w:val="center"/>
        </w:trPr>
        <w:tc>
          <w:tcPr>
            <w:tcW w:w="4801" w:type="dxa"/>
            <w:vAlign w:val="center"/>
          </w:tcPr>
          <w:p w14:paraId="17EF71D4" w14:textId="77777777" w:rsidR="00F40DF9" w:rsidRPr="00F40DF9" w:rsidRDefault="00F40DF9" w:rsidP="00113F4C">
            <w:pPr>
              <w:rPr>
                <w:rFonts w:ascii="Times New Roman" w:hAnsi="Times New Roman"/>
              </w:rPr>
            </w:pPr>
            <w:r w:rsidRPr="00F40DF9">
              <w:rPr>
                <w:rFonts w:ascii="Times New Roman" w:hAnsi="Times New Roman"/>
                <w:sz w:val="18"/>
              </w:rPr>
              <w:t>Provincial Development and Physical Framework Plan (PDPFP)</w:t>
            </w:r>
          </w:p>
        </w:tc>
        <w:tc>
          <w:tcPr>
            <w:tcW w:w="4801" w:type="dxa"/>
            <w:vAlign w:val="center"/>
          </w:tcPr>
          <w:p w14:paraId="57EE923A" w14:textId="77777777" w:rsidR="00F40DF9" w:rsidRPr="00F40DF9" w:rsidRDefault="00F40DF9" w:rsidP="00113F4C">
            <w:pPr>
              <w:rPr>
                <w:rFonts w:ascii="Times New Roman" w:hAnsi="Times New Roman"/>
              </w:rPr>
            </w:pPr>
            <w:r w:rsidRPr="00F40DF9">
              <w:rPr>
                <w:rFonts w:ascii="Times New Roman" w:hAnsi="Times New Roman"/>
                <w:sz w:val="18"/>
              </w:rPr>
              <w:t>Development-policy and spatial-planning context supporting sports and social infrastructure development.</w:t>
            </w:r>
          </w:p>
        </w:tc>
      </w:tr>
      <w:tr w:rsidR="00F40DF9" w:rsidRPr="00F40DF9" w14:paraId="0756E12B" w14:textId="77777777" w:rsidTr="00113F4C">
        <w:trPr>
          <w:jc w:val="center"/>
        </w:trPr>
        <w:tc>
          <w:tcPr>
            <w:tcW w:w="4801" w:type="dxa"/>
            <w:vAlign w:val="center"/>
          </w:tcPr>
          <w:p w14:paraId="426DB437" w14:textId="77777777" w:rsidR="00F40DF9" w:rsidRPr="00F40DF9" w:rsidRDefault="00F40DF9" w:rsidP="00113F4C">
            <w:pPr>
              <w:rPr>
                <w:rFonts w:ascii="Times New Roman" w:hAnsi="Times New Roman"/>
              </w:rPr>
            </w:pPr>
            <w:r w:rsidRPr="00F40DF9">
              <w:rPr>
                <w:rFonts w:ascii="Times New Roman" w:hAnsi="Times New Roman"/>
                <w:sz w:val="18"/>
              </w:rPr>
              <w:t xml:space="preserve">Sangguniang </w:t>
            </w:r>
            <w:proofErr w:type="spellStart"/>
            <w:r w:rsidRPr="00F40DF9">
              <w:rPr>
                <w:rFonts w:ascii="Times New Roman" w:hAnsi="Times New Roman"/>
                <w:sz w:val="18"/>
              </w:rPr>
              <w:t>Panlalawigan</w:t>
            </w:r>
            <w:proofErr w:type="spellEnd"/>
            <w:r w:rsidRPr="00F40DF9">
              <w:rPr>
                <w:rFonts w:ascii="Times New Roman" w:hAnsi="Times New Roman"/>
                <w:sz w:val="18"/>
              </w:rPr>
              <w:t xml:space="preserve"> Endorsement</w:t>
            </w:r>
          </w:p>
        </w:tc>
        <w:tc>
          <w:tcPr>
            <w:tcW w:w="4801" w:type="dxa"/>
            <w:vAlign w:val="center"/>
          </w:tcPr>
          <w:p w14:paraId="05A7899C" w14:textId="77777777" w:rsidR="00F40DF9" w:rsidRPr="00F40DF9" w:rsidRDefault="00F40DF9" w:rsidP="00113F4C">
            <w:pPr>
              <w:rPr>
                <w:rFonts w:ascii="Times New Roman" w:hAnsi="Times New Roman"/>
              </w:rPr>
            </w:pPr>
            <w:r w:rsidRPr="00F40DF9">
              <w:rPr>
                <w:rFonts w:ascii="Times New Roman" w:hAnsi="Times New Roman"/>
                <w:sz w:val="18"/>
              </w:rPr>
              <w:t>Provincial legislative endorsement supporting modernization of the sports sector and the proposed project.</w:t>
            </w:r>
          </w:p>
        </w:tc>
      </w:tr>
    </w:tbl>
    <w:p w14:paraId="2B08EAA4" w14:textId="77777777" w:rsidR="00F40DF9" w:rsidRPr="00F40DF9" w:rsidRDefault="00F40DF9" w:rsidP="00F40DF9">
      <w:pPr>
        <w:spacing w:after="20" w:line="252" w:lineRule="auto"/>
        <w:rPr>
          <w:rFonts w:ascii="Times New Roman" w:hAnsi="Times New Roman"/>
        </w:rPr>
      </w:pPr>
    </w:p>
    <w:p w14:paraId="101E5C04" w14:textId="77777777" w:rsidR="00F40DF9" w:rsidRPr="00F40DF9" w:rsidRDefault="00F40DF9" w:rsidP="00F40DF9">
      <w:pPr>
        <w:spacing w:before="160" w:after="80"/>
        <w:rPr>
          <w:rFonts w:ascii="Times New Roman" w:hAnsi="Times New Roman"/>
        </w:rPr>
      </w:pPr>
      <w:r w:rsidRPr="00F40DF9">
        <w:rPr>
          <w:rFonts w:ascii="Times New Roman" w:hAnsi="Times New Roman"/>
          <w:b/>
          <w:sz w:val="26"/>
        </w:rPr>
        <w:t>Legal Authority to Undertake PPP</w:t>
      </w:r>
    </w:p>
    <w:p w14:paraId="77BCAF09"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Provincial Government of Surigao del Sur, as a local government unit, has corporate powers under Republic Act No. 7160 (Local Government Code of 1991), including the power to enter into contracts, subject to the limitations and requirements of law. Section 22 of RA 7160 provides that every local government unit, as a corporation, may enter into contracts, and that contracts entered into by the local chief executive generally require prior authorization by the concerned </w:t>
      </w:r>
      <w:proofErr w:type="spellStart"/>
      <w:r w:rsidRPr="00F40DF9">
        <w:rPr>
          <w:rFonts w:ascii="Times New Roman" w:hAnsi="Times New Roman"/>
        </w:rPr>
        <w:t>Sanggunian</w:t>
      </w:r>
      <w:proofErr w:type="spellEnd"/>
      <w:r w:rsidRPr="00F40DF9">
        <w:rPr>
          <w:rFonts w:ascii="Times New Roman" w:hAnsi="Times New Roman"/>
        </w:rPr>
        <w:t>.</w:t>
      </w:r>
    </w:p>
    <w:p w14:paraId="1C93E535"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The proposed PPP will be developed and implemented under Republic Act No. 11966, or the Public-Private Partnership Code of the Philippines, and its Implementing Rules and Regulations, which provide the unified legal framework for national and local PPP projects. The PPP Code covers contractual arrangements through which an implementing agency and private partner may finance, design, construct, operate and maintain infrastructure or development projects and services, with associated risks shared between the parties.</w:t>
      </w:r>
    </w:p>
    <w:p w14:paraId="70CCDC52"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lastRenderedPageBreak/>
        <w:t xml:space="preserve">For local PPP projects, the applicable review and approval process will be followed, including the requirements of the concerned local development council, Sangguniang </w:t>
      </w:r>
      <w:proofErr w:type="spellStart"/>
      <w:r w:rsidRPr="00F40DF9">
        <w:rPr>
          <w:rFonts w:ascii="Times New Roman" w:hAnsi="Times New Roman"/>
        </w:rPr>
        <w:t>Panlalawigan</w:t>
      </w:r>
      <w:proofErr w:type="spellEnd"/>
      <w:r w:rsidRPr="00F40DF9">
        <w:rPr>
          <w:rFonts w:ascii="Times New Roman" w:hAnsi="Times New Roman"/>
        </w:rPr>
        <w:t xml:space="preserve"> and other approving bodies/committees as applicable to the project's structure and government support. The </w:t>
      </w:r>
      <w:proofErr w:type="gramStart"/>
      <w:r w:rsidRPr="00F40DF9">
        <w:rPr>
          <w:rFonts w:ascii="Times New Roman" w:hAnsi="Times New Roman"/>
        </w:rPr>
        <w:t>Province</w:t>
      </w:r>
      <w:proofErr w:type="gramEnd"/>
      <w:r w:rsidRPr="00F40DF9">
        <w:rPr>
          <w:rFonts w:ascii="Times New Roman" w:hAnsi="Times New Roman"/>
        </w:rPr>
        <w:t xml:space="preserve"> will secure the necessary authorizations, resolutions, approvals, permits and legal clearances before proceeding to procurement and contract execution.</w:t>
      </w:r>
    </w:p>
    <w:p w14:paraId="7E2D2D39" w14:textId="77777777" w:rsidR="00F40DF9" w:rsidRPr="00F40DF9" w:rsidRDefault="00F40DF9" w:rsidP="00F40DF9">
      <w:pPr>
        <w:spacing w:after="80" w:line="252" w:lineRule="auto"/>
        <w:jc w:val="both"/>
        <w:rPr>
          <w:rFonts w:ascii="Times New Roman" w:hAnsi="Times New Roman"/>
        </w:rPr>
      </w:pPr>
      <w:r w:rsidRPr="00F40DF9">
        <w:rPr>
          <w:rFonts w:ascii="Times New Roman" w:hAnsi="Times New Roman"/>
        </w:rPr>
        <w:t xml:space="preserve">The legal and institutional assessment under the PDMF-supported feasibility study will confirm the </w:t>
      </w:r>
      <w:proofErr w:type="gramStart"/>
      <w:r w:rsidRPr="00F40DF9">
        <w:rPr>
          <w:rFonts w:ascii="Times New Roman" w:hAnsi="Times New Roman"/>
        </w:rPr>
        <w:t>Province's</w:t>
      </w:r>
      <w:proofErr w:type="gramEnd"/>
      <w:r w:rsidRPr="00F40DF9">
        <w:rPr>
          <w:rFonts w:ascii="Times New Roman" w:hAnsi="Times New Roman"/>
        </w:rPr>
        <w:t xml:space="preserve"> authority, the appropriate approving body, required </w:t>
      </w:r>
      <w:proofErr w:type="spellStart"/>
      <w:r w:rsidRPr="00F40DF9">
        <w:rPr>
          <w:rFonts w:ascii="Times New Roman" w:hAnsi="Times New Roman"/>
        </w:rPr>
        <w:t>Sanggunian</w:t>
      </w:r>
      <w:proofErr w:type="spellEnd"/>
      <w:r w:rsidRPr="00F40DF9">
        <w:rPr>
          <w:rFonts w:ascii="Times New Roman" w:hAnsi="Times New Roman"/>
        </w:rPr>
        <w:t xml:space="preserve"> authorization, site/property arrangements, permissible government support, and all other legal and regulatory requirements applicable to the selected PPP modality.</w:t>
      </w:r>
    </w:p>
    <w:p w14:paraId="5AD2AE03" w14:textId="77777777" w:rsidR="00F2085E" w:rsidRDefault="00F2085E" w:rsidP="00F2085E">
      <w:pPr>
        <w:spacing w:after="0"/>
      </w:pPr>
    </w:p>
    <w:p w14:paraId="5F6AA266" w14:textId="77777777" w:rsidR="00F2085E" w:rsidRDefault="00F2085E" w:rsidP="00F2085E">
      <w:pPr>
        <w:spacing w:after="0"/>
      </w:pPr>
    </w:p>
    <w:p w14:paraId="18E4FFD2" w14:textId="77777777" w:rsidR="00F2085E" w:rsidRPr="00CB3A71" w:rsidRDefault="00F2085E" w:rsidP="00F2085E">
      <w:pPr>
        <w:spacing w:after="0"/>
        <w:rPr>
          <w:rFonts w:ascii="Times New Roman" w:hAnsi="Times New Roman"/>
          <w:b/>
          <w:bCs/>
        </w:rPr>
      </w:pPr>
      <w:r w:rsidRPr="00CB3A71">
        <w:rPr>
          <w:rFonts w:ascii="Times New Roman" w:hAnsi="Times New Roman"/>
          <w:b/>
          <w:bCs/>
        </w:rPr>
        <w:t>Prepared by:</w:t>
      </w:r>
      <w:r w:rsidRPr="00CB3A71">
        <w:rPr>
          <w:rFonts w:ascii="Times New Roman" w:hAnsi="Times New Roman"/>
          <w:b/>
          <w:bCs/>
        </w:rPr>
        <w:tab/>
      </w:r>
      <w:r w:rsidRPr="00CB3A71">
        <w:rPr>
          <w:rFonts w:ascii="Times New Roman" w:hAnsi="Times New Roman"/>
          <w:b/>
          <w:bCs/>
        </w:rPr>
        <w:tab/>
      </w:r>
      <w:r w:rsidRPr="00CB3A71">
        <w:rPr>
          <w:rFonts w:ascii="Times New Roman" w:hAnsi="Times New Roman"/>
          <w:b/>
          <w:bCs/>
        </w:rPr>
        <w:tab/>
      </w:r>
      <w:r w:rsidRPr="00CB3A71">
        <w:rPr>
          <w:rFonts w:ascii="Times New Roman" w:hAnsi="Times New Roman"/>
          <w:b/>
          <w:bCs/>
        </w:rPr>
        <w:tab/>
      </w:r>
      <w:r w:rsidRPr="00CB3A71">
        <w:rPr>
          <w:rFonts w:ascii="Times New Roman" w:hAnsi="Times New Roman"/>
          <w:b/>
          <w:bCs/>
        </w:rPr>
        <w:tab/>
      </w:r>
      <w:r w:rsidRPr="00CB3A71">
        <w:rPr>
          <w:rFonts w:ascii="Times New Roman" w:hAnsi="Times New Roman"/>
          <w:b/>
          <w:bCs/>
        </w:rPr>
        <w:tab/>
        <w:t>Reviewed by:</w:t>
      </w:r>
    </w:p>
    <w:p w14:paraId="2436C9D2" w14:textId="77777777" w:rsidR="00F2085E" w:rsidRPr="00CB3A71" w:rsidRDefault="00F2085E" w:rsidP="00F2085E">
      <w:pPr>
        <w:spacing w:after="0"/>
        <w:rPr>
          <w:rFonts w:ascii="Times New Roman" w:hAnsi="Times New Roman"/>
          <w:b/>
          <w:bCs/>
        </w:rPr>
      </w:pPr>
    </w:p>
    <w:p w14:paraId="64E94F69" w14:textId="77777777" w:rsidR="00F2085E" w:rsidRPr="00CB3A71" w:rsidRDefault="00F2085E" w:rsidP="00F2085E">
      <w:pPr>
        <w:spacing w:after="0"/>
        <w:rPr>
          <w:rFonts w:ascii="Times New Roman" w:hAnsi="Times New Roman"/>
          <w:b/>
          <w:bCs/>
        </w:rPr>
      </w:pPr>
    </w:p>
    <w:p w14:paraId="65984BFB" w14:textId="77777777" w:rsidR="00F2085E" w:rsidRPr="00CB3A71" w:rsidRDefault="00F2085E" w:rsidP="00F2085E">
      <w:pPr>
        <w:spacing w:after="0"/>
        <w:rPr>
          <w:rFonts w:ascii="Times New Roman" w:hAnsi="Times New Roman"/>
          <w:b/>
          <w:bCs/>
        </w:rPr>
      </w:pPr>
      <w:r>
        <w:rPr>
          <w:rFonts w:ascii="Times New Roman" w:hAnsi="Times New Roman"/>
          <w:b/>
          <w:bCs/>
        </w:rPr>
        <w:t>ABIGAIL C. ARIENZANO, ENP</w:t>
      </w:r>
      <w:r w:rsidRPr="00CB3A71">
        <w:rPr>
          <w:rFonts w:ascii="Times New Roman" w:hAnsi="Times New Roman"/>
          <w:b/>
          <w:bCs/>
        </w:rPr>
        <w:tab/>
      </w:r>
      <w:r w:rsidRPr="00CB3A71">
        <w:rPr>
          <w:rFonts w:ascii="Times New Roman" w:hAnsi="Times New Roman"/>
          <w:b/>
          <w:bCs/>
        </w:rPr>
        <w:tab/>
      </w:r>
      <w:r w:rsidRPr="00CB3A71">
        <w:rPr>
          <w:rFonts w:ascii="Times New Roman" w:hAnsi="Times New Roman"/>
          <w:b/>
          <w:bCs/>
        </w:rPr>
        <w:tab/>
      </w:r>
      <w:r>
        <w:rPr>
          <w:rFonts w:ascii="Times New Roman" w:hAnsi="Times New Roman"/>
          <w:b/>
          <w:bCs/>
        </w:rPr>
        <w:t>VILMA A. RONQUILLO, ENP</w:t>
      </w:r>
    </w:p>
    <w:p w14:paraId="1EA7B80C" w14:textId="72F6BAAB" w:rsidR="00F2085E" w:rsidRDefault="00F2085E" w:rsidP="00F2085E">
      <w:pPr>
        <w:spacing w:after="0"/>
        <w:rPr>
          <w:rFonts w:ascii="Times New Roman" w:hAnsi="Times New Roman"/>
        </w:rPr>
      </w:pPr>
      <w:r>
        <w:rPr>
          <w:rFonts w:ascii="Times New Roman" w:hAnsi="Times New Roman"/>
        </w:rPr>
        <w:t>Planning Officer III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Provincial Planning &amp; </w:t>
      </w:r>
      <w:proofErr w:type="spellStart"/>
      <w:r>
        <w:rPr>
          <w:rFonts w:ascii="Times New Roman" w:hAnsi="Times New Roman"/>
        </w:rPr>
        <w:t>Dev’t</w:t>
      </w:r>
      <w:proofErr w:type="spellEnd"/>
      <w:r>
        <w:rPr>
          <w:rFonts w:ascii="Times New Roman" w:hAnsi="Times New Roman"/>
        </w:rPr>
        <w:t>. Coordinator</w:t>
      </w:r>
    </w:p>
    <w:p w14:paraId="234C725D" w14:textId="77777777" w:rsidR="00F2085E" w:rsidRDefault="00F2085E" w:rsidP="00F2085E">
      <w:pPr>
        <w:spacing w:after="0"/>
        <w:rPr>
          <w:rFonts w:ascii="Times New Roman" w:hAnsi="Times New Roman"/>
        </w:rPr>
      </w:pPr>
    </w:p>
    <w:p w14:paraId="46CC10A2" w14:textId="77777777" w:rsidR="00F2085E" w:rsidRDefault="00F2085E" w:rsidP="00F2085E">
      <w:pPr>
        <w:spacing w:after="0"/>
        <w:rPr>
          <w:rFonts w:ascii="Times New Roman" w:hAnsi="Times New Roman"/>
        </w:rPr>
      </w:pPr>
    </w:p>
    <w:p w14:paraId="1DA6EF32" w14:textId="77777777" w:rsidR="00F2085E" w:rsidRDefault="00F2085E" w:rsidP="00F2085E">
      <w:pPr>
        <w:spacing w:after="0"/>
        <w:rPr>
          <w:rFonts w:ascii="Times New Roman" w:hAnsi="Times New Roman"/>
        </w:rPr>
      </w:pPr>
    </w:p>
    <w:p w14:paraId="28330A90" w14:textId="77777777" w:rsidR="00F2085E" w:rsidRPr="00DE0373" w:rsidRDefault="00F2085E" w:rsidP="00F2085E">
      <w:pPr>
        <w:spacing w:after="0"/>
        <w:jc w:val="center"/>
        <w:rPr>
          <w:rFonts w:ascii="Times New Roman" w:hAnsi="Times New Roman"/>
          <w:b/>
          <w:bCs/>
        </w:rPr>
      </w:pPr>
      <w:r w:rsidRPr="00DE0373">
        <w:rPr>
          <w:rFonts w:ascii="Times New Roman" w:hAnsi="Times New Roman"/>
          <w:b/>
          <w:bCs/>
        </w:rPr>
        <w:t>Approved by:</w:t>
      </w:r>
    </w:p>
    <w:p w14:paraId="4928EF08" w14:textId="77777777" w:rsidR="00F2085E" w:rsidRPr="00DE0373" w:rsidRDefault="00F2085E" w:rsidP="00F2085E">
      <w:pPr>
        <w:spacing w:after="0"/>
        <w:jc w:val="center"/>
        <w:rPr>
          <w:rFonts w:ascii="Times New Roman" w:hAnsi="Times New Roman"/>
          <w:b/>
          <w:bCs/>
        </w:rPr>
      </w:pPr>
    </w:p>
    <w:p w14:paraId="4266F301" w14:textId="77777777" w:rsidR="00F2085E" w:rsidRPr="00CB3A71" w:rsidRDefault="00F2085E" w:rsidP="00F2085E">
      <w:pPr>
        <w:spacing w:after="0"/>
        <w:jc w:val="center"/>
        <w:rPr>
          <w:rFonts w:ascii="Times New Roman" w:hAnsi="Times New Roman"/>
          <w:b/>
          <w:bCs/>
        </w:rPr>
      </w:pPr>
    </w:p>
    <w:p w14:paraId="028532D3" w14:textId="77777777" w:rsidR="00F2085E" w:rsidRPr="00CB3A71" w:rsidRDefault="00F2085E" w:rsidP="00F2085E">
      <w:pPr>
        <w:spacing w:after="0"/>
        <w:jc w:val="center"/>
        <w:rPr>
          <w:rFonts w:ascii="Times New Roman" w:hAnsi="Times New Roman"/>
          <w:b/>
          <w:bCs/>
        </w:rPr>
      </w:pPr>
      <w:r>
        <w:rPr>
          <w:rFonts w:ascii="Times New Roman" w:hAnsi="Times New Roman"/>
          <w:b/>
          <w:bCs/>
        </w:rPr>
        <w:t>JOHNNY</w:t>
      </w:r>
      <w:r w:rsidRPr="00CB3A71">
        <w:rPr>
          <w:rFonts w:ascii="Times New Roman" w:hAnsi="Times New Roman"/>
          <w:b/>
          <w:bCs/>
        </w:rPr>
        <w:t xml:space="preserve"> T. PIMENTEL</w:t>
      </w:r>
    </w:p>
    <w:p w14:paraId="4AFB8ABD" w14:textId="77777777" w:rsidR="00F2085E" w:rsidRDefault="00F2085E" w:rsidP="00F2085E">
      <w:pPr>
        <w:spacing w:after="0"/>
        <w:jc w:val="center"/>
        <w:rPr>
          <w:rFonts w:ascii="Times New Roman" w:hAnsi="Times New Roman"/>
        </w:rPr>
      </w:pPr>
      <w:r>
        <w:rPr>
          <w:rFonts w:ascii="Times New Roman" w:hAnsi="Times New Roman"/>
        </w:rPr>
        <w:t>Provincial Governor</w:t>
      </w:r>
    </w:p>
    <w:p w14:paraId="05B5B7C0" w14:textId="77777777" w:rsidR="00C16163" w:rsidRPr="00C16163" w:rsidRDefault="00C16163" w:rsidP="00F2085E">
      <w:pPr>
        <w:spacing w:after="0"/>
        <w:rPr>
          <w:rFonts w:ascii="Times New Roman" w:hAnsi="Times New Roman" w:cs="Arial"/>
          <w:b/>
          <w:sz w:val="24"/>
          <w:szCs w:val="24"/>
        </w:rPr>
      </w:pPr>
    </w:p>
    <w:sectPr w:rsidR="00C16163" w:rsidRPr="00C16163" w:rsidSect="00B4685F">
      <w:pgSz w:w="11906" w:h="16838" w:code="9"/>
      <w:pgMar w:top="1276" w:right="1440" w:bottom="851" w:left="1440"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FFE8B" w14:textId="77777777" w:rsidR="00727B04" w:rsidRDefault="00727B04">
      <w:pPr>
        <w:spacing w:after="0" w:line="240" w:lineRule="auto"/>
      </w:pPr>
      <w:r>
        <w:separator/>
      </w:r>
    </w:p>
  </w:endnote>
  <w:endnote w:type="continuationSeparator" w:id="0">
    <w:p w14:paraId="33979C2A" w14:textId="77777777" w:rsidR="00727B04" w:rsidRDefault="00727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89741" w14:textId="77777777" w:rsidR="00727B04" w:rsidRDefault="00727B04">
      <w:pPr>
        <w:spacing w:after="0" w:line="240" w:lineRule="auto"/>
      </w:pPr>
      <w:r>
        <w:separator/>
      </w:r>
    </w:p>
  </w:footnote>
  <w:footnote w:type="continuationSeparator" w:id="0">
    <w:p w14:paraId="78F22DD9" w14:textId="77777777" w:rsidR="00727B04" w:rsidRDefault="00727B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0E68"/>
    <w:multiLevelType w:val="multilevel"/>
    <w:tmpl w:val="A5E2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17429"/>
    <w:multiLevelType w:val="multilevel"/>
    <w:tmpl w:val="1426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41DB9"/>
    <w:multiLevelType w:val="hybridMultilevel"/>
    <w:tmpl w:val="D1AE7A14"/>
    <w:lvl w:ilvl="0" w:tplc="C5609DFE">
      <w:start w:val="1"/>
      <w:numFmt w:val="decimal"/>
      <w:lvlText w:val="%1."/>
      <w:lvlJc w:val="left"/>
      <w:pPr>
        <w:ind w:left="720" w:hanging="360"/>
      </w:pPr>
      <w:rPr>
        <w:rFonts w:ascii="Times New Roman" w:hAnsi="Times New Roman" w:cs="Arial" w:hint="default"/>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1E2827F2"/>
    <w:multiLevelType w:val="multilevel"/>
    <w:tmpl w:val="36D4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4430C4"/>
    <w:multiLevelType w:val="multilevel"/>
    <w:tmpl w:val="383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93D2E"/>
    <w:multiLevelType w:val="multilevel"/>
    <w:tmpl w:val="A52C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1804F2"/>
    <w:multiLevelType w:val="multilevel"/>
    <w:tmpl w:val="EA4A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1E5780"/>
    <w:multiLevelType w:val="multilevel"/>
    <w:tmpl w:val="1FBE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B5311"/>
    <w:multiLevelType w:val="hybridMultilevel"/>
    <w:tmpl w:val="E068B2C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35DC79C6"/>
    <w:multiLevelType w:val="multilevel"/>
    <w:tmpl w:val="FB208D34"/>
    <w:lvl w:ilvl="0">
      <w:start w:val="1"/>
      <w:numFmt w:val="decimal"/>
      <w:lvlText w:val="%1."/>
      <w:lvlJc w:val="left"/>
      <w:pPr>
        <w:tabs>
          <w:tab w:val="num" w:pos="720"/>
        </w:tabs>
        <w:ind w:left="493" w:hanging="351"/>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BB01FB2"/>
    <w:multiLevelType w:val="multilevel"/>
    <w:tmpl w:val="5F80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D553E9"/>
    <w:multiLevelType w:val="multilevel"/>
    <w:tmpl w:val="A48056C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42240FD9"/>
    <w:multiLevelType w:val="multilevel"/>
    <w:tmpl w:val="3854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81766"/>
    <w:multiLevelType w:val="multilevel"/>
    <w:tmpl w:val="C852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375BB5"/>
    <w:multiLevelType w:val="multilevel"/>
    <w:tmpl w:val="066E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C0E4F"/>
    <w:multiLevelType w:val="multilevel"/>
    <w:tmpl w:val="1906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B0348"/>
    <w:multiLevelType w:val="multilevel"/>
    <w:tmpl w:val="3ADC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87541"/>
    <w:multiLevelType w:val="multilevel"/>
    <w:tmpl w:val="FECCA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A32AF2"/>
    <w:multiLevelType w:val="multilevel"/>
    <w:tmpl w:val="738C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AC6E5D"/>
    <w:multiLevelType w:val="multilevel"/>
    <w:tmpl w:val="78D64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4C0612"/>
    <w:multiLevelType w:val="multilevel"/>
    <w:tmpl w:val="4340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9274C8"/>
    <w:multiLevelType w:val="multilevel"/>
    <w:tmpl w:val="F024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0C1B71"/>
    <w:multiLevelType w:val="multilevel"/>
    <w:tmpl w:val="F920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45630C"/>
    <w:multiLevelType w:val="multilevel"/>
    <w:tmpl w:val="3A80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DF7EF0"/>
    <w:multiLevelType w:val="multilevel"/>
    <w:tmpl w:val="0872638A"/>
    <w:lvl w:ilvl="0">
      <w:start w:val="1"/>
      <w:numFmt w:val="lowerLetter"/>
      <w:lvlText w:val="%1."/>
      <w:lvlJc w:val="left"/>
      <w:pPr>
        <w:ind w:left="1800" w:hanging="360"/>
      </w:pPr>
      <w:rPr>
        <w:b/>
      </w:rPr>
    </w:lvl>
    <w:lvl w:ilvl="1">
      <w:start w:val="1"/>
      <w:numFmt w:val="lowerLetter"/>
      <w:lvlText w:val="%2."/>
      <w:lvlJc w:val="left"/>
      <w:pPr>
        <w:ind w:left="2520" w:hanging="360"/>
      </w:pPr>
      <w:rPr>
        <w:b/>
      </w:rPr>
    </w:lvl>
    <w:lvl w:ilvl="2">
      <w:numFmt w:val="bullet"/>
      <w:lvlText w:val="-"/>
      <w:lvlJc w:val="left"/>
      <w:pPr>
        <w:ind w:left="3420" w:hanging="360"/>
      </w:pPr>
      <w:rPr>
        <w:rFonts w:ascii="Arial" w:hAnsi="Arial" w:cs="Arial" w:hint="default"/>
      </w:rPr>
    </w:lvl>
    <w:lvl w:ilvl="3">
      <w:start w:val="1"/>
      <w:numFmt w:val="upperLetter"/>
      <w:lvlText w:val="%4."/>
      <w:lvlJc w:val="left"/>
      <w:pPr>
        <w:ind w:left="3960" w:hanging="360"/>
      </w:pPr>
    </w:lvl>
    <w:lvl w:ilvl="4">
      <w:start w:val="6"/>
      <w:numFmt w:val="upperRoman"/>
      <w:lvlText w:val="%5."/>
      <w:lvlJc w:val="left"/>
      <w:pPr>
        <w:ind w:left="5040" w:hanging="72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5" w15:restartNumberingAfterBreak="0">
    <w:nsid w:val="763650DC"/>
    <w:multiLevelType w:val="multilevel"/>
    <w:tmpl w:val="7C04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A03895"/>
    <w:multiLevelType w:val="multilevel"/>
    <w:tmpl w:val="D726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4A412B"/>
    <w:multiLevelType w:val="multilevel"/>
    <w:tmpl w:val="8F0A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470053">
    <w:abstractNumId w:val="24"/>
  </w:num>
  <w:num w:numId="2" w16cid:durableId="464199927">
    <w:abstractNumId w:val="9"/>
  </w:num>
  <w:num w:numId="3" w16cid:durableId="243881964">
    <w:abstractNumId w:val="11"/>
  </w:num>
  <w:num w:numId="4" w16cid:durableId="2029987563">
    <w:abstractNumId w:val="8"/>
  </w:num>
  <w:num w:numId="5" w16cid:durableId="1150441009">
    <w:abstractNumId w:val="2"/>
  </w:num>
  <w:num w:numId="6" w16cid:durableId="1923830185">
    <w:abstractNumId w:val="26"/>
  </w:num>
  <w:num w:numId="7" w16cid:durableId="1311709697">
    <w:abstractNumId w:val="25"/>
  </w:num>
  <w:num w:numId="8" w16cid:durableId="611784049">
    <w:abstractNumId w:val="14"/>
  </w:num>
  <w:num w:numId="9" w16cid:durableId="1489247708">
    <w:abstractNumId w:val="15"/>
  </w:num>
  <w:num w:numId="10" w16cid:durableId="1247689739">
    <w:abstractNumId w:val="10"/>
  </w:num>
  <w:num w:numId="11" w16cid:durableId="1502701779">
    <w:abstractNumId w:val="13"/>
  </w:num>
  <w:num w:numId="12" w16cid:durableId="1292711878">
    <w:abstractNumId w:val="12"/>
  </w:num>
  <w:num w:numId="13" w16cid:durableId="666635311">
    <w:abstractNumId w:val="21"/>
  </w:num>
  <w:num w:numId="14" w16cid:durableId="2000501417">
    <w:abstractNumId w:val="1"/>
  </w:num>
  <w:num w:numId="15" w16cid:durableId="1592814230">
    <w:abstractNumId w:val="23"/>
  </w:num>
  <w:num w:numId="16" w16cid:durableId="1487865092">
    <w:abstractNumId w:val="17"/>
  </w:num>
  <w:num w:numId="17" w16cid:durableId="408818602">
    <w:abstractNumId w:val="5"/>
  </w:num>
  <w:num w:numId="18" w16cid:durableId="2103187423">
    <w:abstractNumId w:val="6"/>
  </w:num>
  <w:num w:numId="19" w16cid:durableId="1028986552">
    <w:abstractNumId w:val="0"/>
  </w:num>
  <w:num w:numId="20" w16cid:durableId="421797591">
    <w:abstractNumId w:val="16"/>
  </w:num>
  <w:num w:numId="21" w16cid:durableId="1396508992">
    <w:abstractNumId w:val="20"/>
  </w:num>
  <w:num w:numId="22" w16cid:durableId="1840386082">
    <w:abstractNumId w:val="4"/>
  </w:num>
  <w:num w:numId="23" w16cid:durableId="1316884256">
    <w:abstractNumId w:val="3"/>
  </w:num>
  <w:num w:numId="24" w16cid:durableId="1756393268">
    <w:abstractNumId w:val="22"/>
  </w:num>
  <w:num w:numId="25" w16cid:durableId="799542774">
    <w:abstractNumId w:val="27"/>
  </w:num>
  <w:num w:numId="26" w16cid:durableId="1855682932">
    <w:abstractNumId w:val="19"/>
  </w:num>
  <w:num w:numId="27" w16cid:durableId="1439372726">
    <w:abstractNumId w:val="18"/>
  </w:num>
  <w:num w:numId="28" w16cid:durableId="21344736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34"/>
    <w:rsid w:val="00016590"/>
    <w:rsid w:val="00027C34"/>
    <w:rsid w:val="00035949"/>
    <w:rsid w:val="00037E86"/>
    <w:rsid w:val="0005222D"/>
    <w:rsid w:val="00067A8A"/>
    <w:rsid w:val="000B60DF"/>
    <w:rsid w:val="000C3FEA"/>
    <w:rsid w:val="000E674F"/>
    <w:rsid w:val="000F4AE7"/>
    <w:rsid w:val="000F515B"/>
    <w:rsid w:val="00100854"/>
    <w:rsid w:val="00100F85"/>
    <w:rsid w:val="00103C91"/>
    <w:rsid w:val="0013428F"/>
    <w:rsid w:val="00136E8F"/>
    <w:rsid w:val="00155649"/>
    <w:rsid w:val="0016458A"/>
    <w:rsid w:val="001710D2"/>
    <w:rsid w:val="001B4D6E"/>
    <w:rsid w:val="001B7130"/>
    <w:rsid w:val="001C35B5"/>
    <w:rsid w:val="001C551D"/>
    <w:rsid w:val="001E2294"/>
    <w:rsid w:val="001E4893"/>
    <w:rsid w:val="001E6000"/>
    <w:rsid w:val="001F06A8"/>
    <w:rsid w:val="001F38CB"/>
    <w:rsid w:val="00201909"/>
    <w:rsid w:val="00232981"/>
    <w:rsid w:val="002379AE"/>
    <w:rsid w:val="002540FA"/>
    <w:rsid w:val="00271634"/>
    <w:rsid w:val="00275FA5"/>
    <w:rsid w:val="00284FC9"/>
    <w:rsid w:val="002935BD"/>
    <w:rsid w:val="002B44D2"/>
    <w:rsid w:val="002E6AEB"/>
    <w:rsid w:val="002E73D9"/>
    <w:rsid w:val="00304E32"/>
    <w:rsid w:val="00305A4E"/>
    <w:rsid w:val="00320AA3"/>
    <w:rsid w:val="003364DF"/>
    <w:rsid w:val="00351254"/>
    <w:rsid w:val="00354CDE"/>
    <w:rsid w:val="003656E0"/>
    <w:rsid w:val="003669FB"/>
    <w:rsid w:val="00391556"/>
    <w:rsid w:val="00395008"/>
    <w:rsid w:val="003B2822"/>
    <w:rsid w:val="003B324C"/>
    <w:rsid w:val="003B4602"/>
    <w:rsid w:val="003D543C"/>
    <w:rsid w:val="00405ED9"/>
    <w:rsid w:val="00410515"/>
    <w:rsid w:val="00410C9E"/>
    <w:rsid w:val="004120B8"/>
    <w:rsid w:val="00437A0E"/>
    <w:rsid w:val="0046537C"/>
    <w:rsid w:val="00483991"/>
    <w:rsid w:val="00492D89"/>
    <w:rsid w:val="00497D6D"/>
    <w:rsid w:val="004B72A5"/>
    <w:rsid w:val="004C3960"/>
    <w:rsid w:val="004C51CB"/>
    <w:rsid w:val="004D1DC1"/>
    <w:rsid w:val="005042FE"/>
    <w:rsid w:val="005278B2"/>
    <w:rsid w:val="00534FC4"/>
    <w:rsid w:val="00547D5F"/>
    <w:rsid w:val="0057172F"/>
    <w:rsid w:val="0057235A"/>
    <w:rsid w:val="0058398F"/>
    <w:rsid w:val="00591BF5"/>
    <w:rsid w:val="005B29B7"/>
    <w:rsid w:val="005E3E94"/>
    <w:rsid w:val="00601F38"/>
    <w:rsid w:val="006033A5"/>
    <w:rsid w:val="00630340"/>
    <w:rsid w:val="00637DBF"/>
    <w:rsid w:val="0064231B"/>
    <w:rsid w:val="006767EC"/>
    <w:rsid w:val="00684382"/>
    <w:rsid w:val="00690487"/>
    <w:rsid w:val="006962EA"/>
    <w:rsid w:val="006A5078"/>
    <w:rsid w:val="006C3F6E"/>
    <w:rsid w:val="006D2918"/>
    <w:rsid w:val="006D32AC"/>
    <w:rsid w:val="006E07A8"/>
    <w:rsid w:val="006F167D"/>
    <w:rsid w:val="006F2DB7"/>
    <w:rsid w:val="006F402F"/>
    <w:rsid w:val="00712ECC"/>
    <w:rsid w:val="00727B04"/>
    <w:rsid w:val="00752FC7"/>
    <w:rsid w:val="00755A2B"/>
    <w:rsid w:val="00762477"/>
    <w:rsid w:val="00771854"/>
    <w:rsid w:val="007A4EEB"/>
    <w:rsid w:val="007B421D"/>
    <w:rsid w:val="007D4E0C"/>
    <w:rsid w:val="00803F1A"/>
    <w:rsid w:val="00805ED4"/>
    <w:rsid w:val="00814A63"/>
    <w:rsid w:val="00816A8B"/>
    <w:rsid w:val="008409CC"/>
    <w:rsid w:val="0084661B"/>
    <w:rsid w:val="00876317"/>
    <w:rsid w:val="00887A6F"/>
    <w:rsid w:val="008968C6"/>
    <w:rsid w:val="008A449B"/>
    <w:rsid w:val="008B05E7"/>
    <w:rsid w:val="008D79ED"/>
    <w:rsid w:val="008E28E8"/>
    <w:rsid w:val="00923390"/>
    <w:rsid w:val="00960538"/>
    <w:rsid w:val="00962E00"/>
    <w:rsid w:val="009806D9"/>
    <w:rsid w:val="00983D6D"/>
    <w:rsid w:val="009953B9"/>
    <w:rsid w:val="00995661"/>
    <w:rsid w:val="009A6DCF"/>
    <w:rsid w:val="009C521F"/>
    <w:rsid w:val="009D080A"/>
    <w:rsid w:val="009D5408"/>
    <w:rsid w:val="009F3851"/>
    <w:rsid w:val="00A00AE6"/>
    <w:rsid w:val="00A05290"/>
    <w:rsid w:val="00A3225D"/>
    <w:rsid w:val="00A42F3A"/>
    <w:rsid w:val="00A51CC6"/>
    <w:rsid w:val="00A67DA1"/>
    <w:rsid w:val="00A7453D"/>
    <w:rsid w:val="00A977E8"/>
    <w:rsid w:val="00AA0614"/>
    <w:rsid w:val="00AB3313"/>
    <w:rsid w:val="00AC32FD"/>
    <w:rsid w:val="00AD0619"/>
    <w:rsid w:val="00AD111A"/>
    <w:rsid w:val="00AD340F"/>
    <w:rsid w:val="00AF289F"/>
    <w:rsid w:val="00AF4C0C"/>
    <w:rsid w:val="00AF7F54"/>
    <w:rsid w:val="00B123A8"/>
    <w:rsid w:val="00B201DE"/>
    <w:rsid w:val="00B4685F"/>
    <w:rsid w:val="00B56F2F"/>
    <w:rsid w:val="00B57FFD"/>
    <w:rsid w:val="00B71C41"/>
    <w:rsid w:val="00B859B2"/>
    <w:rsid w:val="00BA191B"/>
    <w:rsid w:val="00BC76C9"/>
    <w:rsid w:val="00BE3822"/>
    <w:rsid w:val="00C11133"/>
    <w:rsid w:val="00C16163"/>
    <w:rsid w:val="00C16B3F"/>
    <w:rsid w:val="00C216C0"/>
    <w:rsid w:val="00C21F6F"/>
    <w:rsid w:val="00C236F9"/>
    <w:rsid w:val="00C2632B"/>
    <w:rsid w:val="00C4053F"/>
    <w:rsid w:val="00C42029"/>
    <w:rsid w:val="00C43DA3"/>
    <w:rsid w:val="00C76FE1"/>
    <w:rsid w:val="00CB3A71"/>
    <w:rsid w:val="00CB46FE"/>
    <w:rsid w:val="00CC4883"/>
    <w:rsid w:val="00CE7073"/>
    <w:rsid w:val="00CF6897"/>
    <w:rsid w:val="00D036AB"/>
    <w:rsid w:val="00D10636"/>
    <w:rsid w:val="00D20FDC"/>
    <w:rsid w:val="00D3675F"/>
    <w:rsid w:val="00D50136"/>
    <w:rsid w:val="00D52EEB"/>
    <w:rsid w:val="00D564BB"/>
    <w:rsid w:val="00D84CB3"/>
    <w:rsid w:val="00D85501"/>
    <w:rsid w:val="00D94A8E"/>
    <w:rsid w:val="00D95ED3"/>
    <w:rsid w:val="00D96FD1"/>
    <w:rsid w:val="00DA3E0C"/>
    <w:rsid w:val="00DC23D5"/>
    <w:rsid w:val="00DE0373"/>
    <w:rsid w:val="00DE476B"/>
    <w:rsid w:val="00DF4131"/>
    <w:rsid w:val="00E07C30"/>
    <w:rsid w:val="00E4747B"/>
    <w:rsid w:val="00E5259C"/>
    <w:rsid w:val="00E646E7"/>
    <w:rsid w:val="00E67476"/>
    <w:rsid w:val="00E7031A"/>
    <w:rsid w:val="00E76C1E"/>
    <w:rsid w:val="00E830E3"/>
    <w:rsid w:val="00E86F45"/>
    <w:rsid w:val="00EA18C7"/>
    <w:rsid w:val="00EC2C02"/>
    <w:rsid w:val="00EC36C1"/>
    <w:rsid w:val="00EC7807"/>
    <w:rsid w:val="00ED2345"/>
    <w:rsid w:val="00F2085E"/>
    <w:rsid w:val="00F40DF9"/>
    <w:rsid w:val="00F67B31"/>
    <w:rsid w:val="00F7015C"/>
    <w:rsid w:val="00F73DCE"/>
    <w:rsid w:val="00F75EF1"/>
    <w:rsid w:val="00F81421"/>
    <w:rsid w:val="00F84B1A"/>
    <w:rsid w:val="00F92183"/>
    <w:rsid w:val="00F9295E"/>
    <w:rsid w:val="00FA6BDF"/>
    <w:rsid w:val="00FA6EDD"/>
    <w:rsid w:val="00FC75DC"/>
    <w:rsid w:val="00FE5B8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1C12E"/>
  <w15:docId w15:val="{0FA83DC8-9EDA-4DDB-8704-F9783DE6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Arial Unicode MS" w:hAnsi="Liberation Serif" w:cs="Arial Unicode MS"/>
        <w:sz w:val="24"/>
        <w:szCs w:val="24"/>
        <w:lang w:val="en-PH"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Wingdings" w:hAnsi="Wingdings" w:cs="Wingdings"/>
    </w:rPr>
  </w:style>
  <w:style w:type="character" w:customStyle="1" w:styleId="WW8Num1z4">
    <w:name w:val="WW8Num1z4"/>
    <w:qFormat/>
    <w:rPr>
      <w:rFonts w:ascii="Courier New" w:hAnsi="Courier New" w:cs="Courier New"/>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Candara" w:hAnsi="Candara" w:cs="Arial"/>
      <w:sz w:val="24"/>
      <w:szCs w:val="24"/>
      <w:lang w:eastAsia="en-US"/>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Candara" w:hAnsi="Candara" w:cs="Arial"/>
      <w:b w:val="0"/>
      <w:i w:val="0"/>
      <w:sz w:val="23"/>
      <w:szCs w:val="23"/>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Wingdings" w:hAnsi="Wingdings" w:cs="Wingdings"/>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cs="Symbol"/>
    </w:rPr>
  </w:style>
  <w:style w:type="character" w:customStyle="1" w:styleId="WW8Num25z0">
    <w:name w:val="WW8Num25z0"/>
    <w:qFormat/>
    <w:rPr>
      <w:rFonts w:ascii="Arial" w:eastAsia="Cambria" w:hAnsi="Arial" w:cs="Aria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rPr>
  </w:style>
  <w:style w:type="character" w:customStyle="1" w:styleId="WW8Num28z1">
    <w:name w:val="WW8Num28z1"/>
    <w:qFormat/>
    <w:rPr>
      <w:b/>
    </w:rPr>
  </w:style>
  <w:style w:type="character" w:customStyle="1" w:styleId="WW8Num28z2">
    <w:name w:val="WW8Num28z2"/>
    <w:qFormat/>
    <w:rPr>
      <w:rFonts w:ascii="Arial" w:eastAsia="Calibri" w:hAnsi="Arial" w:cs="Arial"/>
    </w:rPr>
  </w:style>
  <w:style w:type="character" w:customStyle="1" w:styleId="WW8Num28z3">
    <w:name w:val="WW8Num28z3"/>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b w:val="0"/>
      <w:i w:val="0"/>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ListParagraphChar">
    <w:name w:val="List Paragraph Char"/>
    <w:qFormat/>
    <w:rPr>
      <w:rFonts w:ascii="Calibri" w:eastAsia="Calibri" w:hAnsi="Calibri" w:cs="Times New Roman"/>
      <w:lang w:val="en-US"/>
    </w:rPr>
  </w:style>
  <w:style w:type="character" w:customStyle="1" w:styleId="BalloonTextChar">
    <w:name w:val="Balloon Text Char"/>
    <w:basedOn w:val="DefaultParagraphFont"/>
    <w:qFormat/>
    <w:rPr>
      <w:rFonts w:ascii="Tahoma" w:eastAsia="Calibri" w:hAnsi="Tahoma" w:cs="Tahoma"/>
      <w:sz w:val="16"/>
      <w:szCs w:val="16"/>
      <w:lang w:val="en-US"/>
    </w:rPr>
  </w:style>
  <w:style w:type="character" w:customStyle="1" w:styleId="HeaderChar">
    <w:name w:val="Header Char"/>
    <w:basedOn w:val="DefaultParagraphFont"/>
    <w:qFormat/>
    <w:rPr>
      <w:sz w:val="22"/>
      <w:szCs w:val="22"/>
      <w:lang w:val="en-US"/>
    </w:rPr>
  </w:style>
  <w:style w:type="character" w:customStyle="1" w:styleId="FooterChar">
    <w:name w:val="Footer Char"/>
    <w:basedOn w:val="DefaultParagraphFont"/>
    <w:qFormat/>
    <w:rPr>
      <w:sz w:val="22"/>
      <w:szCs w:val="22"/>
      <w:lang w:val="en-US"/>
    </w:rPr>
  </w:style>
  <w:style w:type="character" w:customStyle="1" w:styleId="NumberingSymbols">
    <w:name w:val="Numbering Symbols"/>
    <w:qFormat/>
  </w:style>
  <w:style w:type="character" w:customStyle="1" w:styleId="ListLabel1">
    <w:name w:val="ListLabel 1"/>
    <w:qFormat/>
    <w:rPr>
      <w:rFonts w:cs="Symbol"/>
    </w:rPr>
  </w:style>
  <w:style w:type="character" w:customStyle="1" w:styleId="ListLabel2">
    <w:name w:val="ListLabel 2"/>
    <w:qFormat/>
    <w:rPr>
      <w:b/>
    </w:rPr>
  </w:style>
  <w:style w:type="character" w:customStyle="1" w:styleId="ListLabel3">
    <w:name w:val="ListLabel 3"/>
    <w:qFormat/>
    <w:rPr>
      <w:b/>
    </w:rPr>
  </w:style>
  <w:style w:type="character" w:customStyle="1" w:styleId="ListLabel4">
    <w:name w:val="ListLabel 4"/>
    <w:qFormat/>
    <w:rPr>
      <w:rFonts w:cs="Arial"/>
    </w:rPr>
  </w:style>
  <w:style w:type="character" w:customStyle="1" w:styleId="ListLabel5">
    <w:name w:val="ListLabel 5"/>
    <w:qFormat/>
    <w:rPr>
      <w:b/>
    </w:rPr>
  </w:style>
  <w:style w:type="character" w:customStyle="1" w:styleId="ListLabel6">
    <w:name w:val="ListLabel 6"/>
    <w:qFormat/>
    <w:rPr>
      <w:b/>
    </w:rPr>
  </w:style>
  <w:style w:type="character" w:customStyle="1" w:styleId="ListLabel7">
    <w:name w:val="ListLabel 7"/>
    <w:qFormat/>
    <w:rPr>
      <w:rFonts w:cs="Arial"/>
    </w:rPr>
  </w:style>
  <w:style w:type="character" w:customStyle="1" w:styleId="ListLabel8">
    <w:name w:val="ListLabel 8"/>
    <w:qFormat/>
    <w:rPr>
      <w:b/>
    </w:rPr>
  </w:style>
  <w:style w:type="character" w:customStyle="1" w:styleId="ListLabel9">
    <w:name w:val="ListLabel 9"/>
    <w:qFormat/>
    <w:rPr>
      <w:b/>
    </w:rPr>
  </w:style>
  <w:style w:type="character" w:customStyle="1" w:styleId="ListLabel10">
    <w:name w:val="ListLabel 10"/>
    <w:qFormat/>
    <w:rPr>
      <w:rFonts w:cs="Arial"/>
    </w:rPr>
  </w:style>
  <w:style w:type="character" w:customStyle="1" w:styleId="ListLabel11">
    <w:name w:val="ListLabel 11"/>
    <w:qFormat/>
    <w:rPr>
      <w:b/>
    </w:rPr>
  </w:style>
  <w:style w:type="character" w:customStyle="1" w:styleId="ListLabel12">
    <w:name w:val="ListLabel 12"/>
    <w:qFormat/>
    <w:rPr>
      <w:b/>
    </w:rPr>
  </w:style>
  <w:style w:type="character" w:customStyle="1" w:styleId="ListLabel13">
    <w:name w:val="ListLabel 13"/>
    <w:qFormat/>
    <w:rPr>
      <w:rFonts w:cs="Arial"/>
    </w:rPr>
  </w:style>
  <w:style w:type="character" w:customStyle="1" w:styleId="ListLabel14">
    <w:name w:val="ListLabel 14"/>
    <w:qFormat/>
    <w:rPr>
      <w:b/>
    </w:rPr>
  </w:style>
  <w:style w:type="character" w:customStyle="1" w:styleId="ListLabel15">
    <w:name w:val="ListLabel 15"/>
    <w:qFormat/>
    <w:rPr>
      <w:b/>
    </w:rPr>
  </w:style>
  <w:style w:type="character" w:customStyle="1" w:styleId="ListLabel16">
    <w:name w:val="ListLabel 16"/>
    <w:qFormat/>
    <w:rPr>
      <w:rFonts w:cs="Arial"/>
    </w:rPr>
  </w:style>
  <w:style w:type="character" w:customStyle="1" w:styleId="ListLabel17">
    <w:name w:val="ListLabel 17"/>
    <w:qFormat/>
    <w:rPr>
      <w:b/>
    </w:rPr>
  </w:style>
  <w:style w:type="character" w:customStyle="1" w:styleId="ListLabel18">
    <w:name w:val="ListLabel 18"/>
    <w:qFormat/>
    <w:rPr>
      <w:b/>
    </w:rPr>
  </w:style>
  <w:style w:type="character" w:customStyle="1" w:styleId="ListLabel19">
    <w:name w:val="ListLabel 19"/>
    <w:qFormat/>
    <w:rPr>
      <w:rFonts w:cs="Arial"/>
    </w:rPr>
  </w:style>
  <w:style w:type="character" w:customStyle="1" w:styleId="ListLabel20">
    <w:name w:val="ListLabel 20"/>
    <w:qFormat/>
    <w:rPr>
      <w:b/>
    </w:rPr>
  </w:style>
  <w:style w:type="character" w:customStyle="1" w:styleId="ListLabel21">
    <w:name w:val="ListLabel 21"/>
    <w:qFormat/>
    <w:rPr>
      <w:b/>
    </w:rPr>
  </w:style>
  <w:style w:type="character" w:customStyle="1" w:styleId="ListLabel22">
    <w:name w:val="ListLabel 22"/>
    <w:qFormat/>
    <w:rPr>
      <w:rFonts w:cs="Arial"/>
    </w:rPr>
  </w:style>
  <w:style w:type="character" w:customStyle="1" w:styleId="ListLabel23">
    <w:name w:val="ListLabel 23"/>
    <w:qFormat/>
    <w:rPr>
      <w:b/>
    </w:rPr>
  </w:style>
  <w:style w:type="character" w:customStyle="1" w:styleId="ListLabel24">
    <w:name w:val="ListLabel 24"/>
    <w:qFormat/>
    <w:rPr>
      <w:b/>
    </w:rPr>
  </w:style>
  <w:style w:type="character" w:customStyle="1" w:styleId="ListLabel25">
    <w:name w:val="ListLabel 25"/>
    <w:qFormat/>
    <w:rPr>
      <w:rFonts w:cs="Arial"/>
    </w:rPr>
  </w:style>
  <w:style w:type="character" w:customStyle="1" w:styleId="ListLabel26">
    <w:name w:val="ListLabel 26"/>
    <w:qFormat/>
    <w:rPr>
      <w:b/>
    </w:rPr>
  </w:style>
  <w:style w:type="character" w:customStyle="1" w:styleId="ListLabel27">
    <w:name w:val="ListLabel 27"/>
    <w:qFormat/>
    <w:rPr>
      <w:b/>
    </w:rPr>
  </w:style>
  <w:style w:type="character" w:customStyle="1" w:styleId="ListLabel28">
    <w:name w:val="ListLabel 28"/>
    <w:qFormat/>
    <w:rPr>
      <w:rFonts w:cs="Arial"/>
    </w:rPr>
  </w:style>
  <w:style w:type="character" w:customStyle="1" w:styleId="ListLabel29">
    <w:name w:val="ListLabel 29"/>
    <w:qFormat/>
    <w:rPr>
      <w:b/>
    </w:rPr>
  </w:style>
  <w:style w:type="character" w:customStyle="1" w:styleId="ListLabel30">
    <w:name w:val="ListLabel 30"/>
    <w:qFormat/>
    <w:rPr>
      <w:b/>
    </w:rPr>
  </w:style>
  <w:style w:type="character" w:customStyle="1" w:styleId="ListLabel31">
    <w:name w:val="ListLabel 31"/>
    <w:qFormat/>
    <w:rPr>
      <w:rFonts w:cs="Arial"/>
    </w:rPr>
  </w:style>
  <w:style w:type="character" w:customStyle="1" w:styleId="ListLabel32">
    <w:name w:val="ListLabel 32"/>
    <w:qFormat/>
    <w:rPr>
      <w:b/>
    </w:rPr>
  </w:style>
  <w:style w:type="character" w:customStyle="1" w:styleId="ListLabel33">
    <w:name w:val="ListLabel 33"/>
    <w:qFormat/>
    <w:rPr>
      <w:b/>
    </w:rPr>
  </w:style>
  <w:style w:type="character" w:customStyle="1" w:styleId="ListLabel34">
    <w:name w:val="ListLabel 34"/>
    <w:qFormat/>
    <w:rPr>
      <w:rFonts w:cs="Arial"/>
    </w:rPr>
  </w:style>
  <w:style w:type="character" w:customStyle="1" w:styleId="ListLabel35">
    <w:name w:val="ListLabel 35"/>
    <w:qFormat/>
    <w:rPr>
      <w:b/>
    </w:rPr>
  </w:style>
  <w:style w:type="character" w:customStyle="1" w:styleId="ListLabel36">
    <w:name w:val="ListLabel 36"/>
    <w:qFormat/>
    <w:rPr>
      <w:b/>
    </w:rPr>
  </w:style>
  <w:style w:type="character" w:customStyle="1" w:styleId="ListLabel37">
    <w:name w:val="ListLabel 37"/>
    <w:qFormat/>
    <w:rPr>
      <w:rFonts w:cs="Arial"/>
    </w:rPr>
  </w:style>
  <w:style w:type="character" w:customStyle="1" w:styleId="ListLabel38">
    <w:name w:val="ListLabel 38"/>
    <w:qFormat/>
    <w:rPr>
      <w:b/>
    </w:rPr>
  </w:style>
  <w:style w:type="character" w:customStyle="1" w:styleId="ListLabel39">
    <w:name w:val="ListLabel 39"/>
    <w:qFormat/>
    <w:rPr>
      <w:b/>
    </w:rPr>
  </w:style>
  <w:style w:type="character" w:customStyle="1" w:styleId="ListLabel40">
    <w:name w:val="ListLabel 40"/>
    <w:qFormat/>
    <w:rPr>
      <w:rFonts w:cs="Arial"/>
    </w:rPr>
  </w:style>
  <w:style w:type="character" w:customStyle="1" w:styleId="ListLabel41">
    <w:name w:val="ListLabel 41"/>
    <w:qFormat/>
    <w:rPr>
      <w:b/>
    </w:rPr>
  </w:style>
  <w:style w:type="character" w:customStyle="1" w:styleId="ListLabel42">
    <w:name w:val="ListLabel 42"/>
    <w:qFormat/>
    <w:rPr>
      <w:b/>
    </w:rPr>
  </w:style>
  <w:style w:type="character" w:customStyle="1" w:styleId="ListLabel43">
    <w:name w:val="ListLabel 43"/>
    <w:qFormat/>
    <w:rPr>
      <w:rFonts w:cs="Arial"/>
    </w:rPr>
  </w:style>
  <w:style w:type="character" w:customStyle="1" w:styleId="ListLabel44">
    <w:name w:val="ListLabel 44"/>
    <w:qFormat/>
    <w:rPr>
      <w:b/>
    </w:rPr>
  </w:style>
  <w:style w:type="character" w:customStyle="1" w:styleId="ListLabel45">
    <w:name w:val="ListLabel 45"/>
    <w:qFormat/>
    <w:rPr>
      <w:b/>
    </w:rPr>
  </w:style>
  <w:style w:type="character" w:customStyle="1" w:styleId="ListLabel46">
    <w:name w:val="ListLabel 46"/>
    <w:qFormat/>
    <w:rPr>
      <w:rFonts w:cs="Arial"/>
    </w:rPr>
  </w:style>
  <w:style w:type="character" w:customStyle="1" w:styleId="ListLabel47">
    <w:name w:val="ListLabel 47"/>
    <w:qFormat/>
    <w:rPr>
      <w:b/>
    </w:rPr>
  </w:style>
  <w:style w:type="character" w:customStyle="1" w:styleId="ListLabel48">
    <w:name w:val="ListLabel 48"/>
    <w:qFormat/>
    <w:rPr>
      <w:b/>
    </w:rPr>
  </w:style>
  <w:style w:type="character" w:customStyle="1" w:styleId="ListLabel49">
    <w:name w:val="ListLabel 49"/>
    <w:qFormat/>
    <w:rPr>
      <w:rFonts w:cs="Arial"/>
    </w:rPr>
  </w:style>
  <w:style w:type="character" w:customStyle="1" w:styleId="ListLabel50">
    <w:name w:val="ListLabel 50"/>
    <w:qFormat/>
    <w:rPr>
      <w:b/>
    </w:rPr>
  </w:style>
  <w:style w:type="character" w:customStyle="1" w:styleId="ListLabel51">
    <w:name w:val="ListLabel 51"/>
    <w:qFormat/>
    <w:rPr>
      <w:b/>
    </w:rPr>
  </w:style>
  <w:style w:type="character" w:customStyle="1" w:styleId="ListLabel52">
    <w:name w:val="ListLabel 52"/>
    <w:qFormat/>
    <w:rPr>
      <w:rFonts w:cs="Arial"/>
    </w:rPr>
  </w:style>
  <w:style w:type="character" w:customStyle="1" w:styleId="ListLabel53">
    <w:name w:val="ListLabel 53"/>
    <w:qFormat/>
    <w:rPr>
      <w:b/>
    </w:rPr>
  </w:style>
  <w:style w:type="character" w:customStyle="1" w:styleId="ListLabel54">
    <w:name w:val="ListLabel 54"/>
    <w:qFormat/>
    <w:rPr>
      <w:b/>
    </w:rPr>
  </w:style>
  <w:style w:type="character" w:customStyle="1" w:styleId="ListLabel55">
    <w:name w:val="ListLabel 55"/>
    <w:qFormat/>
    <w:rPr>
      <w:rFonts w:cs="Arial"/>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ListParagraph">
    <w:name w:val="List Paragraph"/>
    <w:basedOn w:val="Normal"/>
    <w:qFormat/>
    <w:pPr>
      <w:ind w:left="720"/>
      <w:contextualSpacing/>
    </w:pPr>
    <w:rPr>
      <w:sz w:val="20"/>
      <w:szCs w:val="20"/>
    </w:rPr>
  </w:style>
  <w:style w:type="paragraph" w:customStyle="1" w:styleId="Default">
    <w:name w:val="Default"/>
    <w:qFormat/>
    <w:rPr>
      <w:rFonts w:ascii="Times New Roman" w:eastAsia="Calibri" w:hAnsi="Times New Roman" w:cs="Times New Roman"/>
      <w:color w:val="000000"/>
      <w:lang w:bidi="ar-SA"/>
    </w:rPr>
  </w:style>
  <w:style w:type="paragraph" w:styleId="NoSpacing">
    <w:name w:val="No Spacing"/>
    <w:qFormat/>
    <w:rPr>
      <w:rFonts w:ascii="Calibri" w:eastAsia="Calibri" w:hAnsi="Calibri" w:cs="Times New Roman"/>
      <w:sz w:val="22"/>
      <w:szCs w:val="22"/>
      <w:lang w:val="en-US" w:bidi="ar-SA"/>
    </w:rPr>
  </w:style>
  <w:style w:type="paragraph" w:styleId="BalloonText">
    <w:name w:val="Balloon Text"/>
    <w:basedOn w:val="Normal"/>
    <w:qFormat/>
    <w:pPr>
      <w:spacing w:after="0" w:line="240" w:lineRule="auto"/>
    </w:pPr>
    <w:rPr>
      <w:rFonts w:ascii="Tahoma" w:hAnsi="Tahoma" w:cs="Tahoma"/>
      <w:sz w:val="16"/>
      <w:szCs w:val="16"/>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TableofFigures">
    <w:name w:val="table of figures"/>
    <w:basedOn w:val="Caption"/>
    <w:qFormat/>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table" w:styleId="TableGrid">
    <w:name w:val="Table Grid"/>
    <w:basedOn w:val="TableNormal"/>
    <w:uiPriority w:val="59"/>
    <w:rsid w:val="0059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92D8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68C84-F855-4FDB-B16F-1805AD86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3273</Words>
  <Characters>18660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Abby Arienzano</cp:lastModifiedBy>
  <cp:revision>3</cp:revision>
  <cp:lastPrinted>2025-08-19T08:17:00Z</cp:lastPrinted>
  <dcterms:created xsi:type="dcterms:W3CDTF">2026-08-26T06:55:00Z</dcterms:created>
  <dcterms:modified xsi:type="dcterms:W3CDTF">2026-08-26T06:57:00Z</dcterms:modified>
  <dc:language>en-PH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55b5e661de813f9d14f286199409a366d6acf052dff5db8dc07a8fcd17d9982b</vt:lpwstr>
  </property>
</Properties>
</file>