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4751" w14:textId="77563352" w:rsidR="00364077" w:rsidRDefault="00364077" w:rsidP="00364077">
      <w:pPr>
        <w:jc w:val="both"/>
        <w:rPr>
          <w:rFonts w:cstheme="minorHAnsi"/>
          <w:lang w:val="en-GB"/>
        </w:rPr>
      </w:pPr>
      <w:r w:rsidRPr="00CD1A20">
        <w:rPr>
          <w:rFonts w:cstheme="minorHAnsi"/>
          <w:noProof/>
          <w:lang w:eastAsia="hu-HU"/>
        </w:rPr>
        <w:drawing>
          <wp:anchor distT="36576" distB="36576" distL="36576" distR="36576" simplePos="0" relativeHeight="251659264" behindDoc="0" locked="0" layoutInCell="1" allowOverlap="1" wp14:anchorId="18932942" wp14:editId="25D69647">
            <wp:simplePos x="0" y="0"/>
            <wp:positionH relativeFrom="margin">
              <wp:posOffset>3667893</wp:posOffset>
            </wp:positionH>
            <wp:positionV relativeFrom="paragraph">
              <wp:posOffset>68252</wp:posOffset>
            </wp:positionV>
            <wp:extent cx="3080385" cy="1002030"/>
            <wp:effectExtent l="0" t="0" r="5715" b="7620"/>
            <wp:wrapNone/>
            <wp:docPr id="1" name="Kép 1" descr="tk_logo_felol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_logo_felold_en"/>
                    <pic:cNvPicPr>
                      <a:picLocks noChangeAspect="1" noChangeArrowheads="1"/>
                    </pic:cNvPicPr>
                  </pic:nvPicPr>
                  <pic:blipFill>
                    <a:blip r:embed="rId5">
                      <a:extLst>
                        <a:ext uri="{28A0092B-C50C-407E-A947-70E740481C1C}">
                          <a14:useLocalDpi xmlns:a14="http://schemas.microsoft.com/office/drawing/2010/main" val="0"/>
                        </a:ext>
                      </a:extLst>
                    </a:blip>
                    <a:srcRect l="8177"/>
                    <a:stretch>
                      <a:fillRect/>
                    </a:stretch>
                  </pic:blipFill>
                  <pic:spPr bwMode="auto">
                    <a:xfrm>
                      <a:off x="0" y="0"/>
                      <a:ext cx="3080385" cy="1002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103CBF" w14:textId="68C3AF73" w:rsidR="00364077" w:rsidRPr="00364077" w:rsidRDefault="008B64C6" w:rsidP="00364077">
      <w:pPr>
        <w:jc w:val="both"/>
        <w:rPr>
          <w:rFonts w:cstheme="minorHAnsi"/>
          <w:b/>
          <w:bCs/>
          <w:lang w:val="en-GB"/>
        </w:rPr>
      </w:pPr>
      <w:r>
        <w:rPr>
          <w:rFonts w:cstheme="minorHAnsi"/>
          <w:b/>
          <w:bCs/>
          <w:lang w:val="en-GB"/>
        </w:rPr>
        <w:t>Vanda Vadász</w:t>
      </w:r>
    </w:p>
    <w:p w14:paraId="31F749B9" w14:textId="0CBD9A0F" w:rsidR="00364077" w:rsidRPr="00364077" w:rsidRDefault="008B64C6" w:rsidP="00364077">
      <w:pPr>
        <w:jc w:val="both"/>
        <w:rPr>
          <w:rFonts w:cstheme="minorHAnsi"/>
          <w:b/>
          <w:bCs/>
          <w:lang w:val="en-GB"/>
        </w:rPr>
      </w:pPr>
      <w:r>
        <w:rPr>
          <w:rFonts w:cstheme="minorHAnsi"/>
          <w:b/>
          <w:bCs/>
          <w:lang w:val="en-GB"/>
        </w:rPr>
        <w:t>Institute for Legal Studies</w:t>
      </w:r>
    </w:p>
    <w:p w14:paraId="7F80D8CC" w14:textId="77777777" w:rsidR="00695697" w:rsidRPr="00CD1A20" w:rsidRDefault="00695697" w:rsidP="00A63AB6">
      <w:pPr>
        <w:jc w:val="both"/>
        <w:rPr>
          <w:rFonts w:cstheme="minorHAnsi"/>
          <w:lang w:val="en-GB"/>
        </w:rPr>
      </w:pPr>
    </w:p>
    <w:p w14:paraId="0D0A0CCA" w14:textId="3770C7B9" w:rsidR="00695697" w:rsidRDefault="00695697" w:rsidP="00A63AB6">
      <w:pPr>
        <w:jc w:val="center"/>
        <w:rPr>
          <w:rFonts w:cstheme="minorHAnsi"/>
          <w:b/>
          <w:bCs/>
          <w:lang w:val="en-GB"/>
        </w:rPr>
      </w:pPr>
      <w:r w:rsidRPr="00CD1A20">
        <w:rPr>
          <w:rFonts w:cstheme="minorHAnsi"/>
          <w:b/>
          <w:bCs/>
          <w:lang w:val="en-GB"/>
        </w:rPr>
        <w:t>Expertise offer form</w:t>
      </w:r>
    </w:p>
    <w:p w14:paraId="7CAADF3E" w14:textId="725C6A34" w:rsidR="00D60056" w:rsidRPr="00CD1A20" w:rsidRDefault="00D60056" w:rsidP="00A63AB6">
      <w:pPr>
        <w:jc w:val="center"/>
        <w:rPr>
          <w:rFonts w:cstheme="minorHAnsi"/>
          <w:b/>
          <w:bCs/>
          <w:lang w:val="en-GB"/>
        </w:rPr>
      </w:pPr>
      <w:r>
        <w:rPr>
          <w:rFonts w:cstheme="minorHAnsi"/>
          <w:b/>
          <w:bCs/>
          <w:lang w:val="en-GB"/>
        </w:rPr>
        <w:t>(task lead, partner)</w:t>
      </w:r>
    </w:p>
    <w:p w14:paraId="75175C13" w14:textId="77777777" w:rsidR="00695697" w:rsidRPr="00CD1A20" w:rsidRDefault="00695697" w:rsidP="00A63AB6">
      <w:pPr>
        <w:pStyle w:val="Listaszerbekezds"/>
        <w:numPr>
          <w:ilvl w:val="0"/>
          <w:numId w:val="3"/>
        </w:numPr>
        <w:ind w:left="426"/>
        <w:jc w:val="both"/>
        <w:rPr>
          <w:rFonts w:cstheme="minorHAnsi"/>
          <w:lang w:val="en-GB"/>
        </w:rPr>
      </w:pPr>
      <w:r w:rsidRPr="00CD1A20">
        <w:rPr>
          <w:rFonts w:cstheme="minorHAnsi"/>
          <w:b/>
          <w:bCs/>
          <w:lang w:val="en-GB"/>
        </w:rPr>
        <w:t xml:space="preserve">Call number and title: </w:t>
      </w:r>
    </w:p>
    <w:p w14:paraId="2086CACD" w14:textId="79AEADEB" w:rsidR="00196B62" w:rsidRDefault="00A9045A" w:rsidP="00A63AB6">
      <w:pPr>
        <w:pStyle w:val="Listaszerbekezds"/>
        <w:ind w:left="426"/>
        <w:jc w:val="both"/>
      </w:pPr>
      <w:hyperlink r:id="rId6" w:history="1">
        <w:r w:rsidRPr="00A9045A">
          <w:rPr>
            <w:rStyle w:val="Hiperhivatkozs"/>
          </w:rPr>
          <w:t>HORIZON-CL2-2026-01-HERITAGE-07</w:t>
        </w:r>
      </w:hyperlink>
      <w:r w:rsidRPr="00A9045A">
        <w:t xml:space="preserve">: </w:t>
      </w:r>
      <w:proofErr w:type="spellStart"/>
      <w:r w:rsidRPr="00A9045A">
        <w:t>Preventing</w:t>
      </w:r>
      <w:proofErr w:type="spellEnd"/>
      <w:r w:rsidRPr="00A9045A">
        <w:t xml:space="preserve"> and </w:t>
      </w:r>
      <w:proofErr w:type="spellStart"/>
      <w:r w:rsidRPr="00A9045A">
        <w:t>fighting</w:t>
      </w:r>
      <w:proofErr w:type="spellEnd"/>
      <w:r w:rsidRPr="00A9045A">
        <w:t xml:space="preserve"> </w:t>
      </w:r>
      <w:proofErr w:type="spellStart"/>
      <w:r w:rsidRPr="00A9045A">
        <w:t>illicit</w:t>
      </w:r>
      <w:proofErr w:type="spellEnd"/>
      <w:r w:rsidRPr="00A9045A">
        <w:t xml:space="preserve"> </w:t>
      </w:r>
      <w:proofErr w:type="spellStart"/>
      <w:r w:rsidRPr="00A9045A">
        <w:t>trafficking</w:t>
      </w:r>
      <w:proofErr w:type="spellEnd"/>
      <w:r w:rsidRPr="00A9045A">
        <w:t xml:space="preserve"> of </w:t>
      </w:r>
      <w:proofErr w:type="spellStart"/>
      <w:r w:rsidRPr="00A9045A">
        <w:t>cultural</w:t>
      </w:r>
      <w:proofErr w:type="spellEnd"/>
      <w:r w:rsidRPr="00A9045A">
        <w:t xml:space="preserve"> </w:t>
      </w:r>
      <w:proofErr w:type="spellStart"/>
      <w:r w:rsidRPr="00A9045A">
        <w:t>goods</w:t>
      </w:r>
      <w:proofErr w:type="spellEnd"/>
      <w:r>
        <w:t>.</w:t>
      </w:r>
    </w:p>
    <w:p w14:paraId="03B51632" w14:textId="77777777" w:rsidR="00A9045A" w:rsidRPr="00D0686F" w:rsidRDefault="00A9045A" w:rsidP="00A63AB6">
      <w:pPr>
        <w:pStyle w:val="Listaszerbekezds"/>
        <w:ind w:left="426"/>
        <w:jc w:val="both"/>
        <w:rPr>
          <w:rFonts w:cstheme="minorHAnsi"/>
          <w:bCs/>
          <w:lang w:val="en-GB"/>
        </w:rPr>
      </w:pPr>
    </w:p>
    <w:p w14:paraId="01B2390D" w14:textId="281158B4" w:rsidR="00695697" w:rsidRPr="00CD1A20" w:rsidRDefault="00364077" w:rsidP="00F85B9E">
      <w:pPr>
        <w:pStyle w:val="Listaszerbekezds"/>
        <w:widowControl w:val="0"/>
        <w:numPr>
          <w:ilvl w:val="0"/>
          <w:numId w:val="3"/>
        </w:numPr>
        <w:ind w:left="426" w:hanging="284"/>
        <w:jc w:val="both"/>
        <w:rPr>
          <w:rFonts w:cstheme="minorHAnsi"/>
          <w:b/>
          <w:bCs/>
          <w:lang w:val="en-GB"/>
        </w:rPr>
      </w:pPr>
      <w:r>
        <w:rPr>
          <w:rFonts w:cstheme="minorHAnsi"/>
          <w:b/>
          <w:bCs/>
          <w:lang w:val="en-GB"/>
        </w:rPr>
        <w:t>Introduction</w:t>
      </w:r>
    </w:p>
    <w:p w14:paraId="3AB4397C" w14:textId="7DA60FF6" w:rsidR="00A9045A" w:rsidRPr="00A9045A" w:rsidRDefault="00A9045A" w:rsidP="003174F2">
      <w:pPr>
        <w:pStyle w:val="NormlWeb"/>
        <w:spacing w:line="360" w:lineRule="auto"/>
        <w:ind w:left="284" w:right="685"/>
        <w:jc w:val="both"/>
        <w:rPr>
          <w:rFonts w:asciiTheme="minorHAnsi" w:hAnsiTheme="minorHAnsi" w:cstheme="minorHAnsi"/>
          <w:color w:val="000000"/>
          <w:sz w:val="22"/>
          <w:szCs w:val="22"/>
          <w:lang w:val="en-GB"/>
        </w:rPr>
      </w:pPr>
      <w:r w:rsidRPr="00A9045A">
        <w:rPr>
          <w:rFonts w:asciiTheme="minorHAnsi" w:hAnsiTheme="minorHAnsi" w:cstheme="minorHAnsi"/>
          <w:color w:val="000000"/>
          <w:sz w:val="22"/>
          <w:szCs w:val="22"/>
          <w:lang w:val="en-GB"/>
        </w:rPr>
        <w:t>Vanda Vadász is a Research Fellow and Scientific Officer at the Institute for Legal Studies</w:t>
      </w:r>
      <w:r>
        <w:rPr>
          <w:rFonts w:asciiTheme="minorHAnsi" w:hAnsiTheme="minorHAnsi" w:cstheme="minorHAnsi"/>
          <w:color w:val="000000"/>
          <w:sz w:val="22"/>
          <w:szCs w:val="22"/>
          <w:lang w:val="en-GB"/>
        </w:rPr>
        <w:t xml:space="preserve">, Centre for Social Sciences </w:t>
      </w:r>
      <w:r w:rsidRPr="00A9045A">
        <w:rPr>
          <w:rFonts w:asciiTheme="minorHAnsi" w:hAnsiTheme="minorHAnsi" w:cstheme="minorHAnsi"/>
          <w:color w:val="000000"/>
          <w:sz w:val="22"/>
          <w:szCs w:val="22"/>
          <w:lang w:val="en-GB"/>
        </w:rPr>
        <w:t>of Eötvös Loránd University. She received her PhD in Law from Pázmány Péter Catholic University in 2022. Her research focuses on the private international law aspects of cultural property disputes, including restitution claims, public collections, and the impact of European law on national conflict-of-laws regimes.</w:t>
      </w:r>
    </w:p>
    <w:p w14:paraId="4C780DA7" w14:textId="50202E89" w:rsidR="00A9045A" w:rsidRPr="00A9045A" w:rsidRDefault="00A9045A" w:rsidP="003174F2">
      <w:pPr>
        <w:pStyle w:val="NormlWeb"/>
        <w:spacing w:line="360" w:lineRule="auto"/>
        <w:ind w:left="284" w:right="685"/>
        <w:jc w:val="both"/>
        <w:rPr>
          <w:rFonts w:asciiTheme="minorHAnsi" w:hAnsiTheme="minorHAnsi" w:cstheme="minorHAnsi"/>
          <w:color w:val="000000"/>
          <w:sz w:val="22"/>
          <w:szCs w:val="22"/>
          <w:lang w:val="en-GB"/>
        </w:rPr>
      </w:pPr>
      <w:r w:rsidRPr="00A9045A">
        <w:rPr>
          <w:rFonts w:asciiTheme="minorHAnsi" w:hAnsiTheme="minorHAnsi" w:cstheme="minorHAnsi"/>
          <w:color w:val="000000"/>
          <w:sz w:val="22"/>
          <w:szCs w:val="22"/>
          <w:lang w:val="en-GB"/>
        </w:rPr>
        <w:t>She previously served as a lecturer in private international law at Pázmány Péter Catholic University (2015–2022). She has participated in international academic programmes such as the BIICL course on International Cultural Heritage Law and the IMT Lucca summer school on cultural heritage protection. Her recent conference presentations include the Journal of Private International Law 20th Anniversary Conference at UCL.</w:t>
      </w:r>
      <w:r w:rsidR="001137CB">
        <w:rPr>
          <w:rFonts w:asciiTheme="minorHAnsi" w:hAnsiTheme="minorHAnsi" w:cstheme="minorHAnsi"/>
          <w:color w:val="000000"/>
          <w:sz w:val="22"/>
          <w:szCs w:val="22"/>
          <w:lang w:val="en-GB"/>
        </w:rPr>
        <w:t xml:space="preserve"> </w:t>
      </w:r>
      <w:r w:rsidR="001137CB" w:rsidRPr="001137CB">
        <w:rPr>
          <w:rFonts w:asciiTheme="minorHAnsi" w:hAnsiTheme="minorHAnsi" w:cstheme="minorHAnsi"/>
          <w:color w:val="000000"/>
          <w:sz w:val="22"/>
          <w:szCs w:val="22"/>
          <w:lang w:val="en-GB"/>
        </w:rPr>
        <w:t xml:space="preserve">She is an active participant in COST Action </w:t>
      </w:r>
      <w:r w:rsidR="001137CB">
        <w:rPr>
          <w:rFonts w:asciiTheme="minorHAnsi" w:hAnsiTheme="minorHAnsi" w:cstheme="minorHAnsi"/>
          <w:color w:val="000000"/>
          <w:sz w:val="22"/>
          <w:szCs w:val="22"/>
          <w:lang w:val="en-GB"/>
        </w:rPr>
        <w:t>“</w:t>
      </w:r>
      <w:r w:rsidR="001137CB" w:rsidRPr="001137CB">
        <w:rPr>
          <w:rFonts w:asciiTheme="minorHAnsi" w:hAnsiTheme="minorHAnsi" w:cstheme="minorHAnsi"/>
          <w:color w:val="000000"/>
          <w:sz w:val="22"/>
          <w:szCs w:val="22"/>
          <w:lang w:val="en-GB"/>
        </w:rPr>
        <w:t>Cultural Property Protection for All</w:t>
      </w:r>
      <w:r w:rsidR="001137CB">
        <w:rPr>
          <w:rFonts w:asciiTheme="minorHAnsi" w:hAnsiTheme="minorHAnsi" w:cstheme="minorHAnsi"/>
          <w:color w:val="000000"/>
          <w:sz w:val="22"/>
          <w:szCs w:val="22"/>
          <w:lang w:val="en-GB"/>
        </w:rPr>
        <w:t>”</w:t>
      </w:r>
      <w:r w:rsidR="001137CB" w:rsidRPr="001137CB">
        <w:rPr>
          <w:rFonts w:asciiTheme="minorHAnsi" w:hAnsiTheme="minorHAnsi" w:cstheme="minorHAnsi"/>
          <w:color w:val="000000"/>
          <w:sz w:val="22"/>
          <w:szCs w:val="22"/>
          <w:lang w:val="en-GB"/>
        </w:rPr>
        <w:t>, contributing to interdisciplinary work on bridging gaps between international conventions, EU law, and national legislation in the field of cultural heritage protection.</w:t>
      </w:r>
    </w:p>
    <w:p w14:paraId="56AC928C" w14:textId="77777777" w:rsidR="00A9045A" w:rsidRDefault="00A9045A" w:rsidP="003174F2">
      <w:pPr>
        <w:pStyle w:val="NormlWeb"/>
        <w:spacing w:line="360" w:lineRule="auto"/>
        <w:ind w:left="284" w:right="685"/>
        <w:jc w:val="both"/>
        <w:rPr>
          <w:rFonts w:asciiTheme="minorHAnsi" w:hAnsiTheme="minorHAnsi" w:cstheme="minorHAnsi"/>
          <w:color w:val="000000"/>
          <w:sz w:val="22"/>
          <w:szCs w:val="22"/>
          <w:lang w:val="en-GB"/>
        </w:rPr>
      </w:pPr>
      <w:r w:rsidRPr="00A9045A">
        <w:rPr>
          <w:rFonts w:asciiTheme="minorHAnsi" w:hAnsiTheme="minorHAnsi" w:cstheme="minorHAnsi"/>
          <w:color w:val="000000"/>
          <w:sz w:val="22"/>
          <w:szCs w:val="22"/>
          <w:lang w:val="en-GB"/>
        </w:rPr>
        <w:t>Her publications appear in leading journals and edited volumes, including the International Journal of Cultural Property, the Santander Art and Culture Law Review, and the Hungarian Yearbook of International and European Law. She is the author of a monograph on the private international law aspects of cultural property restitution (2025). Her work combines doctrinal analysis with comparative and interdisciplinary perspectives on cultural heritage law.</w:t>
      </w:r>
    </w:p>
    <w:p w14:paraId="0A7C1750" w14:textId="6E019DBA" w:rsidR="00D11833" w:rsidRDefault="006D393B" w:rsidP="003174F2">
      <w:pPr>
        <w:pStyle w:val="NormlWeb"/>
        <w:spacing w:line="360" w:lineRule="auto"/>
        <w:ind w:left="284" w:right="685"/>
        <w:jc w:val="both"/>
      </w:pPr>
      <w:r w:rsidRPr="00364077">
        <w:rPr>
          <w:rFonts w:asciiTheme="minorHAnsi" w:hAnsiTheme="minorHAnsi" w:cstheme="minorHAnsi"/>
          <w:color w:val="000000"/>
          <w:sz w:val="22"/>
          <w:szCs w:val="22"/>
          <w:shd w:val="clear" w:color="auto" w:fill="FFFFFF"/>
          <w:lang w:val="en-GB"/>
        </w:rPr>
        <w:t xml:space="preserve">More information: </w:t>
      </w:r>
      <w:hyperlink r:id="rId7" w:history="1">
        <w:r w:rsidR="00A9045A" w:rsidRPr="008C1835">
          <w:rPr>
            <w:rStyle w:val="Hiperhivatkozs"/>
            <w:rFonts w:asciiTheme="minorHAnsi" w:hAnsiTheme="minorHAnsi" w:cstheme="minorHAnsi"/>
            <w:sz w:val="22"/>
            <w:szCs w:val="22"/>
            <w:shd w:val="clear" w:color="auto" w:fill="FFFFFF"/>
            <w:lang w:val="en-GB"/>
          </w:rPr>
          <w:t>https://jog.tk.elte.hu/en/researcher/vadasz-vanda</w:t>
        </w:r>
      </w:hyperlink>
    </w:p>
    <w:p w14:paraId="65855CCD" w14:textId="77777777" w:rsidR="003174F2" w:rsidRPr="00F85B9E" w:rsidRDefault="003174F2" w:rsidP="00A9045A">
      <w:pPr>
        <w:pStyle w:val="NormlWeb"/>
        <w:spacing w:line="360" w:lineRule="auto"/>
        <w:jc w:val="both"/>
        <w:rPr>
          <w:rFonts w:asciiTheme="minorHAnsi" w:hAnsiTheme="minorHAnsi" w:cstheme="minorHAnsi"/>
          <w:color w:val="000000"/>
          <w:sz w:val="22"/>
          <w:szCs w:val="22"/>
          <w:shd w:val="clear" w:color="auto" w:fill="FFFFFF"/>
          <w:lang w:val="en-GB"/>
        </w:rPr>
      </w:pPr>
    </w:p>
    <w:p w14:paraId="5596FD3A" w14:textId="77777777" w:rsidR="00695697" w:rsidRPr="00CD1A20" w:rsidRDefault="00695697" w:rsidP="00A63AB6">
      <w:pPr>
        <w:pStyle w:val="Listaszerbekezds"/>
        <w:widowControl w:val="0"/>
        <w:numPr>
          <w:ilvl w:val="0"/>
          <w:numId w:val="3"/>
        </w:numPr>
        <w:ind w:left="426"/>
        <w:jc w:val="both"/>
        <w:rPr>
          <w:rFonts w:cstheme="minorHAnsi"/>
          <w:b/>
          <w:bCs/>
          <w:lang w:val="en-GB"/>
        </w:rPr>
      </w:pPr>
      <w:r w:rsidRPr="00CD1A20">
        <w:rPr>
          <w:rFonts w:cstheme="minorHAnsi"/>
          <w:b/>
          <w:bCs/>
          <w:lang w:val="en-GB"/>
        </w:rPr>
        <w:t>Expertise offer for the call</w:t>
      </w:r>
    </w:p>
    <w:p w14:paraId="4BFAAFDB" w14:textId="77777777" w:rsidR="00906092" w:rsidRDefault="00906092" w:rsidP="00906092">
      <w:pPr>
        <w:pStyle w:val="Listaszerbekezds"/>
        <w:numPr>
          <w:ilvl w:val="0"/>
          <w:numId w:val="7"/>
        </w:numPr>
        <w:jc w:val="both"/>
        <w:rPr>
          <w:rFonts w:cstheme="minorHAnsi"/>
          <w:lang w:val="en-GB"/>
        </w:rPr>
      </w:pPr>
      <w:r w:rsidRPr="00906092">
        <w:rPr>
          <w:rFonts w:cstheme="minorHAnsi"/>
          <w:lang w:val="en-GB"/>
        </w:rPr>
        <w:t>Private international law analysis of cultural property disputes, including jurisdiction, applicable law, and recognition of foreign decisions</w:t>
      </w:r>
    </w:p>
    <w:p w14:paraId="5A349148" w14:textId="0F22FAC2" w:rsidR="001105E4" w:rsidRDefault="00906092" w:rsidP="00906092">
      <w:pPr>
        <w:pStyle w:val="Listaszerbekezds"/>
        <w:numPr>
          <w:ilvl w:val="0"/>
          <w:numId w:val="7"/>
        </w:numPr>
        <w:jc w:val="both"/>
        <w:rPr>
          <w:rFonts w:cstheme="minorHAnsi"/>
          <w:lang w:val="en-GB"/>
        </w:rPr>
      </w:pPr>
      <w:r w:rsidRPr="00906092">
        <w:rPr>
          <w:rFonts w:cstheme="minorHAnsi"/>
          <w:lang w:val="en-GB"/>
        </w:rPr>
        <w:t>Legal and policy assessment of restitution frameworks for cultural objects, with particular focus on public collections and State-held heritage</w:t>
      </w:r>
    </w:p>
    <w:p w14:paraId="0C8EF294" w14:textId="11FD12E1" w:rsidR="00906092" w:rsidRDefault="00906092" w:rsidP="00906092">
      <w:pPr>
        <w:pStyle w:val="Listaszerbekezds"/>
        <w:numPr>
          <w:ilvl w:val="0"/>
          <w:numId w:val="7"/>
        </w:numPr>
        <w:jc w:val="both"/>
        <w:rPr>
          <w:rFonts w:cstheme="minorHAnsi"/>
          <w:lang w:val="en-GB"/>
        </w:rPr>
      </w:pPr>
      <w:r w:rsidRPr="00906092">
        <w:rPr>
          <w:rFonts w:cstheme="minorHAnsi"/>
          <w:lang w:val="en-GB"/>
        </w:rPr>
        <w:t>Comparative analysis of national legal frameworks concerning ownership, due diligence, and restitution of cultural property</w:t>
      </w:r>
    </w:p>
    <w:p w14:paraId="3E1EDF37" w14:textId="77777777" w:rsidR="00906092" w:rsidRPr="00CD1A20" w:rsidRDefault="00906092" w:rsidP="00906092">
      <w:pPr>
        <w:pStyle w:val="Listaszerbekezds"/>
        <w:ind w:left="426"/>
        <w:jc w:val="both"/>
        <w:rPr>
          <w:rFonts w:cstheme="minorHAnsi"/>
          <w:lang w:val="en-GB"/>
        </w:rPr>
      </w:pPr>
    </w:p>
    <w:p w14:paraId="2DB66CB8" w14:textId="77777777" w:rsidR="00695697" w:rsidRPr="00CD1A20" w:rsidRDefault="00695697" w:rsidP="00A63AB6">
      <w:pPr>
        <w:pStyle w:val="Listaszerbekezds"/>
        <w:widowControl w:val="0"/>
        <w:numPr>
          <w:ilvl w:val="0"/>
          <w:numId w:val="3"/>
        </w:numPr>
        <w:ind w:left="426"/>
        <w:jc w:val="both"/>
        <w:rPr>
          <w:rFonts w:cstheme="minorHAnsi"/>
          <w:lang w:val="en-GB"/>
        </w:rPr>
      </w:pPr>
      <w:r w:rsidRPr="00CD1A20">
        <w:rPr>
          <w:rFonts w:cstheme="minorHAnsi"/>
          <w:b/>
          <w:bCs/>
          <w:lang w:val="en-GB"/>
        </w:rPr>
        <w:t>Relevant research experience, skills &amp; publications</w:t>
      </w:r>
    </w:p>
    <w:p w14:paraId="7F089C35" w14:textId="0D8394F1" w:rsidR="0043236B" w:rsidRDefault="0043236B" w:rsidP="0043236B">
      <w:pPr>
        <w:jc w:val="both"/>
      </w:pPr>
      <w:r>
        <w:t xml:space="preserve">Vadász, V. – </w:t>
      </w:r>
      <w:proofErr w:type="spellStart"/>
      <w:r>
        <w:t>Buzinkay</w:t>
      </w:r>
      <w:proofErr w:type="spellEnd"/>
      <w:r>
        <w:t xml:space="preserve">, P. (2025): </w:t>
      </w:r>
      <w:proofErr w:type="spellStart"/>
      <w:r>
        <w:t>Safeguarding</w:t>
      </w:r>
      <w:proofErr w:type="spellEnd"/>
      <w:r>
        <w:t xml:space="preserve"> Public </w:t>
      </w:r>
      <w:proofErr w:type="spellStart"/>
      <w:r>
        <w:t>Collections</w:t>
      </w:r>
      <w:proofErr w:type="spellEnd"/>
      <w:r>
        <w:t xml:space="preserve">: A New </w:t>
      </w:r>
      <w:proofErr w:type="spellStart"/>
      <w:r>
        <w:t>Approach</w:t>
      </w:r>
      <w:proofErr w:type="spellEnd"/>
      <w:r>
        <w:t xml:space="preserve"> to the </w:t>
      </w:r>
      <w:proofErr w:type="spellStart"/>
      <w:r>
        <w:t>Recovery</w:t>
      </w:r>
      <w:proofErr w:type="spellEnd"/>
      <w:r>
        <w:t xml:space="preserve"> of </w:t>
      </w:r>
      <w:proofErr w:type="spellStart"/>
      <w:r>
        <w:t>Cultural</w:t>
      </w:r>
      <w:proofErr w:type="spellEnd"/>
      <w:r>
        <w:t xml:space="preserve"> </w:t>
      </w:r>
      <w:proofErr w:type="spellStart"/>
      <w:r>
        <w:t>Objects</w:t>
      </w:r>
      <w:proofErr w:type="spellEnd"/>
      <w:r>
        <w:t xml:space="preserve"> </w:t>
      </w:r>
      <w:proofErr w:type="spellStart"/>
      <w:r>
        <w:t>Unlawfully</w:t>
      </w:r>
      <w:proofErr w:type="spellEnd"/>
      <w:r>
        <w:t xml:space="preserve"> </w:t>
      </w:r>
      <w:proofErr w:type="spellStart"/>
      <w:r>
        <w:t>Removed</w:t>
      </w:r>
      <w:proofErr w:type="spellEnd"/>
      <w:r>
        <w:t xml:space="preserve"> from </w:t>
      </w:r>
      <w:proofErr w:type="spellStart"/>
      <w:r>
        <w:t>State</w:t>
      </w:r>
      <w:proofErr w:type="spellEnd"/>
      <w:r>
        <w:t xml:space="preserve"> </w:t>
      </w:r>
      <w:proofErr w:type="spellStart"/>
      <w:r>
        <w:t>Ownership</w:t>
      </w:r>
      <w:proofErr w:type="spellEnd"/>
      <w:r>
        <w:t xml:space="preserve">, International Journal of </w:t>
      </w:r>
      <w:proofErr w:type="spellStart"/>
      <w:r>
        <w:t>Cultural</w:t>
      </w:r>
      <w:proofErr w:type="spellEnd"/>
      <w:r>
        <w:t xml:space="preserve"> </w:t>
      </w:r>
      <w:proofErr w:type="spellStart"/>
      <w:r>
        <w:t>Property</w:t>
      </w:r>
      <w:proofErr w:type="spellEnd"/>
      <w:r>
        <w:t>, 2025/2.</w:t>
      </w:r>
    </w:p>
    <w:p w14:paraId="40005F5E" w14:textId="4232023F" w:rsidR="005305A8" w:rsidRDefault="005305A8" w:rsidP="005305A8">
      <w:pPr>
        <w:jc w:val="both"/>
      </w:pPr>
      <w:r>
        <w:lastRenderedPageBreak/>
        <w:t xml:space="preserve">Vadász, V. (2025): The </w:t>
      </w:r>
      <w:proofErr w:type="spellStart"/>
      <w:r>
        <w:t>Greek</w:t>
      </w:r>
      <w:proofErr w:type="spellEnd"/>
      <w:r>
        <w:t xml:space="preserve"> </w:t>
      </w:r>
      <w:proofErr w:type="spellStart"/>
      <w:r>
        <w:t>Bronze’s</w:t>
      </w:r>
      <w:proofErr w:type="spellEnd"/>
      <w:r>
        <w:t xml:space="preserve"> </w:t>
      </w:r>
      <w:proofErr w:type="spellStart"/>
      <w:r>
        <w:t>Journey</w:t>
      </w:r>
      <w:proofErr w:type="spellEnd"/>
      <w:r>
        <w:t xml:space="preserve"> Home to </w:t>
      </w:r>
      <w:proofErr w:type="spellStart"/>
      <w:r>
        <w:t>Italy</w:t>
      </w:r>
      <w:proofErr w:type="spellEnd"/>
      <w:r>
        <w:t xml:space="preserve">: The European </w:t>
      </w:r>
      <w:proofErr w:type="spellStart"/>
      <w:r>
        <w:t>Court</w:t>
      </w:r>
      <w:proofErr w:type="spellEnd"/>
      <w:r>
        <w:t xml:space="preserve"> of Human </w:t>
      </w:r>
      <w:proofErr w:type="spellStart"/>
      <w:r>
        <w:t>Rights</w:t>
      </w:r>
      <w:proofErr w:type="spellEnd"/>
      <w:r>
        <w:t xml:space="preserve">’ Decision in </w:t>
      </w:r>
      <w:proofErr w:type="spellStart"/>
      <w:r>
        <w:t>Getty</w:t>
      </w:r>
      <w:proofErr w:type="spellEnd"/>
      <w:r>
        <w:t xml:space="preserve"> v </w:t>
      </w:r>
      <w:proofErr w:type="spellStart"/>
      <w:r>
        <w:t>Italy</w:t>
      </w:r>
      <w:proofErr w:type="spellEnd"/>
      <w:r>
        <w:t>, ELTE Law Journal, 2025/2.</w:t>
      </w:r>
    </w:p>
    <w:p w14:paraId="1817A298" w14:textId="4D65D0E5" w:rsidR="0043236B" w:rsidRDefault="0043236B" w:rsidP="0043236B">
      <w:pPr>
        <w:jc w:val="both"/>
      </w:pPr>
      <w:r>
        <w:t xml:space="preserve">Vadász, V. – Verebélyi, V. (2024): </w:t>
      </w:r>
      <w:proofErr w:type="spellStart"/>
      <w:r>
        <w:t>At</w:t>
      </w:r>
      <w:proofErr w:type="spellEnd"/>
      <w:r>
        <w:t xml:space="preserve"> the </w:t>
      </w:r>
      <w:proofErr w:type="spellStart"/>
      <w:r>
        <w:t>Borderline</w:t>
      </w:r>
      <w:proofErr w:type="spellEnd"/>
      <w:r>
        <w:t xml:space="preserve"> of Public and </w:t>
      </w:r>
      <w:proofErr w:type="spellStart"/>
      <w:r>
        <w:t>Private</w:t>
      </w:r>
      <w:proofErr w:type="spellEnd"/>
      <w:r>
        <w:t xml:space="preserve"> Law: The </w:t>
      </w:r>
      <w:proofErr w:type="spellStart"/>
      <w:r>
        <w:t>Restitution</w:t>
      </w:r>
      <w:proofErr w:type="spellEnd"/>
      <w:r>
        <w:t xml:space="preserve"> of </w:t>
      </w:r>
      <w:proofErr w:type="spellStart"/>
      <w:r>
        <w:t>Cultural</w:t>
      </w:r>
      <w:proofErr w:type="spellEnd"/>
      <w:r>
        <w:t xml:space="preserve"> </w:t>
      </w:r>
      <w:proofErr w:type="spellStart"/>
      <w:r>
        <w:t>Property</w:t>
      </w:r>
      <w:proofErr w:type="spellEnd"/>
      <w:r>
        <w:t xml:space="preserve"> </w:t>
      </w:r>
      <w:proofErr w:type="spellStart"/>
      <w:r>
        <w:t>Held</w:t>
      </w:r>
      <w:proofErr w:type="spellEnd"/>
      <w:r>
        <w:t xml:space="preserve"> in Public </w:t>
      </w:r>
      <w:proofErr w:type="spellStart"/>
      <w:r>
        <w:t>Collections</w:t>
      </w:r>
      <w:proofErr w:type="spellEnd"/>
      <w:r>
        <w:t xml:space="preserve"> in Hungary, </w:t>
      </w:r>
      <w:proofErr w:type="spellStart"/>
      <w:r>
        <w:t>Santander</w:t>
      </w:r>
      <w:proofErr w:type="spellEnd"/>
      <w:r>
        <w:t xml:space="preserve"> Art and </w:t>
      </w:r>
      <w:proofErr w:type="spellStart"/>
      <w:r>
        <w:t>Culture</w:t>
      </w:r>
      <w:proofErr w:type="spellEnd"/>
      <w:r>
        <w:t xml:space="preserve"> Law </w:t>
      </w:r>
      <w:proofErr w:type="spellStart"/>
      <w:r>
        <w:t>Review</w:t>
      </w:r>
      <w:proofErr w:type="spellEnd"/>
      <w:r>
        <w:t>, 2024/2.</w:t>
      </w:r>
    </w:p>
    <w:p w14:paraId="5932A74E" w14:textId="7CBE9F68" w:rsidR="00364077" w:rsidRDefault="0043236B" w:rsidP="0043236B">
      <w:pPr>
        <w:jc w:val="both"/>
      </w:pPr>
      <w:r>
        <w:t xml:space="preserve">Vadász, V. (2024): The </w:t>
      </w:r>
      <w:proofErr w:type="spellStart"/>
      <w:r>
        <w:t>Impact</w:t>
      </w:r>
      <w:proofErr w:type="spellEnd"/>
      <w:r>
        <w:t xml:space="preserve"> of European Law </w:t>
      </w:r>
      <w:proofErr w:type="spellStart"/>
      <w:r>
        <w:t>on</w:t>
      </w:r>
      <w:proofErr w:type="spellEnd"/>
      <w:r>
        <w:t xml:space="preserve"> </w:t>
      </w:r>
      <w:proofErr w:type="spellStart"/>
      <w:r>
        <w:t>Hungarian</w:t>
      </w:r>
      <w:proofErr w:type="spellEnd"/>
      <w:r>
        <w:t xml:space="preserve"> </w:t>
      </w:r>
      <w:proofErr w:type="spellStart"/>
      <w:r>
        <w:t>Conflict</w:t>
      </w:r>
      <w:proofErr w:type="spellEnd"/>
      <w:r>
        <w:t xml:space="preserve">-of-Law </w:t>
      </w:r>
      <w:proofErr w:type="spellStart"/>
      <w:r>
        <w:t>Rules</w:t>
      </w:r>
      <w:proofErr w:type="spellEnd"/>
      <w:r>
        <w:t xml:space="preserve">, in: Szabó, M.; </w:t>
      </w:r>
      <w:proofErr w:type="spellStart"/>
      <w:r>
        <w:t>Gyeney</w:t>
      </w:r>
      <w:proofErr w:type="spellEnd"/>
      <w:r>
        <w:t>, L.; Láncos, P. L. (</w:t>
      </w:r>
      <w:proofErr w:type="spellStart"/>
      <w:r>
        <w:t>eds</w:t>
      </w:r>
      <w:proofErr w:type="spellEnd"/>
      <w:r>
        <w:t xml:space="preserve">.), </w:t>
      </w:r>
      <w:proofErr w:type="spellStart"/>
      <w:r>
        <w:t>Hungarian</w:t>
      </w:r>
      <w:proofErr w:type="spellEnd"/>
      <w:r>
        <w:t xml:space="preserve"> </w:t>
      </w:r>
      <w:proofErr w:type="spellStart"/>
      <w:r>
        <w:t>Yearbook</w:t>
      </w:r>
      <w:proofErr w:type="spellEnd"/>
      <w:r>
        <w:t xml:space="preserve"> of International Law and European Law, </w:t>
      </w:r>
      <w:proofErr w:type="spellStart"/>
      <w:r>
        <w:t>Nomos</w:t>
      </w:r>
      <w:proofErr w:type="spellEnd"/>
      <w:r>
        <w:t>.</w:t>
      </w:r>
    </w:p>
    <w:p w14:paraId="4AF7CB03" w14:textId="77777777" w:rsidR="005305A8" w:rsidRPr="00364077" w:rsidRDefault="005305A8" w:rsidP="0043236B">
      <w:pPr>
        <w:jc w:val="both"/>
      </w:pPr>
    </w:p>
    <w:p w14:paraId="02BEE877" w14:textId="77777777" w:rsidR="00A63AB6" w:rsidRPr="00CD1A20" w:rsidRDefault="00A63AB6" w:rsidP="00A63AB6">
      <w:pPr>
        <w:jc w:val="both"/>
        <w:rPr>
          <w:lang w:val="en-GB"/>
        </w:rPr>
      </w:pPr>
    </w:p>
    <w:p w14:paraId="70E8DA4B" w14:textId="4652470B" w:rsidR="00BC7170" w:rsidRPr="00CD1A20" w:rsidRDefault="00BC7170" w:rsidP="00C6736D">
      <w:pPr>
        <w:ind w:firstLine="708"/>
        <w:jc w:val="center"/>
        <w:rPr>
          <w:lang w:val="en-GB"/>
        </w:rPr>
      </w:pPr>
      <w:r w:rsidRPr="00CD1A20">
        <w:rPr>
          <w:lang w:val="en-GB"/>
        </w:rPr>
        <w:t xml:space="preserve">Contact: </w:t>
      </w:r>
      <w:r w:rsidR="00C6736D">
        <w:rPr>
          <w:lang w:val="en-GB"/>
        </w:rPr>
        <w:t>Vanda</w:t>
      </w:r>
      <w:r w:rsidR="00364077">
        <w:rPr>
          <w:lang w:val="en-GB"/>
        </w:rPr>
        <w:t xml:space="preserve">, </w:t>
      </w:r>
      <w:r w:rsidR="00C6736D">
        <w:rPr>
          <w:lang w:val="en-GB"/>
        </w:rPr>
        <w:t>Vadász</w:t>
      </w:r>
      <w:r w:rsidRPr="00CD1A20">
        <w:rPr>
          <w:lang w:val="en-GB"/>
        </w:rPr>
        <w:t xml:space="preserve"> Ph.D. </w:t>
      </w:r>
      <w:r w:rsidR="00C6736D">
        <w:t>vadasz.vanda</w:t>
      </w:r>
      <w:r w:rsidR="00364077">
        <w:t>@tk.hu</w:t>
      </w:r>
    </w:p>
    <w:p w14:paraId="4EF9B0E4" w14:textId="3EBAF21A" w:rsidR="00364077" w:rsidRDefault="00C6736D" w:rsidP="00C6736D">
      <w:pPr>
        <w:ind w:firstLine="708"/>
        <w:jc w:val="center"/>
      </w:pPr>
      <w:r>
        <w:rPr>
          <w:lang w:val="en-GB"/>
        </w:rPr>
        <w:t>Research Fellow, ELTE CSS Institute for Legal Studies</w:t>
      </w:r>
    </w:p>
    <w:p w14:paraId="41F61512" w14:textId="3C3BD58D" w:rsidR="00BC7170" w:rsidRPr="00CD1A20" w:rsidRDefault="00F85B9E" w:rsidP="00F85B9E">
      <w:pPr>
        <w:jc w:val="center"/>
        <w:rPr>
          <w:rFonts w:cstheme="minorHAnsi"/>
          <w:lang w:val="en-GB"/>
        </w:rPr>
      </w:pPr>
      <w:r>
        <w:rPr>
          <w:lang w:val="en-GB"/>
        </w:rPr>
        <w:tab/>
      </w:r>
      <w:r w:rsidR="00C6736D" w:rsidRPr="00C6736D">
        <w:rPr>
          <w:lang w:val="en-GB"/>
        </w:rPr>
        <w:t>https://jog.tk.elte.hu/en/researcher/vadasz-vanda</w:t>
      </w:r>
    </w:p>
    <w:sectPr w:rsidR="00BC7170" w:rsidRPr="00CD1A20" w:rsidSect="00905F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7B83"/>
    <w:multiLevelType w:val="hybridMultilevel"/>
    <w:tmpl w:val="4BA6B3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23635637"/>
    <w:multiLevelType w:val="hybridMultilevel"/>
    <w:tmpl w:val="6E9AA4E0"/>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 w15:restartNumberingAfterBreak="0">
    <w:nsid w:val="330F7356"/>
    <w:multiLevelType w:val="hybridMultilevel"/>
    <w:tmpl w:val="DF4CE4A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3F1537DA"/>
    <w:multiLevelType w:val="hybridMultilevel"/>
    <w:tmpl w:val="B47C77E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 w15:restartNumberingAfterBreak="0">
    <w:nsid w:val="42267F02"/>
    <w:multiLevelType w:val="hybridMultilevel"/>
    <w:tmpl w:val="40A4664E"/>
    <w:lvl w:ilvl="0" w:tplc="3E7EE48E">
      <w:start w:val="1"/>
      <w:numFmt w:val="decimal"/>
      <w:lvlText w:val="%1."/>
      <w:lvlJc w:val="left"/>
      <w:pPr>
        <w:ind w:left="720" w:hanging="360"/>
      </w:pPr>
      <w:rPr>
        <w:rFonts w:ascii="Segoe UI" w:hAnsi="Segoe UI" w:cs="Segoe UI"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562F7E"/>
    <w:multiLevelType w:val="hybridMultilevel"/>
    <w:tmpl w:val="3C86673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 w15:restartNumberingAfterBreak="0">
    <w:nsid w:val="45B03A52"/>
    <w:multiLevelType w:val="hybridMultilevel"/>
    <w:tmpl w:val="3ED6E1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27410926">
    <w:abstractNumId w:val="6"/>
  </w:num>
  <w:num w:numId="2" w16cid:durableId="1902984992">
    <w:abstractNumId w:val="2"/>
  </w:num>
  <w:num w:numId="3" w16cid:durableId="666516119">
    <w:abstractNumId w:val="4"/>
  </w:num>
  <w:num w:numId="4" w16cid:durableId="12727531">
    <w:abstractNumId w:val="5"/>
  </w:num>
  <w:num w:numId="5" w16cid:durableId="1260017534">
    <w:abstractNumId w:val="3"/>
  </w:num>
  <w:num w:numId="6" w16cid:durableId="1047223571">
    <w:abstractNumId w:val="1"/>
  </w:num>
  <w:num w:numId="7" w16cid:durableId="164628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97"/>
    <w:rsid w:val="000B1FBC"/>
    <w:rsid w:val="000B4C25"/>
    <w:rsid w:val="001105E4"/>
    <w:rsid w:val="001137CB"/>
    <w:rsid w:val="00196B62"/>
    <w:rsid w:val="001D5615"/>
    <w:rsid w:val="00283E7F"/>
    <w:rsid w:val="002B600C"/>
    <w:rsid w:val="002D7348"/>
    <w:rsid w:val="003044DD"/>
    <w:rsid w:val="003174F2"/>
    <w:rsid w:val="00364077"/>
    <w:rsid w:val="00377043"/>
    <w:rsid w:val="00381E2B"/>
    <w:rsid w:val="00424192"/>
    <w:rsid w:val="0043236B"/>
    <w:rsid w:val="004B5D32"/>
    <w:rsid w:val="005305A8"/>
    <w:rsid w:val="005406E9"/>
    <w:rsid w:val="005573E5"/>
    <w:rsid w:val="0060155C"/>
    <w:rsid w:val="00695697"/>
    <w:rsid w:val="0069766E"/>
    <w:rsid w:val="006D393B"/>
    <w:rsid w:val="008123C2"/>
    <w:rsid w:val="00861668"/>
    <w:rsid w:val="00892C1C"/>
    <w:rsid w:val="008B64C6"/>
    <w:rsid w:val="008C1835"/>
    <w:rsid w:val="00906092"/>
    <w:rsid w:val="00A04313"/>
    <w:rsid w:val="00A62FF0"/>
    <w:rsid w:val="00A63AB6"/>
    <w:rsid w:val="00A9045A"/>
    <w:rsid w:val="00BB44CF"/>
    <w:rsid w:val="00BC7170"/>
    <w:rsid w:val="00C6174B"/>
    <w:rsid w:val="00C6736D"/>
    <w:rsid w:val="00C90542"/>
    <w:rsid w:val="00CB2CE0"/>
    <w:rsid w:val="00CD1A20"/>
    <w:rsid w:val="00D0686F"/>
    <w:rsid w:val="00D11833"/>
    <w:rsid w:val="00D153C9"/>
    <w:rsid w:val="00D355A7"/>
    <w:rsid w:val="00D60056"/>
    <w:rsid w:val="00DC4BDE"/>
    <w:rsid w:val="00DE62F6"/>
    <w:rsid w:val="00E747C1"/>
    <w:rsid w:val="00E75513"/>
    <w:rsid w:val="00EB5B76"/>
    <w:rsid w:val="00ED55FB"/>
    <w:rsid w:val="00F256D1"/>
    <w:rsid w:val="00F85B9E"/>
    <w:rsid w:val="00FE59C4"/>
    <w:rsid w:val="00FF27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FE4D"/>
  <w15:chartTrackingRefBased/>
  <w15:docId w15:val="{07A7D145-DCC0-4B5C-BFC8-F61C473B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9569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95697"/>
    <w:pPr>
      <w:ind w:left="720"/>
      <w:contextualSpacing/>
    </w:pPr>
  </w:style>
  <w:style w:type="paragraph" w:styleId="NormlWeb">
    <w:name w:val="Normal (Web)"/>
    <w:basedOn w:val="Norml"/>
    <w:uiPriority w:val="99"/>
    <w:unhideWhenUsed/>
    <w:rsid w:val="00695697"/>
    <w:pPr>
      <w:spacing w:after="0" w:line="240" w:lineRule="auto"/>
    </w:pPr>
    <w:rPr>
      <w:rFonts w:ascii="Times New Roman" w:hAnsi="Times New Roman" w:cs="Times New Roman"/>
      <w:sz w:val="24"/>
      <w:szCs w:val="24"/>
      <w:lang w:eastAsia="hu-HU"/>
    </w:rPr>
  </w:style>
  <w:style w:type="character" w:styleId="Hiperhivatkozs">
    <w:name w:val="Hyperlink"/>
    <w:basedOn w:val="Bekezdsalapbettpusa"/>
    <w:uiPriority w:val="99"/>
    <w:unhideWhenUsed/>
    <w:rsid w:val="00695697"/>
    <w:rPr>
      <w:color w:val="0000FF"/>
      <w:u w:val="single"/>
    </w:rPr>
  </w:style>
  <w:style w:type="character" w:styleId="Mrltotthiperhivatkozs">
    <w:name w:val="FollowedHyperlink"/>
    <w:basedOn w:val="Bekezdsalapbettpusa"/>
    <w:uiPriority w:val="99"/>
    <w:semiHidden/>
    <w:unhideWhenUsed/>
    <w:rsid w:val="00695697"/>
    <w:rPr>
      <w:color w:val="954F72" w:themeColor="followedHyperlink"/>
      <w:u w:val="single"/>
    </w:rPr>
  </w:style>
  <w:style w:type="character" w:styleId="Jegyzethivatkozs">
    <w:name w:val="annotation reference"/>
    <w:basedOn w:val="Bekezdsalapbettpusa"/>
    <w:uiPriority w:val="99"/>
    <w:semiHidden/>
    <w:unhideWhenUsed/>
    <w:rsid w:val="00BB44CF"/>
    <w:rPr>
      <w:sz w:val="16"/>
      <w:szCs w:val="16"/>
    </w:rPr>
  </w:style>
  <w:style w:type="paragraph" w:styleId="Jegyzetszveg">
    <w:name w:val="annotation text"/>
    <w:basedOn w:val="Norml"/>
    <w:link w:val="JegyzetszvegChar"/>
    <w:uiPriority w:val="99"/>
    <w:semiHidden/>
    <w:unhideWhenUsed/>
    <w:rsid w:val="00BB44CF"/>
    <w:pPr>
      <w:spacing w:line="240" w:lineRule="auto"/>
    </w:pPr>
    <w:rPr>
      <w:sz w:val="20"/>
      <w:szCs w:val="20"/>
    </w:rPr>
  </w:style>
  <w:style w:type="character" w:customStyle="1" w:styleId="JegyzetszvegChar">
    <w:name w:val="Jegyzetszöveg Char"/>
    <w:basedOn w:val="Bekezdsalapbettpusa"/>
    <w:link w:val="Jegyzetszveg"/>
    <w:uiPriority w:val="99"/>
    <w:semiHidden/>
    <w:rsid w:val="00BB44CF"/>
    <w:rPr>
      <w:sz w:val="20"/>
      <w:szCs w:val="20"/>
    </w:rPr>
  </w:style>
  <w:style w:type="paragraph" w:styleId="Megjegyzstrgya">
    <w:name w:val="annotation subject"/>
    <w:basedOn w:val="Jegyzetszveg"/>
    <w:next w:val="Jegyzetszveg"/>
    <w:link w:val="MegjegyzstrgyaChar"/>
    <w:uiPriority w:val="99"/>
    <w:semiHidden/>
    <w:unhideWhenUsed/>
    <w:rsid w:val="00BB44CF"/>
    <w:rPr>
      <w:b/>
      <w:bCs/>
    </w:rPr>
  </w:style>
  <w:style w:type="character" w:customStyle="1" w:styleId="MegjegyzstrgyaChar">
    <w:name w:val="Megjegyzés tárgya Char"/>
    <w:basedOn w:val="JegyzetszvegChar"/>
    <w:link w:val="Megjegyzstrgya"/>
    <w:uiPriority w:val="99"/>
    <w:semiHidden/>
    <w:rsid w:val="00BB44CF"/>
    <w:rPr>
      <w:b/>
      <w:bCs/>
      <w:sz w:val="20"/>
      <w:szCs w:val="20"/>
    </w:rPr>
  </w:style>
  <w:style w:type="paragraph" w:styleId="Buborkszveg">
    <w:name w:val="Balloon Text"/>
    <w:basedOn w:val="Norml"/>
    <w:link w:val="BuborkszvegChar"/>
    <w:uiPriority w:val="99"/>
    <w:semiHidden/>
    <w:unhideWhenUsed/>
    <w:rsid w:val="00BB44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B44CF"/>
    <w:rPr>
      <w:rFonts w:ascii="Segoe UI" w:hAnsi="Segoe UI" w:cs="Segoe UI"/>
      <w:sz w:val="18"/>
      <w:szCs w:val="18"/>
    </w:rPr>
  </w:style>
  <w:style w:type="character" w:styleId="Feloldatlanmegemlts">
    <w:name w:val="Unresolved Mention"/>
    <w:basedOn w:val="Bekezdsalapbettpusa"/>
    <w:uiPriority w:val="99"/>
    <w:semiHidden/>
    <w:unhideWhenUsed/>
    <w:rsid w:val="0036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531711">
      <w:bodyDiv w:val="1"/>
      <w:marLeft w:val="0"/>
      <w:marRight w:val="0"/>
      <w:marTop w:val="0"/>
      <w:marBottom w:val="0"/>
      <w:divBdr>
        <w:top w:val="none" w:sz="0" w:space="0" w:color="auto"/>
        <w:left w:val="none" w:sz="0" w:space="0" w:color="auto"/>
        <w:bottom w:val="none" w:sz="0" w:space="0" w:color="auto"/>
        <w:right w:val="none" w:sz="0" w:space="0" w:color="auto"/>
      </w:divBdr>
      <w:divsChild>
        <w:div w:id="1087113685">
          <w:marLeft w:val="0"/>
          <w:marRight w:val="0"/>
          <w:marTop w:val="0"/>
          <w:marBottom w:val="0"/>
          <w:divBdr>
            <w:top w:val="none" w:sz="0" w:space="0" w:color="auto"/>
            <w:left w:val="none" w:sz="0" w:space="0" w:color="auto"/>
            <w:bottom w:val="none" w:sz="0" w:space="0" w:color="auto"/>
            <w:right w:val="none" w:sz="0" w:space="0" w:color="auto"/>
          </w:divBdr>
          <w:divsChild>
            <w:div w:id="616375400">
              <w:marLeft w:val="0"/>
              <w:marRight w:val="0"/>
              <w:marTop w:val="0"/>
              <w:marBottom w:val="0"/>
              <w:divBdr>
                <w:top w:val="none" w:sz="0" w:space="0" w:color="auto"/>
                <w:left w:val="none" w:sz="0" w:space="0" w:color="auto"/>
                <w:bottom w:val="none" w:sz="0" w:space="0" w:color="auto"/>
                <w:right w:val="none" w:sz="0" w:space="0" w:color="auto"/>
              </w:divBdr>
            </w:div>
            <w:div w:id="8760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5332">
      <w:bodyDiv w:val="1"/>
      <w:marLeft w:val="0"/>
      <w:marRight w:val="0"/>
      <w:marTop w:val="0"/>
      <w:marBottom w:val="0"/>
      <w:divBdr>
        <w:top w:val="none" w:sz="0" w:space="0" w:color="auto"/>
        <w:left w:val="none" w:sz="0" w:space="0" w:color="auto"/>
        <w:bottom w:val="none" w:sz="0" w:space="0" w:color="auto"/>
        <w:right w:val="none" w:sz="0" w:space="0" w:color="auto"/>
      </w:divBdr>
    </w:div>
    <w:div w:id="1810245099">
      <w:bodyDiv w:val="1"/>
      <w:marLeft w:val="0"/>
      <w:marRight w:val="0"/>
      <w:marTop w:val="0"/>
      <w:marBottom w:val="0"/>
      <w:divBdr>
        <w:top w:val="none" w:sz="0" w:space="0" w:color="auto"/>
        <w:left w:val="none" w:sz="0" w:space="0" w:color="auto"/>
        <w:bottom w:val="none" w:sz="0" w:space="0" w:color="auto"/>
        <w:right w:val="none" w:sz="0" w:space="0" w:color="auto"/>
      </w:divBdr>
      <w:divsChild>
        <w:div w:id="796029429">
          <w:marLeft w:val="0"/>
          <w:marRight w:val="0"/>
          <w:marTop w:val="0"/>
          <w:marBottom w:val="0"/>
          <w:divBdr>
            <w:top w:val="none" w:sz="0" w:space="0" w:color="auto"/>
            <w:left w:val="none" w:sz="0" w:space="0" w:color="auto"/>
            <w:bottom w:val="none" w:sz="0" w:space="0" w:color="auto"/>
            <w:right w:val="none" w:sz="0" w:space="0" w:color="auto"/>
          </w:divBdr>
          <w:divsChild>
            <w:div w:id="101726242">
              <w:marLeft w:val="0"/>
              <w:marRight w:val="0"/>
              <w:marTop w:val="0"/>
              <w:marBottom w:val="0"/>
              <w:divBdr>
                <w:top w:val="none" w:sz="0" w:space="0" w:color="auto"/>
                <w:left w:val="none" w:sz="0" w:space="0" w:color="auto"/>
                <w:bottom w:val="none" w:sz="0" w:space="0" w:color="auto"/>
                <w:right w:val="none" w:sz="0" w:space="0" w:color="auto"/>
              </w:divBdr>
            </w:div>
            <w:div w:id="2495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g.tk.elte.hu/en/researcher/vadasz-va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details/HORIZON-CL2-2026-01-HERITAGE-0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3036</Characters>
  <Application>Microsoft Office Word</Application>
  <DocSecurity>0</DocSecurity>
  <Lines>25</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Perpék Éva</dc:creator>
  <cp:keywords/>
  <dc:description/>
  <cp:lastModifiedBy>Tamás Veronika</cp:lastModifiedBy>
  <cp:revision>2</cp:revision>
  <dcterms:created xsi:type="dcterms:W3CDTF">2026-05-11T10:25:00Z</dcterms:created>
  <dcterms:modified xsi:type="dcterms:W3CDTF">2026-05-11T10:25:00Z</dcterms:modified>
</cp:coreProperties>
</file>