
<file path=[Content_Types].xml><?xml version="1.0" encoding="utf-8"?>
<Types xmlns="http://schemas.openxmlformats.org/package/2006/content-types">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3940E">
      <w:pPr>
        <w:spacing w:after="0" w:line="240" w:lineRule="auto"/>
        <w:jc w:val="both"/>
        <w:rPr>
          <w:rFonts w:ascii="Century Gothic" w:hAnsi="Century Gothic" w:eastAsia="SimSun" w:cs="Times New Roman"/>
          <w:szCs w:val="24"/>
          <w:u w:val="single"/>
          <w:lang w:val="en-US"/>
        </w:rPr>
      </w:pPr>
      <w:r>
        <w:rPr>
          <w:rFonts w:ascii="Century Gothic" w:hAnsi="Century Gothic" w:eastAsia="SimSun" w:cs="Times New Roman"/>
          <w:szCs w:val="24"/>
          <w:u w:val="single"/>
          <w:lang w:val="en-US"/>
        </w:rPr>
        <w:t xml:space="preserve"> </w:t>
      </w:r>
    </w:p>
    <w:p w14:paraId="7588FA5C">
      <w:pPr>
        <w:spacing w:after="0" w:line="240" w:lineRule="auto"/>
        <w:jc w:val="center"/>
        <w:rPr>
          <w:rFonts w:ascii="Century Gothic" w:hAnsi="Century Gothic" w:eastAsia="SimSun" w:cs="Times New Roman"/>
          <w:sz w:val="20"/>
          <w:szCs w:val="24"/>
          <w:u w:val="single"/>
          <w:lang w:val="en-US"/>
        </w:rPr>
      </w:pPr>
      <w:r>
        <w:rPr>
          <w:rFonts w:ascii="Tahoma" w:hAnsi="Tahoma" w:eastAsia="SimSun" w:cs="Tahoma"/>
          <w:sz w:val="24"/>
          <w:szCs w:val="24"/>
          <w:lang w:eastAsia="en-PH"/>
        </w:rPr>
        <w:drawing>
          <wp:anchor distT="0" distB="0" distL="114300" distR="114300" simplePos="0" relativeHeight="251659264" behindDoc="1" locked="0" layoutInCell="1" allowOverlap="1">
            <wp:simplePos x="0" y="0"/>
            <wp:positionH relativeFrom="column">
              <wp:posOffset>120650</wp:posOffset>
            </wp:positionH>
            <wp:positionV relativeFrom="paragraph">
              <wp:posOffset>118110</wp:posOffset>
            </wp:positionV>
            <wp:extent cx="706120" cy="677545"/>
            <wp:effectExtent l="0" t="0" r="17780" b="8255"/>
            <wp:wrapNone/>
            <wp:docPr id="7" name="Picture 7" descr="Description: SD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escription: SDS_logo"/>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706120" cy="677545"/>
                    </a:xfrm>
                    <a:prstGeom prst="rect">
                      <a:avLst/>
                    </a:prstGeom>
                    <a:noFill/>
                  </pic:spPr>
                </pic:pic>
              </a:graphicData>
            </a:graphic>
          </wp:anchor>
        </w:drawing>
      </w:r>
      <w:r>
        <w:rPr>
          <w:rFonts w:ascii="Times New Roman" w:hAnsi="Times New Roman" w:eastAsia="SimSun" w:cs="Times New Roman"/>
          <w:sz w:val="24"/>
          <w:szCs w:val="24"/>
          <w:lang w:val="en-US"/>
        </w:rPr>
        <w:drawing>
          <wp:anchor distT="0" distB="0" distL="114300" distR="114300" simplePos="0" relativeHeight="251660288" behindDoc="1" locked="0" layoutInCell="1" allowOverlap="1">
            <wp:simplePos x="0" y="0"/>
            <wp:positionH relativeFrom="column">
              <wp:posOffset>4902200</wp:posOffset>
            </wp:positionH>
            <wp:positionV relativeFrom="paragraph">
              <wp:posOffset>39370</wp:posOffset>
            </wp:positionV>
            <wp:extent cx="853440" cy="868680"/>
            <wp:effectExtent l="0" t="0" r="381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53440" cy="868680"/>
                    </a:xfrm>
                    <a:prstGeom prst="rect">
                      <a:avLst/>
                    </a:prstGeom>
                    <a:noFill/>
                    <a:ln>
                      <a:noFill/>
                    </a:ln>
                  </pic:spPr>
                </pic:pic>
              </a:graphicData>
            </a:graphic>
          </wp:anchor>
        </w:drawing>
      </w:r>
      <w:r>
        <w:rPr>
          <w:rFonts w:ascii="Century Gothic" w:hAnsi="Century Gothic" w:eastAsia="SimSun" w:cs="Times New Roman"/>
          <w:sz w:val="20"/>
          <w:szCs w:val="24"/>
          <w:u w:val="single"/>
          <w:lang w:val="en-US"/>
        </w:rPr>
        <w:t>Republic of the Philippines</w:t>
      </w:r>
    </w:p>
    <w:p w14:paraId="4A4E4ADC">
      <w:pPr>
        <w:spacing w:after="0" w:line="240" w:lineRule="auto"/>
        <w:jc w:val="center"/>
        <w:rPr>
          <w:rFonts w:ascii="Century Gothic" w:hAnsi="Century Gothic" w:eastAsia="SimSun" w:cs="Times New Roman"/>
          <w:b/>
          <w:sz w:val="20"/>
          <w:szCs w:val="24"/>
          <w:lang w:val="en-US"/>
        </w:rPr>
      </w:pPr>
      <w:r>
        <w:rPr>
          <w:rFonts w:ascii="Century Gothic" w:hAnsi="Century Gothic" w:eastAsia="SimSun" w:cs="Times New Roman"/>
          <w:b/>
          <w:sz w:val="20"/>
          <w:szCs w:val="24"/>
          <w:lang w:val="en-US"/>
        </w:rPr>
        <w:t>PROVINCE OF SURIGAO DEL SUR</w:t>
      </w:r>
    </w:p>
    <w:p w14:paraId="71A57570">
      <w:pPr>
        <w:pBdr>
          <w:bottom w:val="single" w:color="auto" w:sz="12" w:space="1"/>
        </w:pBdr>
        <w:spacing w:after="0" w:line="240" w:lineRule="auto"/>
        <w:jc w:val="center"/>
        <w:rPr>
          <w:rFonts w:ascii="Century Gothic" w:hAnsi="Century Gothic" w:eastAsia="SimSun" w:cs="Times New Roman"/>
          <w:b/>
          <w:i/>
          <w:sz w:val="20"/>
          <w:szCs w:val="24"/>
          <w:lang w:val="en-US"/>
        </w:rPr>
      </w:pPr>
      <w:r>
        <w:rPr>
          <w:rFonts w:hint="default" w:ascii="Century Gothic" w:hAnsi="Century Gothic" w:eastAsia="SimSun" w:cs="Times New Roman"/>
          <w:b/>
          <w:i/>
          <w:sz w:val="20"/>
          <w:szCs w:val="24"/>
          <w:lang w:val="en-US"/>
        </w:rPr>
        <w:t xml:space="preserve">         </w:t>
      </w:r>
      <w:r>
        <w:rPr>
          <w:rFonts w:ascii="Century Gothic" w:hAnsi="Century Gothic" w:eastAsia="SimSun" w:cs="Times New Roman"/>
          <w:b/>
          <w:i/>
          <w:sz w:val="20"/>
          <w:szCs w:val="24"/>
          <w:lang w:val="en-US"/>
        </w:rPr>
        <w:t>Provincial Economic Development and Investment Promotions Unit</w:t>
      </w:r>
    </w:p>
    <w:p w14:paraId="4A5B97E2">
      <w:pPr>
        <w:pBdr>
          <w:bottom w:val="single" w:color="auto" w:sz="12" w:space="1"/>
        </w:pBdr>
        <w:spacing w:after="0" w:line="240" w:lineRule="auto"/>
        <w:jc w:val="center"/>
        <w:rPr>
          <w:rFonts w:ascii="Century Gothic" w:hAnsi="Century Gothic" w:eastAsia="SimSun" w:cs="Times New Roman"/>
          <w:i/>
          <w:sz w:val="20"/>
          <w:szCs w:val="24"/>
          <w:lang w:val="en-US"/>
        </w:rPr>
      </w:pPr>
      <w:r>
        <w:rPr>
          <w:rFonts w:ascii="Century Gothic" w:hAnsi="Century Gothic" w:eastAsia="SimSun" w:cs="Times New Roman"/>
          <w:i/>
          <w:sz w:val="20"/>
          <w:szCs w:val="24"/>
          <w:lang w:val="en-US"/>
        </w:rPr>
        <w:t xml:space="preserve">Capitol Hills, Telaje, Tandag City  </w:t>
      </w:r>
    </w:p>
    <w:p w14:paraId="0F3EC428">
      <w:pPr>
        <w:pBdr>
          <w:bottom w:val="single" w:color="auto" w:sz="12" w:space="1"/>
        </w:pBdr>
        <w:spacing w:after="0" w:line="240" w:lineRule="auto"/>
        <w:jc w:val="center"/>
        <w:rPr>
          <w:rFonts w:ascii="Century Gothic" w:hAnsi="Century Gothic" w:eastAsia="SimSun" w:cs="Times New Roman"/>
          <w:b/>
          <w:sz w:val="16"/>
          <w:szCs w:val="16"/>
          <w:lang w:val="en-US"/>
        </w:rPr>
      </w:pPr>
      <w:r>
        <w:rPr>
          <w:rFonts w:ascii="Century Gothic" w:hAnsi="Century Gothic" w:eastAsia="SimSun" w:cs="Times New Roman"/>
          <w:b/>
          <w:sz w:val="16"/>
          <w:szCs w:val="16"/>
          <w:lang w:val="en-US"/>
        </w:rPr>
        <w:t xml:space="preserve">Email Add: </w:t>
      </w:r>
      <w:r>
        <w:fldChar w:fldCharType="begin"/>
      </w:r>
      <w:r>
        <w:instrText xml:space="preserve"> HYPERLINK "mailto:pedipu@surigaodelsur.gov.ph" </w:instrText>
      </w:r>
      <w:r>
        <w:fldChar w:fldCharType="separate"/>
      </w:r>
      <w:r>
        <w:rPr>
          <w:rStyle w:val="4"/>
          <w:rFonts w:ascii="Century Gothic" w:hAnsi="Century Gothic" w:eastAsia="SimSun" w:cs="Times New Roman"/>
          <w:b/>
          <w:sz w:val="16"/>
          <w:szCs w:val="16"/>
          <w:lang w:val="en-US"/>
        </w:rPr>
        <w:t>pedipu@surigaodelsur.gov.ph</w:t>
      </w:r>
      <w:r>
        <w:rPr>
          <w:rStyle w:val="4"/>
          <w:rFonts w:ascii="Century Gothic" w:hAnsi="Century Gothic" w:eastAsia="SimSun" w:cs="Times New Roman"/>
          <w:b/>
          <w:sz w:val="16"/>
          <w:szCs w:val="16"/>
          <w:lang w:val="en-US"/>
        </w:rPr>
        <w:fldChar w:fldCharType="end"/>
      </w:r>
      <w:r>
        <w:rPr>
          <w:rFonts w:ascii="Century Gothic" w:hAnsi="Century Gothic" w:eastAsia="SimSun" w:cs="Times New Roman"/>
          <w:b/>
          <w:sz w:val="16"/>
          <w:szCs w:val="16"/>
          <w:lang w:val="en-US"/>
        </w:rPr>
        <w:t xml:space="preserve"> </w:t>
      </w:r>
    </w:p>
    <w:p w14:paraId="11734A11">
      <w:pPr>
        <w:pBdr>
          <w:bottom w:val="single" w:color="auto" w:sz="12" w:space="1"/>
        </w:pBdr>
        <w:spacing w:after="0" w:line="240" w:lineRule="auto"/>
        <w:jc w:val="center"/>
        <w:rPr>
          <w:rFonts w:ascii="Century Gothic" w:hAnsi="Century Gothic" w:eastAsia="SimSun" w:cs="Times New Roman"/>
          <w:b/>
          <w:sz w:val="16"/>
          <w:szCs w:val="16"/>
          <w:lang w:val="en-US"/>
        </w:rPr>
      </w:pPr>
      <w:r>
        <w:rPr>
          <w:rFonts w:ascii="Century Gothic" w:hAnsi="Century Gothic"/>
          <w:b/>
          <w:sz w:val="16"/>
          <w:szCs w:val="16"/>
        </w:rPr>
        <w:sym w:font="Wingdings 2" w:char="F027"/>
      </w:r>
      <w:r>
        <w:rPr>
          <w:rFonts w:ascii="Century Gothic" w:hAnsi="Century Gothic"/>
          <w:b/>
          <w:sz w:val="16"/>
          <w:szCs w:val="16"/>
        </w:rPr>
        <w:t xml:space="preserve">(086)214-6230 </w:t>
      </w:r>
      <w:r>
        <w:rPr>
          <w:rFonts w:ascii="Century Gothic" w:hAnsi="Century Gothic"/>
          <w:b/>
          <w:sz w:val="16"/>
          <w:szCs w:val="16"/>
        </w:rPr>
        <w:sym w:font="Wingdings 2" w:char="F027"/>
      </w:r>
      <w:r>
        <w:rPr>
          <w:rFonts w:ascii="Century Gothic" w:hAnsi="Century Gothic"/>
          <w:b/>
          <w:sz w:val="16"/>
          <w:szCs w:val="16"/>
        </w:rPr>
        <w:t>(+63)94-681-21591</w:t>
      </w:r>
    </w:p>
    <w:p w14:paraId="1899232B">
      <w:pPr>
        <w:pStyle w:val="6"/>
        <w:jc w:val="center"/>
        <w:rPr>
          <w:rFonts w:hint="default" w:ascii="Arial Black" w:hAnsi="Arial Black" w:cs="Arial Black"/>
          <w:b/>
          <w:bCs/>
          <w:sz w:val="24"/>
          <w:szCs w:val="24"/>
          <w:lang w:val="en-US"/>
        </w:rPr>
      </w:pPr>
      <w:r>
        <w:rPr>
          <w:rFonts w:hint="default" w:ascii="Arial Black" w:hAnsi="Arial Black" w:cs="Arial Black"/>
          <w:b/>
          <w:bCs/>
          <w:sz w:val="24"/>
          <w:szCs w:val="24"/>
          <w:lang w:val="en-US"/>
        </w:rPr>
        <w:t>Project Concept Note</w:t>
      </w:r>
    </w:p>
    <w:p w14:paraId="517D44F9">
      <w:pPr>
        <w:pStyle w:val="6"/>
        <w:jc w:val="center"/>
        <w:rPr>
          <w:rFonts w:hint="default" w:ascii="Arial Black" w:hAnsi="Arial Black" w:cs="Arial Black"/>
          <w:b/>
          <w:bCs/>
          <w:sz w:val="24"/>
          <w:szCs w:val="24"/>
          <w:lang w:val="en-US"/>
        </w:rPr>
      </w:pPr>
    </w:p>
    <w:p w14:paraId="3938B0B7">
      <w:pPr>
        <w:pStyle w:val="6"/>
        <w:numPr>
          <w:ilvl w:val="0"/>
          <w:numId w:val="1"/>
        </w:numPr>
        <w:jc w:val="both"/>
        <w:rPr>
          <w:rFonts w:hint="default" w:ascii="Arial" w:hAnsi="Arial" w:cs="Arial"/>
          <w:b/>
          <w:bCs/>
          <w:sz w:val="24"/>
          <w:szCs w:val="24"/>
          <w:lang w:val="en-US"/>
        </w:rPr>
      </w:pPr>
      <w:r>
        <w:rPr>
          <w:rFonts w:hint="default" w:ascii="Arial" w:hAnsi="Arial" w:cs="Arial"/>
          <w:b/>
          <w:bCs/>
          <w:sz w:val="24"/>
          <w:szCs w:val="24"/>
          <w:lang w:val="en-US"/>
        </w:rPr>
        <w:t xml:space="preserve">Name: Establishment of Surigao del Sur Coffee Processing and        </w:t>
      </w:r>
    </w:p>
    <w:p w14:paraId="2A8A334D">
      <w:pPr>
        <w:pStyle w:val="6"/>
        <w:numPr>
          <w:numId w:val="0"/>
        </w:numPr>
        <w:ind w:firstLine="960" w:firstLineChars="400"/>
        <w:jc w:val="both"/>
        <w:rPr>
          <w:rFonts w:hint="default" w:ascii="Arial" w:hAnsi="Arial" w:cs="Arial"/>
          <w:b/>
          <w:bCs/>
          <w:sz w:val="24"/>
          <w:szCs w:val="24"/>
          <w:lang w:val="en-US"/>
        </w:rPr>
      </w:pPr>
      <w:r>
        <w:rPr>
          <w:rFonts w:hint="default" w:ascii="Arial" w:hAnsi="Arial" w:cs="Arial"/>
          <w:b/>
          <w:bCs/>
          <w:sz w:val="24"/>
          <w:szCs w:val="24"/>
          <w:lang w:val="en-US"/>
        </w:rPr>
        <w:t>Exchange Hub</w:t>
      </w:r>
    </w:p>
    <w:p w14:paraId="4D9D798B">
      <w:pPr>
        <w:pStyle w:val="6"/>
        <w:numPr>
          <w:ilvl w:val="0"/>
          <w:numId w:val="1"/>
        </w:numPr>
        <w:jc w:val="both"/>
        <w:rPr>
          <w:rFonts w:hint="default" w:ascii="Arial" w:hAnsi="Arial" w:cs="Arial"/>
          <w:b/>
          <w:bCs/>
          <w:sz w:val="24"/>
          <w:szCs w:val="24"/>
          <w:lang w:val="en-US"/>
        </w:rPr>
      </w:pPr>
      <w:r>
        <w:rPr>
          <w:rFonts w:hint="default" w:ascii="Arial" w:hAnsi="Arial" w:cs="Arial"/>
          <w:b/>
          <w:bCs/>
          <w:sz w:val="24"/>
          <w:szCs w:val="24"/>
          <w:lang w:val="en-US"/>
        </w:rPr>
        <w:t>Brief Description:</w:t>
      </w:r>
    </w:p>
    <w:p w14:paraId="64336268">
      <w:pPr>
        <w:pStyle w:val="6"/>
        <w:numPr>
          <w:numId w:val="0"/>
        </w:numPr>
        <w:jc w:val="both"/>
        <w:rPr>
          <w:rFonts w:hint="default" w:ascii="Arial" w:hAnsi="Arial" w:cs="Arial"/>
          <w:b/>
          <w:bCs/>
          <w:sz w:val="24"/>
          <w:szCs w:val="24"/>
          <w:lang w:val="en-US"/>
        </w:rPr>
      </w:pPr>
    </w:p>
    <w:p w14:paraId="01E0D5DD">
      <w:pPr>
        <w:pStyle w:val="6"/>
        <w:numPr>
          <w:numId w:val="0"/>
        </w:numPr>
        <w:jc w:val="both"/>
        <w:rPr>
          <w:rFonts w:hint="default" w:ascii="Arial" w:hAnsi="Arial" w:cs="Arial"/>
          <w:b w:val="0"/>
          <w:bCs w:val="0"/>
          <w:sz w:val="24"/>
          <w:szCs w:val="24"/>
          <w:lang w:val="en-US"/>
        </w:rPr>
      </w:pPr>
      <w:r>
        <w:rPr>
          <w:rFonts w:hint="default" w:ascii="Arial" w:hAnsi="Arial" w:cs="Arial"/>
          <w:b w:val="0"/>
          <w:bCs w:val="0"/>
          <w:sz w:val="24"/>
          <w:szCs w:val="24"/>
          <w:lang w:val="en-US"/>
        </w:rPr>
        <w:t>The proposed project entails the establishment of a centralized Coffee Processing and Exchange Hub (SSURCOPEX) in Surigao del Sur, strategically located in the municipalities of Tagbina and Bislig. The hub will function as the province’s primary consolidation and trading center, integrating modern post-harvest and processing facilities, standardized grading and quality assurance systems, and a digital platform for transparent transactions.</w:t>
      </w:r>
    </w:p>
    <w:p w14:paraId="0E5562F3">
      <w:pPr>
        <w:pStyle w:val="6"/>
        <w:numPr>
          <w:numId w:val="0"/>
        </w:numPr>
        <w:jc w:val="both"/>
        <w:rPr>
          <w:rFonts w:hint="default" w:ascii="Arial" w:hAnsi="Arial" w:cs="Arial"/>
          <w:b w:val="0"/>
          <w:bCs w:val="0"/>
          <w:sz w:val="24"/>
          <w:szCs w:val="24"/>
          <w:lang w:val="en-US"/>
        </w:rPr>
      </w:pPr>
    </w:p>
    <w:p w14:paraId="45BFF3DB">
      <w:pPr>
        <w:pStyle w:val="6"/>
        <w:numPr>
          <w:numId w:val="0"/>
        </w:numPr>
        <w:jc w:val="both"/>
        <w:rPr>
          <w:rFonts w:hint="default" w:ascii="Arial" w:hAnsi="Arial" w:cs="Arial"/>
          <w:b w:val="0"/>
          <w:bCs w:val="0"/>
          <w:sz w:val="24"/>
          <w:szCs w:val="24"/>
          <w:lang w:val="en-US"/>
        </w:rPr>
      </w:pPr>
      <w:r>
        <w:rPr>
          <w:rFonts w:hint="default" w:ascii="Arial" w:hAnsi="Arial" w:cs="Arial"/>
          <w:b w:val="0"/>
          <w:bCs w:val="0"/>
          <w:sz w:val="24"/>
          <w:szCs w:val="24"/>
          <w:lang w:val="en-US"/>
        </w:rPr>
        <w:t>By providing a structured mechanism for aggregation, processing, and marketing, the hub will directly connect farmers to buyers, processors, and exporters, thereby reducing dependence on intermediaries and improving farmgate prices. It will also serve as a venue for training, cooperative development, and branding initiatives, strengthening the competitiveness of Surigao del Sur coffee in both domestic and international markets.</w:t>
      </w:r>
    </w:p>
    <w:p w14:paraId="2527DE40">
      <w:pPr>
        <w:pStyle w:val="6"/>
        <w:numPr>
          <w:numId w:val="0"/>
        </w:numPr>
        <w:jc w:val="both"/>
        <w:rPr>
          <w:rFonts w:hint="default" w:ascii="Arial" w:hAnsi="Arial" w:cs="Arial"/>
          <w:b w:val="0"/>
          <w:bCs w:val="0"/>
          <w:sz w:val="24"/>
          <w:szCs w:val="24"/>
          <w:lang w:val="en-US"/>
        </w:rPr>
      </w:pPr>
    </w:p>
    <w:p w14:paraId="5162C5C5">
      <w:pPr>
        <w:pStyle w:val="6"/>
        <w:numPr>
          <w:numId w:val="0"/>
        </w:numPr>
        <w:jc w:val="both"/>
        <w:rPr>
          <w:rFonts w:hint="default" w:ascii="Arial" w:hAnsi="Arial" w:cs="Arial"/>
          <w:b w:val="0"/>
          <w:bCs w:val="0"/>
          <w:sz w:val="24"/>
          <w:szCs w:val="24"/>
          <w:lang w:val="en-US"/>
        </w:rPr>
      </w:pPr>
      <w:r>
        <w:rPr>
          <w:rFonts w:hint="default" w:ascii="Arial" w:hAnsi="Arial" w:cs="Arial"/>
          <w:b w:val="0"/>
          <w:bCs w:val="0"/>
          <w:sz w:val="24"/>
          <w:szCs w:val="24"/>
          <w:lang w:val="en-US"/>
        </w:rPr>
        <w:t xml:space="preserve">Beyond its economic role, SSURCOPEX is envisioned as a catalyst for </w:t>
      </w:r>
      <w:r>
        <w:rPr>
          <w:rFonts w:hint="default" w:ascii="Arial" w:hAnsi="Arial" w:cs="Arial"/>
          <w:b/>
          <w:bCs/>
          <w:sz w:val="24"/>
          <w:szCs w:val="24"/>
          <w:lang w:val="en-US"/>
        </w:rPr>
        <w:t>farmer empowerment, local enterprise growth,</w:t>
      </w:r>
      <w:r>
        <w:rPr>
          <w:rFonts w:hint="default" w:ascii="Arial" w:hAnsi="Arial" w:cs="Arial"/>
          <w:b w:val="0"/>
          <w:bCs w:val="0"/>
          <w:sz w:val="24"/>
          <w:szCs w:val="24"/>
          <w:lang w:val="en-US"/>
        </w:rPr>
        <w:t xml:space="preserve"> </w:t>
      </w:r>
      <w:r>
        <w:rPr>
          <w:rFonts w:hint="default" w:ascii="Arial" w:hAnsi="Arial" w:cs="Arial"/>
          <w:b/>
          <w:bCs/>
          <w:sz w:val="24"/>
          <w:szCs w:val="24"/>
          <w:lang w:val="en-US"/>
        </w:rPr>
        <w:t xml:space="preserve">and agri-tourism development, </w:t>
      </w:r>
      <w:r>
        <w:rPr>
          <w:rFonts w:hint="default" w:ascii="Arial" w:hAnsi="Arial" w:cs="Arial"/>
          <w:b w:val="0"/>
          <w:bCs w:val="0"/>
          <w:sz w:val="24"/>
          <w:szCs w:val="24"/>
          <w:lang w:val="en-US"/>
        </w:rPr>
        <w:t>positioning Surigao del Sur as Caraga’s premier coffee hub and an emerging origin in the Philippine and global coffee industry. The project will leverage public-private partnership arrangements to mobilize financing, technical expertise, and modern facility management, ensuring sustainability and long-term impact.</w:t>
      </w:r>
    </w:p>
    <w:p w14:paraId="6AEAA8D1">
      <w:pPr>
        <w:pStyle w:val="6"/>
        <w:numPr>
          <w:numId w:val="0"/>
        </w:numPr>
        <w:jc w:val="both"/>
        <w:rPr>
          <w:rFonts w:hint="default" w:ascii="Arial" w:hAnsi="Arial" w:cs="Arial"/>
          <w:b w:val="0"/>
          <w:bCs w:val="0"/>
          <w:sz w:val="24"/>
          <w:szCs w:val="24"/>
          <w:lang w:val="en-US"/>
        </w:rPr>
      </w:pPr>
    </w:p>
    <w:p w14:paraId="544211E7">
      <w:pPr>
        <w:pStyle w:val="6"/>
        <w:numPr>
          <w:numId w:val="0"/>
        </w:numPr>
        <w:jc w:val="both"/>
        <w:rPr>
          <w:rFonts w:hint="default" w:ascii="Arial" w:hAnsi="Arial" w:cs="Arial"/>
          <w:b/>
          <w:bCs/>
          <w:sz w:val="24"/>
          <w:szCs w:val="24"/>
          <w:lang w:val="en-US"/>
        </w:rPr>
      </w:pPr>
      <w:r>
        <w:rPr>
          <w:rFonts w:hint="default" w:ascii="Arial" w:hAnsi="Arial" w:cs="Arial"/>
          <w:b/>
          <w:bCs/>
          <w:sz w:val="24"/>
          <w:szCs w:val="24"/>
          <w:lang w:val="en-US"/>
        </w:rPr>
        <w:t>Project Background</w:t>
      </w:r>
    </w:p>
    <w:p w14:paraId="46BC78A9">
      <w:pPr>
        <w:pStyle w:val="6"/>
        <w:numPr>
          <w:numId w:val="0"/>
        </w:numPr>
        <w:jc w:val="both"/>
        <w:rPr>
          <w:rFonts w:hint="default" w:ascii="Arial" w:hAnsi="Arial" w:cs="Arial"/>
          <w:b/>
          <w:bCs/>
          <w:sz w:val="24"/>
          <w:szCs w:val="24"/>
          <w:lang w:val="en-US"/>
        </w:rPr>
      </w:pPr>
    </w:p>
    <w:p w14:paraId="1F289705">
      <w:pPr>
        <w:pStyle w:val="6"/>
        <w:numPr>
          <w:numId w:val="0"/>
        </w:numPr>
        <w:jc w:val="both"/>
        <w:rPr>
          <w:rFonts w:hint="default" w:ascii="Arial" w:hAnsi="Arial" w:cs="Arial"/>
          <w:b w:val="0"/>
          <w:bCs w:val="0"/>
          <w:sz w:val="24"/>
          <w:szCs w:val="24"/>
          <w:lang w:val="en-US"/>
        </w:rPr>
      </w:pPr>
      <w:r>
        <w:rPr>
          <w:rFonts w:hint="default" w:ascii="Arial" w:hAnsi="Arial" w:cs="Arial"/>
          <w:b w:val="0"/>
          <w:bCs w:val="0"/>
          <w:sz w:val="24"/>
          <w:szCs w:val="24"/>
          <w:lang w:val="en-US"/>
        </w:rPr>
        <w:t xml:space="preserve">Surigao del Sur has long been recognized as the leading coffee-producing province in the Caraga Region, cultivating primarily Robusta coffee across more than 2,000 hectares of fertile land, with an additional 300 hectares currently being developed. The province’s favorable climate and soil conditions provide a strong foundation for sustained production and expansion. However, despite these natural advantages, the industry remains </w:t>
      </w:r>
      <w:r>
        <w:rPr>
          <w:rFonts w:hint="default" w:ascii="Arial" w:hAnsi="Arial" w:cs="Arial"/>
          <w:b/>
          <w:bCs/>
          <w:sz w:val="24"/>
          <w:szCs w:val="24"/>
          <w:lang w:val="en-US"/>
        </w:rPr>
        <w:t xml:space="preserve">fragmented and underutilized, </w:t>
      </w:r>
      <w:r>
        <w:rPr>
          <w:rFonts w:hint="default" w:ascii="Arial" w:hAnsi="Arial" w:cs="Arial"/>
          <w:b w:val="0"/>
          <w:bCs w:val="0"/>
          <w:sz w:val="24"/>
          <w:szCs w:val="24"/>
          <w:lang w:val="en-US"/>
        </w:rPr>
        <w:t>constrained by low productivity, inadequate post-harvest and transport infrastructure, weak branding, and the absence of a centralized consolidation hub.</w:t>
      </w:r>
    </w:p>
    <w:p w14:paraId="55038555">
      <w:pPr>
        <w:pStyle w:val="6"/>
        <w:numPr>
          <w:numId w:val="0"/>
        </w:numPr>
        <w:jc w:val="both"/>
        <w:rPr>
          <w:rFonts w:hint="default" w:ascii="Arial" w:hAnsi="Arial" w:cs="Arial"/>
          <w:b w:val="0"/>
          <w:bCs w:val="0"/>
          <w:sz w:val="24"/>
          <w:szCs w:val="24"/>
          <w:lang w:val="en-US"/>
        </w:rPr>
      </w:pPr>
    </w:p>
    <w:p w14:paraId="748144A1">
      <w:pPr>
        <w:pStyle w:val="6"/>
        <w:numPr>
          <w:numId w:val="0"/>
        </w:numPr>
        <w:jc w:val="both"/>
        <w:rPr>
          <w:rFonts w:hint="default" w:ascii="Arial" w:hAnsi="Arial" w:cs="Arial"/>
          <w:b w:val="0"/>
          <w:bCs w:val="0"/>
          <w:sz w:val="24"/>
          <w:szCs w:val="24"/>
          <w:lang w:val="en-US"/>
        </w:rPr>
      </w:pPr>
      <w:r>
        <w:rPr>
          <w:rFonts w:hint="default" w:ascii="Arial" w:hAnsi="Arial" w:cs="Arial"/>
          <w:b w:val="0"/>
          <w:bCs w:val="0"/>
          <w:sz w:val="24"/>
          <w:szCs w:val="24"/>
          <w:lang w:val="en-US"/>
        </w:rPr>
        <w:t xml:space="preserve">As a result,  farmers continue to rely heavily on intermediaries, leading to depressed farmgate prices and limited access to premium domestic and international markets. Previous assessments conducted by the </w:t>
      </w:r>
      <w:r>
        <w:rPr>
          <w:rFonts w:hint="default" w:ascii="Arial" w:hAnsi="Arial" w:cs="Arial"/>
          <w:b/>
          <w:bCs/>
          <w:sz w:val="24"/>
          <w:szCs w:val="24"/>
          <w:lang w:val="en-US"/>
        </w:rPr>
        <w:t>Department of Agriculture (DA), Department of Trade and Industry (DTI), and the Philippine Coffee Board Inc.</w:t>
      </w:r>
      <w:r>
        <w:rPr>
          <w:rFonts w:hint="default" w:ascii="Arial" w:hAnsi="Arial" w:cs="Arial"/>
          <w:b w:val="0"/>
          <w:bCs w:val="0"/>
          <w:sz w:val="24"/>
          <w:szCs w:val="24"/>
          <w:lang w:val="en-US"/>
        </w:rPr>
        <w:t xml:space="preserve"> have consistently recommended the establishment of a centralized trading and processing facility to strengthen the regional coffee value chain. Likewise, the </w:t>
      </w:r>
      <w:r>
        <w:rPr>
          <w:rFonts w:hint="default" w:ascii="Arial" w:hAnsi="Arial" w:cs="Arial"/>
          <w:b/>
          <w:bCs/>
          <w:sz w:val="24"/>
          <w:szCs w:val="24"/>
          <w:lang w:val="en-US"/>
        </w:rPr>
        <w:t xml:space="preserve">Philippine Coffee Roadmap </w:t>
      </w:r>
      <w:r>
        <w:rPr>
          <w:rFonts w:hint="default" w:ascii="Arial" w:hAnsi="Arial" w:cs="Arial"/>
          <w:b w:val="0"/>
          <w:bCs w:val="0"/>
          <w:sz w:val="24"/>
          <w:szCs w:val="24"/>
          <w:lang w:val="en-US"/>
        </w:rPr>
        <w:t>(2017-2022) highlighted the urgent need for consolidation hubs to address structural gaps in production, quality assurance, and market integration.</w:t>
      </w:r>
    </w:p>
    <w:p w14:paraId="4CA584FD">
      <w:pPr>
        <w:pStyle w:val="6"/>
        <w:numPr>
          <w:numId w:val="0"/>
        </w:numPr>
        <w:jc w:val="both"/>
        <w:rPr>
          <w:rFonts w:hint="default" w:ascii="Arial" w:hAnsi="Arial" w:cs="Arial"/>
          <w:b w:val="0"/>
          <w:bCs w:val="0"/>
          <w:sz w:val="24"/>
          <w:szCs w:val="24"/>
          <w:lang w:val="en-US"/>
        </w:rPr>
      </w:pPr>
    </w:p>
    <w:p w14:paraId="74BEADAC">
      <w:pPr>
        <w:pStyle w:val="6"/>
        <w:numPr>
          <w:numId w:val="0"/>
        </w:numPr>
        <w:jc w:val="both"/>
        <w:rPr>
          <w:rFonts w:hint="default" w:ascii="Arial" w:hAnsi="Arial" w:cs="Arial"/>
          <w:b w:val="0"/>
          <w:bCs w:val="0"/>
          <w:sz w:val="24"/>
          <w:szCs w:val="24"/>
          <w:lang w:val="en-US"/>
        </w:rPr>
      </w:pPr>
      <w:r>
        <w:rPr>
          <w:rFonts w:hint="default" w:ascii="Arial" w:hAnsi="Arial" w:cs="Arial"/>
          <w:b w:val="0"/>
          <w:bCs w:val="0"/>
          <w:sz w:val="24"/>
          <w:szCs w:val="24"/>
          <w:lang w:val="en-US"/>
        </w:rPr>
        <w:t xml:space="preserve">The proposed </w:t>
      </w:r>
      <w:r>
        <w:rPr>
          <w:rFonts w:hint="default" w:ascii="Arial" w:hAnsi="Arial" w:cs="Arial"/>
          <w:b/>
          <w:bCs/>
          <w:sz w:val="24"/>
          <w:szCs w:val="24"/>
          <w:lang w:val="en-US"/>
        </w:rPr>
        <w:t>Surigao del Sur Coffee Processing and Exchange Hub</w:t>
      </w:r>
      <w:r>
        <w:rPr>
          <w:rFonts w:hint="default" w:ascii="Arial" w:hAnsi="Arial" w:cs="Arial"/>
          <w:b w:val="0"/>
          <w:bCs w:val="0"/>
          <w:sz w:val="24"/>
          <w:szCs w:val="24"/>
          <w:lang w:val="en-US"/>
        </w:rPr>
        <w:t xml:space="preserve"> </w:t>
      </w:r>
      <w:r>
        <w:rPr>
          <w:rFonts w:hint="default" w:ascii="Arial" w:hAnsi="Arial" w:cs="Arial"/>
          <w:b/>
          <w:bCs/>
          <w:sz w:val="24"/>
          <w:szCs w:val="24"/>
          <w:lang w:val="en-US"/>
        </w:rPr>
        <w:t>(SURSURCOFEX)</w:t>
      </w:r>
      <w:r>
        <w:rPr>
          <w:rFonts w:hint="default" w:ascii="Arial" w:hAnsi="Arial" w:cs="Arial"/>
          <w:b w:val="0"/>
          <w:bCs w:val="0"/>
          <w:sz w:val="24"/>
          <w:szCs w:val="24"/>
          <w:lang w:val="en-US"/>
        </w:rPr>
        <w:t xml:space="preserve"> directly responds to these recommendations. It seeks to institutionalize transparent trading mechanisms, introduce standardized grading and quality assurance systems, and provide modern post-harvest and processing facilities. By doing so, the project will not only enhance farmer incomes and competitiveness but also align with national priorities on agricultural modernization, rural enterprise development, and inclusive economic growth.</w:t>
      </w:r>
    </w:p>
    <w:p w14:paraId="15C42496">
      <w:pPr>
        <w:pStyle w:val="6"/>
        <w:numPr>
          <w:numId w:val="0"/>
        </w:numPr>
        <w:jc w:val="both"/>
        <w:rPr>
          <w:rFonts w:hint="default" w:ascii="Arial" w:hAnsi="Arial" w:cs="Arial"/>
          <w:b w:val="0"/>
          <w:bCs w:val="0"/>
          <w:sz w:val="24"/>
          <w:szCs w:val="24"/>
          <w:lang w:val="en-US"/>
        </w:rPr>
      </w:pPr>
    </w:p>
    <w:p w14:paraId="1213DE58">
      <w:pPr>
        <w:pStyle w:val="6"/>
        <w:numPr>
          <w:numId w:val="0"/>
        </w:numPr>
        <w:jc w:val="both"/>
        <w:rPr>
          <w:rFonts w:hint="default" w:ascii="Arial" w:hAnsi="Arial" w:cs="Arial"/>
          <w:b/>
          <w:bCs/>
          <w:sz w:val="24"/>
          <w:szCs w:val="24"/>
          <w:lang w:val="en-US"/>
        </w:rPr>
      </w:pPr>
      <w:r>
        <w:rPr>
          <w:rFonts w:hint="default" w:ascii="Arial" w:hAnsi="Arial" w:cs="Arial"/>
          <w:b/>
          <w:bCs/>
          <w:sz w:val="24"/>
          <w:szCs w:val="24"/>
          <w:lang w:val="en-US"/>
        </w:rPr>
        <w:t>Rationale of the Project</w:t>
      </w:r>
    </w:p>
    <w:p w14:paraId="760B59FA">
      <w:pPr>
        <w:pStyle w:val="6"/>
        <w:numPr>
          <w:numId w:val="0"/>
        </w:numPr>
        <w:jc w:val="both"/>
        <w:rPr>
          <w:rFonts w:hint="default" w:ascii="Arial" w:hAnsi="Arial" w:cs="Arial"/>
          <w:b/>
          <w:bCs/>
          <w:sz w:val="24"/>
          <w:szCs w:val="24"/>
          <w:lang w:val="en-US"/>
        </w:rPr>
      </w:pPr>
    </w:p>
    <w:p w14:paraId="03A9CD13">
      <w:pPr>
        <w:pStyle w:val="6"/>
        <w:numPr>
          <w:ilvl w:val="0"/>
          <w:numId w:val="2"/>
        </w:numPr>
        <w:jc w:val="both"/>
        <w:rPr>
          <w:rFonts w:hint="default" w:ascii="Arial" w:hAnsi="Arial" w:cs="Arial"/>
          <w:b/>
          <w:bCs/>
          <w:sz w:val="24"/>
          <w:szCs w:val="24"/>
          <w:lang w:val="en-US"/>
        </w:rPr>
      </w:pPr>
      <w:r>
        <w:rPr>
          <w:rFonts w:hint="default" w:ascii="Arial" w:hAnsi="Arial" w:cs="Arial"/>
          <w:b/>
          <w:bCs/>
          <w:sz w:val="24"/>
          <w:szCs w:val="24"/>
          <w:lang w:val="en-US"/>
        </w:rPr>
        <w:t>Sector</w:t>
      </w:r>
    </w:p>
    <w:p w14:paraId="2ECBE63C">
      <w:pPr>
        <w:pStyle w:val="6"/>
        <w:numPr>
          <w:numId w:val="0"/>
        </w:numPr>
        <w:jc w:val="both"/>
        <w:rPr>
          <w:rFonts w:hint="default" w:ascii="Arial" w:hAnsi="Arial" w:cs="Arial"/>
          <w:b w:val="0"/>
          <w:bCs w:val="0"/>
          <w:sz w:val="24"/>
          <w:szCs w:val="24"/>
          <w:lang w:val="en-US"/>
        </w:rPr>
      </w:pPr>
    </w:p>
    <w:p w14:paraId="4C293DEA">
      <w:pPr>
        <w:pStyle w:val="6"/>
        <w:numPr>
          <w:numId w:val="0"/>
        </w:numPr>
        <w:jc w:val="both"/>
        <w:rPr>
          <w:rFonts w:hint="default" w:ascii="Arial" w:hAnsi="Arial" w:cs="Arial"/>
          <w:b w:val="0"/>
          <w:bCs w:val="0"/>
          <w:sz w:val="24"/>
          <w:szCs w:val="24"/>
          <w:lang w:val="en-US"/>
        </w:rPr>
      </w:pPr>
      <w:r>
        <w:rPr>
          <w:rFonts w:hint="default" w:ascii="Arial" w:hAnsi="Arial" w:cs="Arial"/>
          <w:b w:val="0"/>
          <w:bCs w:val="0"/>
          <w:sz w:val="24"/>
          <w:szCs w:val="24"/>
          <w:lang w:val="en-US"/>
        </w:rPr>
        <w:t>Agriculture and Agribusiness - Coffee Industry Development</w:t>
      </w:r>
    </w:p>
    <w:p w14:paraId="4E0FE896">
      <w:pPr>
        <w:pStyle w:val="6"/>
        <w:numPr>
          <w:numId w:val="0"/>
        </w:numPr>
        <w:jc w:val="both"/>
        <w:rPr>
          <w:rFonts w:hint="default" w:ascii="Arial" w:hAnsi="Arial" w:cs="Arial"/>
          <w:b w:val="0"/>
          <w:bCs w:val="0"/>
          <w:sz w:val="24"/>
          <w:szCs w:val="24"/>
          <w:lang w:val="en-US"/>
        </w:rPr>
      </w:pPr>
    </w:p>
    <w:p w14:paraId="6A35A1A9">
      <w:pPr>
        <w:pStyle w:val="6"/>
        <w:numPr>
          <w:ilvl w:val="0"/>
          <w:numId w:val="2"/>
        </w:numPr>
        <w:ind w:left="0" w:leftChars="0" w:firstLine="0" w:firstLineChars="0"/>
        <w:jc w:val="both"/>
        <w:rPr>
          <w:rFonts w:hint="default" w:ascii="Arial" w:hAnsi="Arial" w:cs="Arial"/>
          <w:b/>
          <w:bCs/>
          <w:sz w:val="24"/>
          <w:szCs w:val="24"/>
          <w:lang w:val="en-US"/>
        </w:rPr>
      </w:pPr>
      <w:r>
        <w:rPr>
          <w:rFonts w:hint="default" w:ascii="Arial" w:hAnsi="Arial" w:cs="Arial"/>
          <w:b/>
          <w:bCs/>
          <w:sz w:val="24"/>
          <w:szCs w:val="24"/>
          <w:lang w:val="en-US"/>
        </w:rPr>
        <w:t>Sectoral Program Context</w:t>
      </w:r>
    </w:p>
    <w:p w14:paraId="23504BF6">
      <w:pPr>
        <w:pStyle w:val="6"/>
        <w:numPr>
          <w:numId w:val="0"/>
        </w:numPr>
        <w:spacing w:after="0" w:line="240" w:lineRule="auto"/>
        <w:jc w:val="both"/>
        <w:rPr>
          <w:rFonts w:hint="default" w:ascii="Arial" w:hAnsi="Arial" w:cs="Arial"/>
          <w:b/>
          <w:bCs/>
          <w:sz w:val="24"/>
          <w:szCs w:val="24"/>
          <w:lang w:val="en-US"/>
        </w:rPr>
      </w:pPr>
    </w:p>
    <w:p w14:paraId="59FE093F">
      <w:pPr>
        <w:pStyle w:val="6"/>
        <w:numPr>
          <w:numId w:val="0"/>
        </w:numPr>
        <w:spacing w:after="0" w:line="240" w:lineRule="auto"/>
        <w:jc w:val="both"/>
        <w:rPr>
          <w:rFonts w:hint="default" w:ascii="Arial" w:hAnsi="Arial" w:cs="Arial"/>
          <w:b/>
          <w:bCs/>
          <w:sz w:val="24"/>
          <w:szCs w:val="24"/>
          <w:lang w:val="en-US"/>
        </w:rPr>
      </w:pPr>
    </w:p>
    <w:p w14:paraId="78B9934A">
      <w:pPr>
        <w:pStyle w:val="6"/>
        <w:numPr>
          <w:numId w:val="0"/>
        </w:numPr>
        <w:spacing w:after="0" w:line="240" w:lineRule="auto"/>
        <w:jc w:val="both"/>
        <w:rPr>
          <w:rFonts w:hint="default" w:ascii="Arial" w:hAnsi="Arial" w:cs="Arial"/>
          <w:b/>
          <w:bCs/>
          <w:sz w:val="24"/>
          <w:szCs w:val="24"/>
          <w:lang w:val="en-US"/>
        </w:rPr>
      </w:pPr>
    </w:p>
    <w:p w14:paraId="4BB1B346">
      <w:pPr>
        <w:pStyle w:val="6"/>
        <w:numPr>
          <w:numId w:val="0"/>
        </w:numPr>
        <w:spacing w:after="0" w:line="240" w:lineRule="auto"/>
        <w:jc w:val="both"/>
        <w:rPr>
          <w:rFonts w:hint="default" w:ascii="Arial" w:hAnsi="Arial" w:cs="Arial"/>
          <w:b/>
          <w:bCs/>
          <w:sz w:val="24"/>
          <w:szCs w:val="24"/>
          <w:lang w:val="en-US"/>
        </w:rPr>
      </w:pPr>
    </w:p>
    <w:p w14:paraId="77979D96">
      <w:pPr>
        <w:pStyle w:val="6"/>
        <w:numPr>
          <w:numId w:val="0"/>
        </w:numPr>
        <w:spacing w:after="0" w:line="240" w:lineRule="auto"/>
        <w:jc w:val="both"/>
        <w:rPr>
          <w:rFonts w:hint="default" w:ascii="Arial" w:hAnsi="Arial" w:cs="Arial"/>
          <w:b/>
          <w:bCs/>
          <w:sz w:val="24"/>
          <w:szCs w:val="24"/>
          <w:lang w:val="en-US"/>
        </w:rPr>
      </w:pPr>
    </w:p>
    <w:p w14:paraId="32E559D5">
      <w:pPr>
        <w:pStyle w:val="6"/>
        <w:numPr>
          <w:ilvl w:val="0"/>
          <w:numId w:val="3"/>
        </w:numPr>
        <w:tabs>
          <w:tab w:val="clear" w:pos="420"/>
        </w:tabs>
        <w:spacing w:after="0" w:line="240" w:lineRule="auto"/>
        <w:ind w:left="420" w:leftChars="0" w:hanging="420" w:firstLineChars="0"/>
        <w:jc w:val="both"/>
        <w:rPr>
          <w:rFonts w:hint="default" w:ascii="Arial" w:hAnsi="Arial" w:cs="Arial"/>
          <w:b w:val="0"/>
          <w:bCs w:val="0"/>
          <w:sz w:val="24"/>
          <w:szCs w:val="24"/>
          <w:lang w:val="en-US"/>
        </w:rPr>
      </w:pPr>
      <w:r>
        <w:rPr>
          <w:rFonts w:hint="default" w:ascii="Arial" w:hAnsi="Arial" w:cs="Arial"/>
          <w:b w:val="0"/>
          <w:bCs w:val="0"/>
          <w:sz w:val="24"/>
          <w:szCs w:val="24"/>
          <w:lang w:val="en-US"/>
        </w:rPr>
        <w:t>Aligned with the Provincial Development Investment Program (PDIP) 2025-2028 and identified as a priority under the Annual Investment Program (AIP) 2027.</w:t>
      </w:r>
    </w:p>
    <w:p w14:paraId="4E2505B0">
      <w:pPr>
        <w:pStyle w:val="6"/>
        <w:numPr>
          <w:numId w:val="0"/>
        </w:numPr>
        <w:spacing w:after="0" w:line="240" w:lineRule="auto"/>
        <w:ind w:leftChars="0"/>
        <w:jc w:val="both"/>
        <w:rPr>
          <w:rFonts w:hint="default" w:ascii="Arial" w:hAnsi="Arial" w:cs="Arial"/>
          <w:b w:val="0"/>
          <w:bCs w:val="0"/>
          <w:sz w:val="24"/>
          <w:szCs w:val="24"/>
          <w:lang w:val="en-US"/>
        </w:rPr>
      </w:pPr>
    </w:p>
    <w:p w14:paraId="7B4A0E42">
      <w:pPr>
        <w:pStyle w:val="6"/>
        <w:numPr>
          <w:ilvl w:val="0"/>
          <w:numId w:val="3"/>
        </w:numPr>
        <w:tabs>
          <w:tab w:val="clear" w:pos="420"/>
        </w:tabs>
        <w:spacing w:after="0" w:line="240" w:lineRule="auto"/>
        <w:ind w:left="420" w:leftChars="0" w:hanging="420" w:firstLineChars="0"/>
        <w:jc w:val="both"/>
        <w:rPr>
          <w:rFonts w:hint="default" w:ascii="Arial" w:hAnsi="Arial" w:cs="Arial"/>
          <w:b w:val="0"/>
          <w:bCs w:val="0"/>
          <w:sz w:val="24"/>
          <w:szCs w:val="24"/>
          <w:lang w:val="en-US"/>
        </w:rPr>
      </w:pPr>
      <w:r>
        <w:rPr>
          <w:rFonts w:hint="default" w:ascii="Arial" w:hAnsi="Arial" w:cs="Arial"/>
          <w:b w:val="0"/>
          <w:bCs w:val="0"/>
          <w:sz w:val="24"/>
          <w:szCs w:val="24"/>
          <w:lang w:val="en-US"/>
        </w:rPr>
        <w:t>Supports the Provincial Development and Physical Framework Plan (PDPFP) by strengthening agricultural value chains and rural enterprise development.</w:t>
      </w:r>
    </w:p>
    <w:p w14:paraId="0816AF88">
      <w:pPr>
        <w:pStyle w:val="6"/>
        <w:numPr>
          <w:numId w:val="0"/>
        </w:numPr>
        <w:spacing w:after="0" w:line="240" w:lineRule="auto"/>
        <w:ind w:leftChars="0"/>
        <w:jc w:val="both"/>
        <w:rPr>
          <w:rFonts w:hint="default" w:ascii="Arial" w:hAnsi="Arial" w:cs="Arial"/>
          <w:b w:val="0"/>
          <w:bCs w:val="0"/>
          <w:sz w:val="24"/>
          <w:szCs w:val="24"/>
          <w:lang w:val="en-US"/>
        </w:rPr>
      </w:pPr>
    </w:p>
    <w:p w14:paraId="3187A4D7">
      <w:pPr>
        <w:pStyle w:val="6"/>
        <w:numPr>
          <w:ilvl w:val="0"/>
          <w:numId w:val="3"/>
        </w:numPr>
        <w:tabs>
          <w:tab w:val="clear" w:pos="420"/>
        </w:tabs>
        <w:spacing w:after="0" w:line="240" w:lineRule="auto"/>
        <w:ind w:left="420" w:leftChars="0" w:hanging="420" w:firstLineChars="0"/>
        <w:jc w:val="both"/>
        <w:rPr>
          <w:rFonts w:hint="default" w:ascii="Arial" w:hAnsi="Arial" w:cs="Arial"/>
          <w:b w:val="0"/>
          <w:bCs w:val="0"/>
          <w:sz w:val="24"/>
          <w:szCs w:val="24"/>
          <w:lang w:val="en-US"/>
        </w:rPr>
      </w:pPr>
      <w:r>
        <w:rPr>
          <w:rFonts w:hint="default" w:ascii="Arial" w:hAnsi="Arial" w:cs="Arial"/>
          <w:b w:val="0"/>
          <w:bCs w:val="0"/>
          <w:sz w:val="24"/>
          <w:szCs w:val="24"/>
          <w:lang w:val="en-US"/>
        </w:rPr>
        <w:t>Consistent with national policy directions on inclusive growth, agricultural modernization, and PPP collaboration.</w:t>
      </w:r>
    </w:p>
    <w:p w14:paraId="158BE981">
      <w:pPr>
        <w:pStyle w:val="6"/>
        <w:numPr>
          <w:numId w:val="0"/>
        </w:numPr>
        <w:spacing w:after="0" w:line="240" w:lineRule="auto"/>
        <w:ind w:leftChars="0"/>
        <w:jc w:val="both"/>
        <w:rPr>
          <w:rFonts w:hint="default" w:ascii="Arial" w:hAnsi="Arial" w:cs="Arial"/>
          <w:b w:val="0"/>
          <w:bCs w:val="0"/>
          <w:sz w:val="24"/>
          <w:szCs w:val="24"/>
          <w:lang w:val="en-US"/>
        </w:rPr>
      </w:pPr>
    </w:p>
    <w:p w14:paraId="5F6CD43C">
      <w:pPr>
        <w:pStyle w:val="6"/>
        <w:numPr>
          <w:ilvl w:val="0"/>
          <w:numId w:val="3"/>
        </w:numPr>
        <w:tabs>
          <w:tab w:val="clear" w:pos="420"/>
        </w:tabs>
        <w:spacing w:after="0" w:line="240" w:lineRule="auto"/>
        <w:ind w:left="420" w:leftChars="0" w:hanging="420" w:firstLineChars="0"/>
        <w:jc w:val="both"/>
        <w:rPr>
          <w:rFonts w:hint="default" w:ascii="Arial" w:hAnsi="Arial" w:cs="Arial"/>
          <w:b w:val="0"/>
          <w:bCs w:val="0"/>
          <w:sz w:val="24"/>
          <w:szCs w:val="24"/>
          <w:lang w:val="en-US"/>
        </w:rPr>
      </w:pPr>
      <w:r>
        <w:rPr>
          <w:rFonts w:hint="default" w:ascii="Arial" w:hAnsi="Arial" w:cs="Arial"/>
          <w:b w:val="0"/>
          <w:bCs w:val="0"/>
          <w:sz w:val="24"/>
          <w:szCs w:val="24"/>
          <w:lang w:val="en-US"/>
        </w:rPr>
        <w:t>Endorsed by farmer cooperatives, local stakeholders, and provincial authorities.</w:t>
      </w:r>
    </w:p>
    <w:p w14:paraId="62CF7988">
      <w:pPr>
        <w:pStyle w:val="6"/>
        <w:numPr>
          <w:numId w:val="0"/>
        </w:numPr>
        <w:spacing w:after="0" w:line="240" w:lineRule="auto"/>
        <w:jc w:val="both"/>
        <w:rPr>
          <w:rFonts w:hint="default" w:ascii="Arial" w:hAnsi="Arial" w:cs="Arial"/>
          <w:b w:val="0"/>
          <w:bCs w:val="0"/>
          <w:sz w:val="24"/>
          <w:szCs w:val="24"/>
          <w:lang w:val="en-US"/>
        </w:rPr>
      </w:pPr>
    </w:p>
    <w:p w14:paraId="284F8FFD">
      <w:pPr>
        <w:pStyle w:val="6"/>
        <w:numPr>
          <w:numId w:val="0"/>
        </w:numPr>
        <w:spacing w:after="0" w:line="240" w:lineRule="auto"/>
        <w:jc w:val="center"/>
        <w:rPr>
          <w:rFonts w:hint="default" w:ascii="Arial" w:hAnsi="Arial" w:cs="Arial"/>
          <w:b/>
          <w:bCs/>
          <w:sz w:val="24"/>
          <w:szCs w:val="24"/>
          <w:lang w:val="en-US"/>
        </w:rPr>
      </w:pPr>
      <w:r>
        <w:rPr>
          <w:rFonts w:hint="default" w:ascii="Arial" w:hAnsi="Arial" w:cs="Arial"/>
          <w:b/>
          <w:bCs/>
          <w:sz w:val="24"/>
          <w:szCs w:val="24"/>
          <w:lang w:val="en-US"/>
        </w:rPr>
        <w:t>Indicative Timeline</w:t>
      </w:r>
    </w:p>
    <w:p w14:paraId="28F96554">
      <w:pPr>
        <w:pStyle w:val="6"/>
        <w:numPr>
          <w:numId w:val="0"/>
        </w:numPr>
        <w:spacing w:after="0" w:line="240" w:lineRule="auto"/>
        <w:jc w:val="both"/>
        <w:rPr>
          <w:rFonts w:hint="default" w:ascii="Arial" w:hAnsi="Arial" w:cs="Arial"/>
          <w:b w:val="0"/>
          <w:bCs w:val="0"/>
          <w:sz w:val="24"/>
          <w:szCs w:val="24"/>
          <w:lang w:val="en-US"/>
        </w:rPr>
      </w:pPr>
    </w:p>
    <w:p w14:paraId="6D3EF08C">
      <w:pPr>
        <w:pStyle w:val="6"/>
        <w:numPr>
          <w:numId w:val="0"/>
        </w:numPr>
        <w:spacing w:after="0" w:line="240" w:lineRule="auto"/>
        <w:jc w:val="both"/>
        <w:rPr>
          <w:rFonts w:hint="default" w:ascii="Arial" w:hAnsi="Arial" w:cs="Arial"/>
          <w:b/>
          <w:bCs/>
          <w:i/>
          <w:iCs/>
          <w:sz w:val="24"/>
          <w:szCs w:val="24"/>
          <w:lang w:val="en-US"/>
        </w:rPr>
      </w:pPr>
      <w:r>
        <w:rPr>
          <w:rFonts w:hint="default" w:ascii="Arial" w:hAnsi="Arial" w:cs="Arial"/>
          <w:b/>
          <w:bCs/>
          <w:i/>
          <w:iCs/>
          <w:sz w:val="24"/>
          <w:szCs w:val="24"/>
          <w:lang w:val="en-US"/>
        </w:rPr>
        <w:t>Project Development</w:t>
      </w:r>
    </w:p>
    <w:p w14:paraId="0D689028">
      <w:pPr>
        <w:pStyle w:val="6"/>
        <w:numPr>
          <w:numId w:val="0"/>
        </w:numPr>
        <w:spacing w:after="0" w:line="240" w:lineRule="auto"/>
        <w:jc w:val="both"/>
        <w:rPr>
          <w:rFonts w:hint="default" w:ascii="Arial" w:hAnsi="Arial" w:cs="Arial"/>
          <w:b/>
          <w:bCs/>
          <w:i/>
          <w:iCs/>
          <w:sz w:val="24"/>
          <w:szCs w:val="24"/>
          <w:lang w:val="en-US"/>
        </w:rPr>
      </w:pPr>
    </w:p>
    <w:tbl>
      <w:tblPr>
        <w:tblStyle w:val="5"/>
        <w:tblW w:w="9582"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6094"/>
        <w:gridCol w:w="3488"/>
      </w:tblGrid>
      <w:tr w14:paraId="191C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094" w:type="dxa"/>
          </w:tcPr>
          <w:p w14:paraId="618EE9A5">
            <w:pPr>
              <w:pStyle w:val="6"/>
              <w:numPr>
                <w:numId w:val="0"/>
              </w:numPr>
              <w:spacing w:after="0" w:line="240" w:lineRule="auto"/>
              <w:jc w:val="center"/>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Milestone</w:t>
            </w:r>
          </w:p>
        </w:tc>
        <w:tc>
          <w:tcPr>
            <w:tcW w:w="3488" w:type="dxa"/>
          </w:tcPr>
          <w:p w14:paraId="52B67650">
            <w:pPr>
              <w:pStyle w:val="6"/>
              <w:numPr>
                <w:numId w:val="0"/>
              </w:numPr>
              <w:spacing w:after="0" w:line="240" w:lineRule="auto"/>
              <w:jc w:val="center"/>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Target Date</w:t>
            </w:r>
          </w:p>
        </w:tc>
      </w:tr>
      <w:tr w14:paraId="331D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Before w:w="0" w:type="auto"/>
        </w:trPr>
        <w:tc>
          <w:tcPr>
            <w:tcW w:w="6094" w:type="dxa"/>
          </w:tcPr>
          <w:p w14:paraId="220B9E91">
            <w:pPr>
              <w:pStyle w:val="6"/>
              <w:numPr>
                <w:numId w:val="0"/>
              </w:numPr>
              <w:spacing w:after="0" w:line="240" w:lineRule="auto"/>
              <w:jc w:val="both"/>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Preparation and submission of Project Concept Note</w:t>
            </w:r>
          </w:p>
        </w:tc>
        <w:tc>
          <w:tcPr>
            <w:tcW w:w="3488" w:type="dxa"/>
          </w:tcPr>
          <w:p w14:paraId="42CE4260">
            <w:pPr>
              <w:pStyle w:val="6"/>
              <w:numPr>
                <w:numId w:val="0"/>
              </w:numPr>
              <w:spacing w:after="0" w:line="240" w:lineRule="auto"/>
              <w:jc w:val="both"/>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September 2026</w:t>
            </w:r>
          </w:p>
        </w:tc>
      </w:tr>
      <w:tr w14:paraId="08D3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Before w:w="0" w:type="auto"/>
        </w:trPr>
        <w:tc>
          <w:tcPr>
            <w:tcW w:w="6094" w:type="dxa"/>
          </w:tcPr>
          <w:p w14:paraId="3DCE8D8A">
            <w:pPr>
              <w:pStyle w:val="6"/>
              <w:numPr>
                <w:numId w:val="0"/>
              </w:numPr>
              <w:spacing w:after="0" w:line="240" w:lineRule="auto"/>
              <w:jc w:val="both"/>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Procurement of feasibility and transaction advisers</w:t>
            </w:r>
          </w:p>
        </w:tc>
        <w:tc>
          <w:tcPr>
            <w:tcW w:w="3488" w:type="dxa"/>
          </w:tcPr>
          <w:p w14:paraId="397E6E8F">
            <w:pPr>
              <w:pStyle w:val="6"/>
              <w:numPr>
                <w:numId w:val="0"/>
              </w:numPr>
              <w:spacing w:after="0" w:line="240" w:lineRule="auto"/>
              <w:jc w:val="both"/>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Q4 2026</w:t>
            </w:r>
          </w:p>
        </w:tc>
      </w:tr>
      <w:tr w14:paraId="54F5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Before w:w="0" w:type="auto"/>
        </w:trPr>
        <w:tc>
          <w:tcPr>
            <w:tcW w:w="6094" w:type="dxa"/>
          </w:tcPr>
          <w:p w14:paraId="116734C2">
            <w:pPr>
              <w:pStyle w:val="6"/>
              <w:numPr>
                <w:numId w:val="0"/>
              </w:numPr>
              <w:spacing w:after="0" w:line="240" w:lineRule="auto"/>
              <w:jc w:val="both"/>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Feasibility study and business case preparation</w:t>
            </w:r>
          </w:p>
        </w:tc>
        <w:tc>
          <w:tcPr>
            <w:tcW w:w="3488" w:type="dxa"/>
          </w:tcPr>
          <w:p w14:paraId="72DA7499">
            <w:pPr>
              <w:pStyle w:val="6"/>
              <w:numPr>
                <w:numId w:val="0"/>
              </w:numPr>
              <w:spacing w:after="0" w:line="240" w:lineRule="auto"/>
              <w:jc w:val="both"/>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6 months (Q4 2026 - Q2 2027)</w:t>
            </w:r>
          </w:p>
        </w:tc>
      </w:tr>
      <w:tr w14:paraId="042F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Before w:w="0" w:type="auto"/>
        </w:trPr>
        <w:tc>
          <w:tcPr>
            <w:tcW w:w="6094" w:type="dxa"/>
          </w:tcPr>
          <w:p w14:paraId="77E307B5">
            <w:pPr>
              <w:pStyle w:val="6"/>
              <w:numPr>
                <w:numId w:val="0"/>
              </w:numPr>
              <w:spacing w:after="0" w:line="240" w:lineRule="auto"/>
              <w:jc w:val="both"/>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PPP structuring and drafting of contractual framework</w:t>
            </w:r>
          </w:p>
        </w:tc>
        <w:tc>
          <w:tcPr>
            <w:tcW w:w="3488" w:type="dxa"/>
          </w:tcPr>
          <w:p w14:paraId="73FA4EEA">
            <w:pPr>
              <w:pStyle w:val="6"/>
              <w:numPr>
                <w:numId w:val="0"/>
              </w:numPr>
              <w:spacing w:after="0" w:line="240" w:lineRule="auto"/>
              <w:jc w:val="both"/>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4 months (Q2 -Q3 2027)</w:t>
            </w:r>
          </w:p>
        </w:tc>
      </w:tr>
      <w:tr w14:paraId="47C1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Before w:w="0" w:type="auto"/>
        </w:trPr>
        <w:tc>
          <w:tcPr>
            <w:tcW w:w="6094" w:type="dxa"/>
          </w:tcPr>
          <w:p w14:paraId="5F5D3132">
            <w:pPr>
              <w:pStyle w:val="6"/>
              <w:numPr>
                <w:numId w:val="0"/>
              </w:numPr>
              <w:spacing w:after="0" w:line="240" w:lineRule="auto"/>
              <w:jc w:val="both"/>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Submission for PPP approvals</w:t>
            </w:r>
          </w:p>
        </w:tc>
        <w:tc>
          <w:tcPr>
            <w:tcW w:w="3488" w:type="dxa"/>
          </w:tcPr>
          <w:p w14:paraId="1795CCE7">
            <w:pPr>
              <w:pStyle w:val="6"/>
              <w:numPr>
                <w:numId w:val="0"/>
              </w:numPr>
              <w:spacing w:after="0" w:line="240" w:lineRule="auto"/>
              <w:jc w:val="both"/>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Q3 2027</w:t>
            </w:r>
          </w:p>
        </w:tc>
      </w:tr>
      <w:tr w14:paraId="171B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Before w:w="0" w:type="auto"/>
        </w:trPr>
        <w:tc>
          <w:tcPr>
            <w:tcW w:w="6094" w:type="dxa"/>
          </w:tcPr>
          <w:p w14:paraId="5053101F">
            <w:pPr>
              <w:pStyle w:val="6"/>
              <w:numPr>
                <w:numId w:val="0"/>
              </w:numPr>
              <w:spacing w:after="0" w:line="240" w:lineRule="auto"/>
              <w:jc w:val="both"/>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Market sounding and preparation of procurement documents</w:t>
            </w:r>
          </w:p>
        </w:tc>
        <w:tc>
          <w:tcPr>
            <w:tcW w:w="3488" w:type="dxa"/>
          </w:tcPr>
          <w:p w14:paraId="36585B08">
            <w:pPr>
              <w:pStyle w:val="6"/>
              <w:numPr>
                <w:numId w:val="0"/>
              </w:numPr>
              <w:spacing w:after="0" w:line="240" w:lineRule="auto"/>
              <w:jc w:val="both"/>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Q4 2027</w:t>
            </w:r>
          </w:p>
        </w:tc>
      </w:tr>
    </w:tbl>
    <w:p w14:paraId="27BCBD9C">
      <w:pPr>
        <w:pStyle w:val="6"/>
        <w:numPr>
          <w:numId w:val="0"/>
        </w:numPr>
        <w:spacing w:after="0" w:line="240" w:lineRule="auto"/>
        <w:jc w:val="both"/>
        <w:rPr>
          <w:rFonts w:hint="default" w:ascii="Arial" w:hAnsi="Arial" w:cs="Arial"/>
          <w:b w:val="0"/>
          <w:bCs w:val="0"/>
          <w:sz w:val="24"/>
          <w:szCs w:val="24"/>
          <w:lang w:val="en-US"/>
        </w:rPr>
      </w:pPr>
    </w:p>
    <w:p w14:paraId="3118D4C8">
      <w:pPr>
        <w:pStyle w:val="6"/>
        <w:numPr>
          <w:numId w:val="0"/>
        </w:numPr>
        <w:spacing w:after="0" w:line="240" w:lineRule="auto"/>
        <w:jc w:val="left"/>
        <w:rPr>
          <w:rFonts w:hint="default" w:ascii="Arial" w:hAnsi="Arial" w:cs="Arial"/>
          <w:b/>
          <w:bCs/>
          <w:i/>
          <w:iCs/>
          <w:sz w:val="24"/>
          <w:szCs w:val="24"/>
          <w:lang w:val="en-US"/>
        </w:rPr>
      </w:pPr>
      <w:r>
        <w:rPr>
          <w:rFonts w:hint="default" w:ascii="Arial" w:hAnsi="Arial" w:cs="Arial"/>
          <w:b/>
          <w:bCs/>
          <w:i/>
          <w:iCs/>
          <w:sz w:val="24"/>
          <w:szCs w:val="24"/>
          <w:lang w:val="en-US"/>
        </w:rPr>
        <w:t>Approval and Bidding Phase</w:t>
      </w:r>
    </w:p>
    <w:p w14:paraId="429F8E99">
      <w:pPr>
        <w:pStyle w:val="6"/>
        <w:numPr>
          <w:numId w:val="0"/>
        </w:numPr>
        <w:spacing w:after="0" w:line="240" w:lineRule="auto"/>
        <w:jc w:val="left"/>
        <w:rPr>
          <w:rFonts w:hint="default" w:ascii="Arial" w:hAnsi="Arial" w:cs="Arial"/>
          <w:b/>
          <w:bCs/>
          <w:i/>
          <w:iCs/>
          <w:sz w:val="24"/>
          <w:szCs w:val="24"/>
          <w:lang w:val="en-US"/>
        </w:rPr>
      </w:pPr>
    </w:p>
    <w:tbl>
      <w:tblPr>
        <w:tblStyle w:val="5"/>
        <w:tblW w:w="10256" w:type="dxa"/>
        <w:tblInd w:w="-6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6243"/>
        <w:gridCol w:w="4013"/>
      </w:tblGrid>
      <w:tr w14:paraId="6904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Height w:val="209" w:hRule="atLeast"/>
        </w:trPr>
        <w:tc>
          <w:tcPr>
            <w:tcW w:w="6243" w:type="dxa"/>
          </w:tcPr>
          <w:p w14:paraId="6A4A5C89">
            <w:pPr>
              <w:pStyle w:val="6"/>
              <w:numPr>
                <w:numId w:val="0"/>
              </w:numPr>
              <w:spacing w:after="0" w:line="240" w:lineRule="auto"/>
              <w:jc w:val="center"/>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Milestone</w:t>
            </w:r>
          </w:p>
        </w:tc>
        <w:tc>
          <w:tcPr>
            <w:tcW w:w="4013" w:type="dxa"/>
          </w:tcPr>
          <w:p w14:paraId="2776A6D8">
            <w:pPr>
              <w:pStyle w:val="6"/>
              <w:numPr>
                <w:numId w:val="0"/>
              </w:numPr>
              <w:spacing w:after="0" w:line="240" w:lineRule="auto"/>
              <w:jc w:val="center"/>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Target Date</w:t>
            </w:r>
          </w:p>
        </w:tc>
      </w:tr>
      <w:tr w14:paraId="2CC4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Pr>
        <w:tc>
          <w:tcPr>
            <w:tcW w:w="6243" w:type="dxa"/>
          </w:tcPr>
          <w:p w14:paraId="74B1BBE2">
            <w:pPr>
              <w:pStyle w:val="6"/>
              <w:numPr>
                <w:numId w:val="0"/>
              </w:numPr>
              <w:spacing w:after="0" w:line="240" w:lineRule="auto"/>
              <w:jc w:val="left"/>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Approval of project parameters/terms &amp; conditions</w:t>
            </w:r>
          </w:p>
        </w:tc>
        <w:tc>
          <w:tcPr>
            <w:tcW w:w="4013" w:type="dxa"/>
          </w:tcPr>
          <w:p w14:paraId="18668D25">
            <w:pPr>
              <w:pStyle w:val="6"/>
              <w:numPr>
                <w:numId w:val="0"/>
              </w:numPr>
              <w:spacing w:after="0" w:line="240" w:lineRule="auto"/>
              <w:jc w:val="left"/>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Q4 2027</w:t>
            </w:r>
          </w:p>
        </w:tc>
      </w:tr>
      <w:tr w14:paraId="17BD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Pr>
        <w:tc>
          <w:tcPr>
            <w:tcW w:w="6243" w:type="dxa"/>
          </w:tcPr>
          <w:p w14:paraId="7364CE4D">
            <w:pPr>
              <w:pStyle w:val="6"/>
              <w:numPr>
                <w:numId w:val="0"/>
              </w:numPr>
              <w:spacing w:after="0" w:line="240" w:lineRule="auto"/>
              <w:jc w:val="left"/>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Issuance of procurement documents</w:t>
            </w:r>
          </w:p>
        </w:tc>
        <w:tc>
          <w:tcPr>
            <w:tcW w:w="4013" w:type="dxa"/>
          </w:tcPr>
          <w:p w14:paraId="74656DA9">
            <w:pPr>
              <w:pStyle w:val="6"/>
              <w:numPr>
                <w:numId w:val="0"/>
              </w:numPr>
              <w:spacing w:after="0" w:line="240" w:lineRule="auto"/>
              <w:jc w:val="left"/>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Q1 2028</w:t>
            </w:r>
          </w:p>
        </w:tc>
      </w:tr>
      <w:tr w14:paraId="4302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Pr>
        <w:tc>
          <w:tcPr>
            <w:tcW w:w="6243" w:type="dxa"/>
          </w:tcPr>
          <w:p w14:paraId="5DB2EBAB">
            <w:pPr>
              <w:pStyle w:val="6"/>
              <w:numPr>
                <w:numId w:val="0"/>
              </w:numPr>
              <w:spacing w:after="0" w:line="240" w:lineRule="auto"/>
              <w:jc w:val="left"/>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Submission and evaluation of bids</w:t>
            </w:r>
          </w:p>
        </w:tc>
        <w:tc>
          <w:tcPr>
            <w:tcW w:w="4013" w:type="dxa"/>
          </w:tcPr>
          <w:p w14:paraId="6AFF54CD">
            <w:pPr>
              <w:pStyle w:val="6"/>
              <w:numPr>
                <w:numId w:val="0"/>
              </w:numPr>
              <w:spacing w:after="0" w:line="240" w:lineRule="auto"/>
              <w:jc w:val="left"/>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Q2 2028</w:t>
            </w:r>
          </w:p>
        </w:tc>
      </w:tr>
      <w:tr w14:paraId="27A9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Pr>
        <w:tc>
          <w:tcPr>
            <w:tcW w:w="6243" w:type="dxa"/>
          </w:tcPr>
          <w:p w14:paraId="39D6F872">
            <w:pPr>
              <w:pStyle w:val="6"/>
              <w:numPr>
                <w:numId w:val="0"/>
              </w:numPr>
              <w:spacing w:after="0" w:line="240" w:lineRule="auto"/>
              <w:jc w:val="left"/>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Selection and award of private partner</w:t>
            </w:r>
          </w:p>
        </w:tc>
        <w:tc>
          <w:tcPr>
            <w:tcW w:w="4013" w:type="dxa"/>
          </w:tcPr>
          <w:p w14:paraId="3B0766DC">
            <w:pPr>
              <w:pStyle w:val="6"/>
              <w:numPr>
                <w:numId w:val="0"/>
              </w:numPr>
              <w:spacing w:after="0" w:line="240" w:lineRule="auto"/>
              <w:jc w:val="left"/>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Q2 2028</w:t>
            </w:r>
          </w:p>
        </w:tc>
      </w:tr>
      <w:tr w14:paraId="068C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Pr>
        <w:tc>
          <w:tcPr>
            <w:tcW w:w="6243" w:type="dxa"/>
          </w:tcPr>
          <w:p w14:paraId="066538F6">
            <w:pPr>
              <w:pStyle w:val="6"/>
              <w:numPr>
                <w:numId w:val="0"/>
              </w:numPr>
              <w:spacing w:after="0" w:line="240" w:lineRule="auto"/>
              <w:jc w:val="left"/>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Contract signing and financial close</w:t>
            </w:r>
          </w:p>
        </w:tc>
        <w:tc>
          <w:tcPr>
            <w:tcW w:w="4013" w:type="dxa"/>
          </w:tcPr>
          <w:p w14:paraId="6081C8B4">
            <w:pPr>
              <w:pStyle w:val="6"/>
              <w:numPr>
                <w:numId w:val="0"/>
              </w:numPr>
              <w:spacing w:after="0" w:line="240" w:lineRule="auto"/>
              <w:jc w:val="left"/>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Q3 2028</w:t>
            </w:r>
          </w:p>
        </w:tc>
      </w:tr>
      <w:tr w14:paraId="254B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Pr>
        <w:tc>
          <w:tcPr>
            <w:tcW w:w="6243" w:type="dxa"/>
          </w:tcPr>
          <w:p w14:paraId="61CD311C">
            <w:pPr>
              <w:pStyle w:val="6"/>
              <w:numPr>
                <w:numId w:val="0"/>
              </w:numPr>
              <w:spacing w:after="0" w:line="240" w:lineRule="auto"/>
              <w:jc w:val="left"/>
              <w:rPr>
                <w:rFonts w:hint="default" w:ascii="Arial" w:hAnsi="Arial" w:cs="Arial"/>
                <w:b/>
                <w:bCs/>
                <w:sz w:val="24"/>
                <w:szCs w:val="24"/>
                <w:vertAlign w:val="baseline"/>
                <w:lang w:val="en-US"/>
              </w:rPr>
            </w:pPr>
            <w:r>
              <w:rPr>
                <w:rFonts w:hint="default" w:ascii="Arial" w:hAnsi="Arial" w:cs="Arial"/>
                <w:b/>
                <w:bCs/>
                <w:sz w:val="24"/>
                <w:szCs w:val="24"/>
                <w:vertAlign w:val="baseline"/>
                <w:lang w:val="en-US"/>
              </w:rPr>
              <w:t>Construction and commissioning</w:t>
            </w:r>
          </w:p>
        </w:tc>
        <w:tc>
          <w:tcPr>
            <w:tcW w:w="4013" w:type="dxa"/>
          </w:tcPr>
          <w:p w14:paraId="56B056CC">
            <w:pPr>
              <w:pStyle w:val="6"/>
              <w:numPr>
                <w:numId w:val="0"/>
              </w:numPr>
              <w:spacing w:after="0" w:line="240" w:lineRule="auto"/>
              <w:jc w:val="left"/>
              <w:rPr>
                <w:rFonts w:hint="default" w:ascii="Arial" w:hAnsi="Arial" w:cs="Arial"/>
                <w:b w:val="0"/>
                <w:bCs w:val="0"/>
                <w:sz w:val="24"/>
                <w:szCs w:val="24"/>
                <w:vertAlign w:val="baseline"/>
                <w:lang w:val="en-US"/>
              </w:rPr>
            </w:pPr>
            <w:r>
              <w:rPr>
                <w:rFonts w:hint="default" w:ascii="Arial" w:hAnsi="Arial" w:cs="Arial"/>
                <w:b w:val="0"/>
                <w:bCs w:val="0"/>
                <w:sz w:val="24"/>
                <w:szCs w:val="24"/>
                <w:vertAlign w:val="baseline"/>
                <w:lang w:val="en-US"/>
              </w:rPr>
              <w:t>18-24 months (Q3 2028 - Q4 2029)</w:t>
            </w:r>
          </w:p>
        </w:tc>
      </w:tr>
    </w:tbl>
    <w:p w14:paraId="4F31D9CE">
      <w:pPr>
        <w:pStyle w:val="6"/>
        <w:numPr>
          <w:numId w:val="0"/>
        </w:numPr>
        <w:spacing w:after="0" w:line="240" w:lineRule="auto"/>
        <w:jc w:val="left"/>
        <w:rPr>
          <w:rFonts w:hint="default" w:ascii="Arial" w:hAnsi="Arial" w:cs="Arial"/>
          <w:b w:val="0"/>
          <w:bCs w:val="0"/>
          <w:sz w:val="24"/>
          <w:szCs w:val="24"/>
          <w:lang w:val="en-US"/>
        </w:rPr>
      </w:pPr>
    </w:p>
    <w:p w14:paraId="05AE4A9B">
      <w:pPr>
        <w:jc w:val="center"/>
        <w:rPr>
          <w:rFonts w:hint="default" w:ascii="Arial" w:hAnsi="Arial" w:cs="Arial"/>
          <w:b/>
          <w:bCs/>
          <w:sz w:val="24"/>
          <w:szCs w:val="24"/>
          <w:lang w:val="en-US"/>
        </w:rPr>
      </w:pPr>
      <w:r>
        <w:rPr>
          <w:rFonts w:hint="default" w:ascii="Arial" w:hAnsi="Arial" w:cs="Arial"/>
          <w:b/>
          <w:bCs/>
          <w:sz w:val="24"/>
          <w:szCs w:val="24"/>
          <w:lang w:val="en-US"/>
        </w:rPr>
        <w:t>Support Requirements (PDMF-Supported)</w:t>
      </w:r>
    </w:p>
    <w:p w14:paraId="1E8E19BE">
      <w:pPr>
        <w:jc w:val="left"/>
        <w:rPr>
          <w:rFonts w:hint="default" w:ascii="Arial" w:hAnsi="Arial" w:cs="Arial"/>
          <w:b/>
          <w:bCs/>
          <w:i/>
          <w:iCs/>
          <w:sz w:val="24"/>
          <w:szCs w:val="24"/>
          <w:lang w:val="en-US"/>
        </w:rPr>
      </w:pPr>
      <w:r>
        <w:rPr>
          <w:rFonts w:hint="default" w:ascii="Arial" w:hAnsi="Arial" w:cs="Arial"/>
          <w:b/>
          <w:bCs/>
          <w:i/>
          <w:iCs/>
          <w:sz w:val="24"/>
          <w:szCs w:val="24"/>
          <w:lang w:val="en-US"/>
        </w:rPr>
        <w:t>Major Outputs</w:t>
      </w:r>
    </w:p>
    <w:p w14:paraId="089E65B0">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 xml:space="preserve">Feasibility Study: </w:t>
      </w:r>
      <w:r>
        <w:rPr>
          <w:rFonts w:hint="default" w:ascii="Arial" w:hAnsi="Arial" w:cs="Arial"/>
          <w:b w:val="0"/>
          <w:bCs w:val="0"/>
          <w:sz w:val="24"/>
          <w:szCs w:val="24"/>
          <w:lang w:val="en-US"/>
        </w:rPr>
        <w:t>Technical, financial, economic, legal, environmental, and PPP viability assessment.</w:t>
      </w:r>
    </w:p>
    <w:p w14:paraId="0B9DDB07">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Technical and Engineering Assessment:</w:t>
      </w:r>
      <w:r>
        <w:rPr>
          <w:rFonts w:hint="default" w:ascii="Arial" w:hAnsi="Arial" w:cs="Arial"/>
          <w:b w:val="0"/>
          <w:bCs w:val="0"/>
          <w:sz w:val="24"/>
          <w:szCs w:val="24"/>
          <w:lang w:val="en-US"/>
        </w:rPr>
        <w:t xml:space="preserve"> Site, structural, civil, utilities, and processing requirements.</w:t>
      </w:r>
    </w:p>
    <w:p w14:paraId="757C5DDB">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Demand and Market Study:</w:t>
      </w:r>
      <w:r>
        <w:rPr>
          <w:rFonts w:hint="default" w:ascii="Arial" w:hAnsi="Arial" w:cs="Arial"/>
          <w:b w:val="0"/>
          <w:bCs w:val="0"/>
          <w:sz w:val="24"/>
          <w:szCs w:val="24"/>
          <w:lang w:val="en-US"/>
        </w:rPr>
        <w:t xml:space="preserve"> Coffee production, trading demand, market linkages, and benchmarking.</w:t>
      </w:r>
    </w:p>
    <w:p w14:paraId="1D8C1F9D">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Financial Model:</w:t>
      </w:r>
      <w:r>
        <w:rPr>
          <w:rFonts w:hint="default" w:ascii="Arial" w:hAnsi="Arial" w:cs="Arial"/>
          <w:b w:val="0"/>
          <w:bCs w:val="0"/>
          <w:sz w:val="24"/>
          <w:szCs w:val="24"/>
          <w:lang w:val="en-US"/>
        </w:rPr>
        <w:t xml:space="preserve"> Investment requirements, operating costs, revenue projections, and viability analysis.</w:t>
      </w:r>
    </w:p>
    <w:p w14:paraId="2CA53D3A">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Economic/Value-for-Money Analysis:</w:t>
      </w:r>
      <w:r>
        <w:rPr>
          <w:rFonts w:hint="default" w:ascii="Arial" w:hAnsi="Arial" w:cs="Arial"/>
          <w:b w:val="0"/>
          <w:bCs w:val="0"/>
          <w:sz w:val="24"/>
          <w:szCs w:val="24"/>
          <w:lang w:val="en-US"/>
        </w:rPr>
        <w:t xml:space="preserve"> Socioeconomic benefits, cost-benefit analysis, and PPP suitability.</w:t>
      </w:r>
    </w:p>
    <w:p w14:paraId="781CAF96">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PPP Structuring:</w:t>
      </w:r>
      <w:r>
        <w:rPr>
          <w:rFonts w:hint="default" w:ascii="Arial" w:hAnsi="Arial" w:cs="Arial"/>
          <w:b w:val="0"/>
          <w:bCs w:val="0"/>
          <w:sz w:val="24"/>
          <w:szCs w:val="24"/>
          <w:lang w:val="en-US"/>
        </w:rPr>
        <w:t xml:space="preserve"> Contractual framework, risk allocation, and revenue/payment mechanisms.</w:t>
      </w:r>
    </w:p>
    <w:p w14:paraId="41432BDF">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Legal and Institutional Assessment:</w:t>
      </w:r>
      <w:r>
        <w:rPr>
          <w:rFonts w:hint="default" w:ascii="Arial" w:hAnsi="Arial" w:cs="Arial"/>
          <w:b w:val="0"/>
          <w:bCs w:val="0"/>
          <w:sz w:val="24"/>
          <w:szCs w:val="24"/>
          <w:lang w:val="en-US"/>
        </w:rPr>
        <w:t xml:space="preserve"> Authority, permits, approvals, and PPP compliance.</w:t>
      </w:r>
    </w:p>
    <w:p w14:paraId="29AE1F8E">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Environmental and Disaster-Resilience Assessment:</w:t>
      </w:r>
      <w:r>
        <w:rPr>
          <w:rFonts w:hint="default" w:ascii="Arial" w:hAnsi="Arial" w:cs="Arial"/>
          <w:b w:val="0"/>
          <w:bCs w:val="0"/>
          <w:sz w:val="24"/>
          <w:szCs w:val="24"/>
          <w:lang w:val="en-US"/>
        </w:rPr>
        <w:t xml:space="preserve"> Climate risks, sustainability, and resilience measures.</w:t>
      </w:r>
    </w:p>
    <w:p w14:paraId="47DB7996">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Draft PPP Contract and Procurement Documents:</w:t>
      </w:r>
      <w:r>
        <w:rPr>
          <w:rFonts w:hint="default" w:ascii="Arial" w:hAnsi="Arial" w:cs="Arial"/>
          <w:b w:val="0"/>
          <w:bCs w:val="0"/>
          <w:sz w:val="24"/>
          <w:szCs w:val="24"/>
          <w:lang w:val="en-US"/>
        </w:rPr>
        <w:t xml:space="preserve"> Terms, performance standards, and bidding documents.</w:t>
      </w:r>
    </w:p>
    <w:p w14:paraId="2B6DDB88">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360" w:leftChars="0" w:hanging="360" w:firstLineChars="0"/>
        <w:jc w:val="left"/>
        <w:textAlignment w:val="auto"/>
        <w:rPr>
          <w:rFonts w:hint="default" w:ascii="Arial" w:hAnsi="Arial" w:cs="Arial"/>
          <w:b w:val="0"/>
          <w:bCs w:val="0"/>
          <w:sz w:val="24"/>
          <w:szCs w:val="24"/>
          <w:lang w:val="en-US"/>
        </w:rPr>
      </w:pPr>
      <w:r>
        <w:rPr>
          <w:rFonts w:hint="default" w:ascii="Arial" w:hAnsi="Arial" w:cs="Arial"/>
          <w:b/>
          <w:bCs/>
          <w:sz w:val="24"/>
          <w:szCs w:val="24"/>
          <w:lang w:val="en-US"/>
        </w:rPr>
        <w:t xml:space="preserve">Transaction Advisory and Market Sounding: </w:t>
      </w:r>
      <w:r>
        <w:rPr>
          <w:rFonts w:hint="default" w:ascii="Arial" w:hAnsi="Arial" w:cs="Arial"/>
          <w:b w:val="0"/>
          <w:bCs w:val="0"/>
          <w:sz w:val="24"/>
          <w:szCs w:val="24"/>
          <w:lang w:val="en-US"/>
        </w:rPr>
        <w:t>Engagement with private partners and validation of assumptions.</w:t>
      </w:r>
    </w:p>
    <w:p w14:paraId="0B75CFA1">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left"/>
        <w:textAlignment w:val="auto"/>
        <w:rPr>
          <w:rFonts w:hint="default" w:ascii="Arial" w:hAnsi="Arial" w:cs="Arial"/>
          <w:b w:val="0"/>
          <w:bCs w:val="0"/>
          <w:sz w:val="24"/>
          <w:szCs w:val="24"/>
          <w:lang w:val="en-US"/>
        </w:rPr>
      </w:pPr>
    </w:p>
    <w:p w14:paraId="7B7B82C4">
      <w:pPr>
        <w:numPr>
          <w:numId w:val="0"/>
        </w:numPr>
        <w:ind w:leftChars="0"/>
        <w:jc w:val="left"/>
        <w:rPr>
          <w:rFonts w:hint="default" w:ascii="Arial" w:hAnsi="Arial" w:cs="Arial"/>
          <w:b/>
          <w:bCs/>
          <w:i/>
          <w:iCs/>
          <w:sz w:val="24"/>
          <w:szCs w:val="24"/>
          <w:lang w:val="en-US"/>
        </w:rPr>
      </w:pPr>
      <w:r>
        <w:rPr>
          <w:rFonts w:hint="default" w:ascii="Arial" w:hAnsi="Arial" w:cs="Arial"/>
          <w:b/>
          <w:bCs/>
          <w:i/>
          <w:iCs/>
          <w:sz w:val="24"/>
          <w:szCs w:val="24"/>
          <w:lang w:val="en-US"/>
        </w:rPr>
        <w:t>Experts Required</w:t>
      </w:r>
    </w:p>
    <w:p w14:paraId="5ED3080A">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PPP/Transaction Adviser</w:t>
      </w:r>
    </w:p>
    <w:p w14:paraId="513C6CA3">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Coffee Industry/Agri-Business Specialist</w:t>
      </w:r>
    </w:p>
    <w:p w14:paraId="07A07FE8">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Civil/Structural Engineer</w:t>
      </w:r>
    </w:p>
    <w:p w14:paraId="7F2012C0">
      <w:pPr>
        <w:keepNext w:val="0"/>
        <w:keepLines w:val="0"/>
        <w:pageBreakBefore w:val="0"/>
        <w:widowControl/>
        <w:numPr>
          <w:numId w:val="0"/>
        </w:numPr>
        <w:kinsoku/>
        <w:wordWrap/>
        <w:overflowPunct/>
        <w:topLinePunct w:val="0"/>
        <w:autoSpaceDE/>
        <w:autoSpaceDN/>
        <w:bidi w:val="0"/>
        <w:adjustRightInd/>
        <w:snapToGrid/>
        <w:spacing w:after="0" w:line="240" w:lineRule="auto"/>
        <w:jc w:val="left"/>
        <w:textAlignment w:val="auto"/>
        <w:rPr>
          <w:rFonts w:hint="default" w:ascii="Arial" w:hAnsi="Arial" w:cs="Arial"/>
          <w:b w:val="0"/>
          <w:bCs w:val="0"/>
          <w:sz w:val="24"/>
          <w:szCs w:val="24"/>
          <w:lang w:val="en-US"/>
        </w:rPr>
      </w:pPr>
    </w:p>
    <w:p w14:paraId="3AC7282C">
      <w:pPr>
        <w:keepNext w:val="0"/>
        <w:keepLines w:val="0"/>
        <w:pageBreakBefore w:val="0"/>
        <w:widowControl/>
        <w:numPr>
          <w:numId w:val="0"/>
        </w:numPr>
        <w:kinsoku/>
        <w:wordWrap/>
        <w:overflowPunct/>
        <w:topLinePunct w:val="0"/>
        <w:autoSpaceDE/>
        <w:autoSpaceDN/>
        <w:bidi w:val="0"/>
        <w:adjustRightInd/>
        <w:snapToGrid/>
        <w:spacing w:after="0" w:line="240" w:lineRule="auto"/>
        <w:jc w:val="left"/>
        <w:textAlignment w:val="auto"/>
        <w:rPr>
          <w:rFonts w:hint="default" w:ascii="Arial" w:hAnsi="Arial" w:cs="Arial"/>
          <w:b w:val="0"/>
          <w:bCs w:val="0"/>
          <w:sz w:val="24"/>
          <w:szCs w:val="24"/>
          <w:lang w:val="en-US"/>
        </w:rPr>
      </w:pPr>
    </w:p>
    <w:p w14:paraId="48DCC079">
      <w:pPr>
        <w:keepNext w:val="0"/>
        <w:keepLines w:val="0"/>
        <w:pageBreakBefore w:val="0"/>
        <w:widowControl/>
        <w:numPr>
          <w:numId w:val="0"/>
        </w:numPr>
        <w:kinsoku/>
        <w:wordWrap/>
        <w:overflowPunct/>
        <w:topLinePunct w:val="0"/>
        <w:autoSpaceDE/>
        <w:autoSpaceDN/>
        <w:bidi w:val="0"/>
        <w:adjustRightInd/>
        <w:snapToGrid/>
        <w:spacing w:after="0" w:line="240" w:lineRule="auto"/>
        <w:jc w:val="left"/>
        <w:textAlignment w:val="auto"/>
        <w:rPr>
          <w:rFonts w:hint="default" w:ascii="Arial" w:hAnsi="Arial" w:cs="Arial"/>
          <w:b w:val="0"/>
          <w:bCs w:val="0"/>
          <w:sz w:val="24"/>
          <w:szCs w:val="24"/>
          <w:lang w:val="en-US"/>
        </w:rPr>
      </w:pPr>
    </w:p>
    <w:p w14:paraId="25B71C55">
      <w:pPr>
        <w:keepNext w:val="0"/>
        <w:keepLines w:val="0"/>
        <w:pageBreakBefore w:val="0"/>
        <w:widowControl/>
        <w:numPr>
          <w:numId w:val="0"/>
        </w:numPr>
        <w:kinsoku/>
        <w:wordWrap/>
        <w:overflowPunct/>
        <w:topLinePunct w:val="0"/>
        <w:autoSpaceDE/>
        <w:autoSpaceDN/>
        <w:bidi w:val="0"/>
        <w:adjustRightInd/>
        <w:snapToGrid/>
        <w:spacing w:after="0" w:line="240" w:lineRule="auto"/>
        <w:jc w:val="left"/>
        <w:textAlignment w:val="auto"/>
        <w:rPr>
          <w:rFonts w:hint="default" w:ascii="Arial" w:hAnsi="Arial" w:cs="Arial"/>
          <w:b w:val="0"/>
          <w:bCs w:val="0"/>
          <w:sz w:val="24"/>
          <w:szCs w:val="24"/>
          <w:lang w:val="en-US"/>
        </w:rPr>
      </w:pPr>
    </w:p>
    <w:p w14:paraId="785EBC31">
      <w:pPr>
        <w:keepNext w:val="0"/>
        <w:keepLines w:val="0"/>
        <w:pageBreakBefore w:val="0"/>
        <w:widowControl/>
        <w:numPr>
          <w:numId w:val="0"/>
        </w:numPr>
        <w:kinsoku/>
        <w:wordWrap/>
        <w:overflowPunct/>
        <w:topLinePunct w:val="0"/>
        <w:autoSpaceDE/>
        <w:autoSpaceDN/>
        <w:bidi w:val="0"/>
        <w:adjustRightInd/>
        <w:snapToGrid/>
        <w:spacing w:after="0" w:line="240" w:lineRule="auto"/>
        <w:jc w:val="left"/>
        <w:textAlignment w:val="auto"/>
        <w:rPr>
          <w:rFonts w:hint="default" w:ascii="Arial" w:hAnsi="Arial" w:cs="Arial"/>
          <w:b w:val="0"/>
          <w:bCs w:val="0"/>
          <w:sz w:val="24"/>
          <w:szCs w:val="24"/>
          <w:lang w:val="en-US"/>
        </w:rPr>
      </w:pPr>
    </w:p>
    <w:p w14:paraId="4E35AD58">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MEP/Utilities Engineer</w:t>
      </w:r>
    </w:p>
    <w:p w14:paraId="7F091C44">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Post-Harvest and Processing Specialist</w:t>
      </w:r>
    </w:p>
    <w:p w14:paraId="721858CA">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Demand/Market Development Specialist</w:t>
      </w:r>
    </w:p>
    <w:p w14:paraId="35835239">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Financial/Project Finance Specialist</w:t>
      </w:r>
    </w:p>
    <w:p w14:paraId="14D95579">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Economic/Value-for-Money Specialist</w:t>
      </w:r>
    </w:p>
    <w:p w14:paraId="6B629771">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Legal and PPP Regulatory Adviser</w:t>
      </w:r>
    </w:p>
    <w:p w14:paraId="50DBA50D">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Environmental and Disaster Resilience Specialist</w:t>
      </w:r>
    </w:p>
    <w:p w14:paraId="3505C0DF">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Quantity Surveyor/Cost Engineer</w:t>
      </w:r>
    </w:p>
    <w:p w14:paraId="46194ADA">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ICT/Digital Trading Platform Specialist</w:t>
      </w:r>
    </w:p>
    <w:p w14:paraId="0239FDF0">
      <w:pPr>
        <w:keepNext w:val="0"/>
        <w:keepLines w:val="0"/>
        <w:pageBreakBefore w:val="0"/>
        <w:widowControl/>
        <w:numPr>
          <w:ilvl w:val="0"/>
          <w:numId w:val="3"/>
        </w:numPr>
        <w:kinsoku/>
        <w:wordWrap/>
        <w:overflowPunct/>
        <w:topLinePunct w:val="0"/>
        <w:autoSpaceDE/>
        <w:autoSpaceDN/>
        <w:bidi w:val="0"/>
        <w:adjustRightInd/>
        <w:snapToGrid/>
        <w:spacing w:after="0" w:line="240" w:lineRule="auto"/>
        <w:ind w:left="418" w:leftChars="0" w:hanging="418"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Operations and Maintenance Specialist</w:t>
      </w:r>
    </w:p>
    <w:p w14:paraId="07A3DEEE">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left"/>
        <w:textAlignment w:val="auto"/>
        <w:rPr>
          <w:rFonts w:hint="default" w:ascii="Arial" w:hAnsi="Arial" w:cs="Arial"/>
          <w:b w:val="0"/>
          <w:bCs w:val="0"/>
          <w:sz w:val="24"/>
          <w:szCs w:val="24"/>
          <w:lang w:val="en-US"/>
        </w:rPr>
      </w:pPr>
    </w:p>
    <w:p w14:paraId="5469247C">
      <w:pPr>
        <w:numPr>
          <w:numId w:val="0"/>
        </w:numPr>
        <w:ind w:leftChars="0"/>
        <w:jc w:val="left"/>
        <w:rPr>
          <w:rFonts w:hint="default" w:ascii="Arial" w:hAnsi="Arial" w:cs="Arial"/>
          <w:b/>
          <w:bCs/>
          <w:i/>
          <w:iCs/>
          <w:sz w:val="24"/>
          <w:szCs w:val="24"/>
          <w:lang w:val="en-US"/>
        </w:rPr>
      </w:pPr>
      <w:r>
        <w:rPr>
          <w:rFonts w:hint="default" w:ascii="Arial" w:hAnsi="Arial" w:cs="Arial"/>
          <w:b/>
          <w:bCs/>
          <w:i/>
          <w:iCs/>
          <w:sz w:val="24"/>
          <w:szCs w:val="24"/>
          <w:lang w:val="en-US"/>
        </w:rPr>
        <w:t>Available Documents on the Project</w:t>
      </w:r>
    </w:p>
    <w:p w14:paraId="637486D4">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Preliminary Project Proposal and Concept Note</w:t>
      </w:r>
    </w:p>
    <w:p w14:paraId="50ABA54D">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Provincial Development Investment Program (PDIP) 2025-2028</w:t>
      </w:r>
    </w:p>
    <w:p w14:paraId="6A60FB5C">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Annual Investment Program (AIP) 2027</w:t>
      </w:r>
    </w:p>
    <w:p w14:paraId="4F1F1714">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Provincial Development and Physical Framework Plan (PDPFP)</w:t>
      </w:r>
    </w:p>
    <w:p w14:paraId="50771AB9">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Philippine Coffee Roadmap (2017-2022)</w:t>
      </w:r>
    </w:p>
    <w:p w14:paraId="13AC59E5">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LIIC Investment Priority Areas</w:t>
      </w:r>
    </w:p>
    <w:p w14:paraId="7794EF13">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DA and DTI assessments on Surigao del Sur coffee industry</w:t>
      </w:r>
    </w:p>
    <w:p w14:paraId="1C64DC25">
      <w:pPr>
        <w:keepNext w:val="0"/>
        <w:keepLines w:val="0"/>
        <w:pageBreakBefore w:val="0"/>
        <w:widowControl/>
        <w:numPr>
          <w:ilvl w:val="0"/>
          <w:numId w:val="3"/>
        </w:numPr>
        <w:kinsoku/>
        <w:wordWrap/>
        <w:overflowPunct/>
        <w:topLinePunct w:val="0"/>
        <w:autoSpaceDE/>
        <w:autoSpaceDN/>
        <w:bidi w:val="0"/>
        <w:adjustRightInd/>
        <w:snapToGrid/>
        <w:spacing w:line="240" w:lineRule="auto"/>
        <w:ind w:left="420" w:leftChars="0" w:hanging="420" w:firstLine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Initial cooperative consultations and endorsements</w:t>
      </w:r>
    </w:p>
    <w:p w14:paraId="5CFED58A">
      <w:pPr>
        <w:keepNext w:val="0"/>
        <w:keepLines w:val="0"/>
        <w:pageBreakBefore w:val="0"/>
        <w:widowControl/>
        <w:numPr>
          <w:numId w:val="0"/>
        </w:numPr>
        <w:kinsoku/>
        <w:wordWrap/>
        <w:overflowPunct/>
        <w:topLinePunct w:val="0"/>
        <w:autoSpaceDE/>
        <w:autoSpaceDN/>
        <w:bidi w:val="0"/>
        <w:adjustRightInd/>
        <w:snapToGrid/>
        <w:spacing w:line="240" w:lineRule="auto"/>
        <w:ind w:leftChars="0"/>
        <w:jc w:val="left"/>
        <w:textAlignment w:val="auto"/>
        <w:rPr>
          <w:rFonts w:hint="default" w:ascii="Arial" w:hAnsi="Arial" w:cs="Arial"/>
          <w:b w:val="0"/>
          <w:bCs w:val="0"/>
          <w:sz w:val="24"/>
          <w:szCs w:val="24"/>
          <w:lang w:val="en-US"/>
        </w:rPr>
      </w:pPr>
    </w:p>
    <w:p w14:paraId="6F6318E5">
      <w:pPr>
        <w:numPr>
          <w:numId w:val="0"/>
        </w:numPr>
        <w:ind w:leftChars="0"/>
        <w:jc w:val="left"/>
        <w:rPr>
          <w:rFonts w:hint="default" w:ascii="Arial" w:hAnsi="Arial" w:cs="Arial"/>
          <w:b w:val="0"/>
          <w:bCs w:val="0"/>
          <w:sz w:val="24"/>
          <w:szCs w:val="24"/>
          <w:lang w:val="en-US"/>
        </w:rPr>
      </w:pPr>
      <w:r>
        <w:rPr>
          <w:rFonts w:hint="default" w:ascii="Arial" w:hAnsi="Arial" w:cs="Arial"/>
          <w:b/>
          <w:bCs/>
          <w:sz w:val="24"/>
          <w:szCs w:val="24"/>
          <w:lang w:val="en-US"/>
        </w:rPr>
        <w:t>Legal Authority to Undertake PPP</w:t>
      </w:r>
    </w:p>
    <w:p w14:paraId="3F23D5EE">
      <w:pPr>
        <w:numPr>
          <w:numId w:val="0"/>
        </w:numPr>
        <w:ind w:leftChars="0"/>
        <w:jc w:val="both"/>
        <w:rPr>
          <w:rFonts w:hint="default" w:ascii="Arial" w:hAnsi="Arial" w:cs="Arial"/>
          <w:b w:val="0"/>
          <w:bCs w:val="0"/>
          <w:sz w:val="24"/>
          <w:szCs w:val="24"/>
          <w:lang w:val="en-US"/>
        </w:rPr>
      </w:pPr>
      <w:r>
        <w:rPr>
          <w:rFonts w:hint="default" w:ascii="Arial" w:hAnsi="Arial" w:cs="Arial"/>
          <w:b w:val="0"/>
          <w:bCs w:val="0"/>
          <w:sz w:val="24"/>
          <w:szCs w:val="24"/>
          <w:lang w:val="en-US"/>
        </w:rPr>
        <w:t>The Provincial Government of Surigao del Sur, as a local government unit, has corporate powers under Republic Act No. 7160 (Local Government Code of 1991) to enter into contracts, subject to Sanggunian authorization. The project will be implemented under Republic Act No. 11966 (PPP Code of the Philippines) and its IRR, which provide the unified framework for PPP projects.</w:t>
      </w:r>
    </w:p>
    <w:p w14:paraId="5947B06C">
      <w:pPr>
        <w:numPr>
          <w:numId w:val="0"/>
        </w:numPr>
        <w:ind w:leftChars="0"/>
        <w:jc w:val="both"/>
        <w:rPr>
          <w:rFonts w:hint="default" w:ascii="Arial" w:hAnsi="Arial" w:cs="Arial"/>
          <w:b w:val="0"/>
          <w:bCs w:val="0"/>
          <w:sz w:val="24"/>
          <w:szCs w:val="24"/>
          <w:lang w:val="en-US"/>
        </w:rPr>
      </w:pPr>
      <w:r>
        <w:rPr>
          <w:rFonts w:hint="default" w:ascii="Arial" w:hAnsi="Arial" w:cs="Arial"/>
          <w:b w:val="0"/>
          <w:bCs w:val="0"/>
          <w:sz w:val="24"/>
          <w:szCs w:val="24"/>
          <w:lang w:val="en-US"/>
        </w:rPr>
        <w:t>The legal and institutional assessment under the PDMF-supported feasibility study will confirm the Province’s authority, required Sanggunian resolutions, site arrangements, permissible government support, and compliance with PPP Code requirements.</w:t>
      </w:r>
    </w:p>
    <w:p w14:paraId="033DF6A4">
      <w:pPr>
        <w:numPr>
          <w:numId w:val="0"/>
        </w:numPr>
        <w:ind w:leftChars="0"/>
        <w:jc w:val="left"/>
        <w:rPr>
          <w:rFonts w:hint="default" w:ascii="Arial" w:hAnsi="Arial" w:cs="Arial"/>
          <w:b w:val="0"/>
          <w:bCs w:val="0"/>
          <w:sz w:val="24"/>
          <w:szCs w:val="24"/>
          <w:lang w:val="en-US"/>
        </w:rPr>
      </w:pPr>
    </w:p>
    <w:p w14:paraId="4FAF534C">
      <w:pPr>
        <w:numPr>
          <w:numId w:val="0"/>
        </w:numPr>
        <w:ind w:leftChars="0"/>
        <w:jc w:val="left"/>
        <w:rPr>
          <w:rFonts w:hint="default" w:ascii="Arial" w:hAnsi="Arial" w:cs="Arial"/>
          <w:b/>
          <w:bCs/>
          <w:sz w:val="24"/>
          <w:szCs w:val="24"/>
          <w:lang w:val="en-US"/>
        </w:rPr>
      </w:pPr>
      <w:r>
        <w:rPr>
          <w:rFonts w:hint="default" w:ascii="Arial" w:hAnsi="Arial" w:cs="Arial"/>
          <w:b/>
          <w:bCs/>
          <w:sz w:val="24"/>
          <w:szCs w:val="24"/>
          <w:lang w:val="en-US"/>
        </w:rPr>
        <w:t>Prepared by:                                        Reviewed by:</w:t>
      </w:r>
    </w:p>
    <w:p w14:paraId="23619B23">
      <w:pPr>
        <w:numPr>
          <w:numId w:val="0"/>
        </w:numPr>
        <w:ind w:leftChars="0"/>
        <w:jc w:val="left"/>
        <w:rPr>
          <w:rFonts w:hint="default" w:ascii="Arial" w:hAnsi="Arial" w:cs="Arial"/>
          <w:b w:val="0"/>
          <w:bCs w:val="0"/>
          <w:sz w:val="24"/>
          <w:szCs w:val="24"/>
          <w:lang w:val="en-US"/>
        </w:rPr>
      </w:pPr>
    </w:p>
    <w:p w14:paraId="0FD259EE">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left"/>
        <w:textAlignment w:val="auto"/>
        <w:rPr>
          <w:rFonts w:hint="default" w:ascii="Arial" w:hAnsi="Arial" w:cs="Arial"/>
          <w:b/>
          <w:bCs/>
          <w:sz w:val="24"/>
          <w:szCs w:val="24"/>
          <w:lang w:val="en-US"/>
        </w:rPr>
      </w:pPr>
      <w:r>
        <w:rPr>
          <w:rFonts w:hint="default" w:ascii="Arial" w:hAnsi="Arial" w:cs="Arial"/>
          <w:b/>
          <w:bCs/>
          <w:sz w:val="24"/>
          <w:szCs w:val="24"/>
          <w:lang w:val="en-US"/>
        </w:rPr>
        <w:t>MARILYN T. GAROL</w:t>
      </w:r>
      <w:r>
        <w:rPr>
          <w:rFonts w:hint="default" w:ascii="Arial" w:hAnsi="Arial" w:cs="Arial"/>
          <w:b/>
          <w:bCs/>
          <w:sz w:val="24"/>
          <w:szCs w:val="24"/>
          <w:lang w:val="en-US"/>
        </w:rPr>
        <w:tab/>
        <w:t/>
      </w:r>
      <w:r>
        <w:rPr>
          <w:rFonts w:hint="default" w:ascii="Arial" w:hAnsi="Arial" w:cs="Arial"/>
          <w:b/>
          <w:bCs/>
          <w:sz w:val="24"/>
          <w:szCs w:val="24"/>
          <w:lang w:val="en-US"/>
        </w:rPr>
        <w:tab/>
        <w:t/>
      </w:r>
      <w:r>
        <w:rPr>
          <w:rFonts w:hint="default" w:ascii="Arial" w:hAnsi="Arial" w:cs="Arial"/>
          <w:b/>
          <w:bCs/>
          <w:sz w:val="24"/>
          <w:szCs w:val="24"/>
          <w:lang w:val="en-US"/>
        </w:rPr>
        <w:tab/>
        <w:t xml:space="preserve">    JOHN VINCENT C. PIMENTEL</w:t>
      </w:r>
    </w:p>
    <w:p w14:paraId="6970FA44">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left"/>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DMO-IV/PEDIPO                                               Provincial Administrator</w:t>
      </w:r>
    </w:p>
    <w:p w14:paraId="0A30001C">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left"/>
        <w:textAlignment w:val="auto"/>
        <w:rPr>
          <w:rFonts w:hint="default" w:ascii="Arial" w:hAnsi="Arial" w:cs="Arial"/>
          <w:b w:val="0"/>
          <w:bCs w:val="0"/>
          <w:sz w:val="24"/>
          <w:szCs w:val="24"/>
          <w:lang w:val="en-US"/>
        </w:rPr>
      </w:pPr>
    </w:p>
    <w:p w14:paraId="16864D97">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left"/>
        <w:textAlignment w:val="auto"/>
        <w:rPr>
          <w:rFonts w:hint="default" w:ascii="Arial" w:hAnsi="Arial" w:cs="Arial"/>
          <w:b w:val="0"/>
          <w:bCs w:val="0"/>
          <w:sz w:val="24"/>
          <w:szCs w:val="24"/>
          <w:lang w:val="en-US"/>
        </w:rPr>
      </w:pPr>
    </w:p>
    <w:p w14:paraId="3BEDEAC4">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left"/>
        <w:textAlignment w:val="auto"/>
        <w:rPr>
          <w:rFonts w:hint="default" w:ascii="Arial" w:hAnsi="Arial" w:cs="Arial"/>
          <w:b w:val="0"/>
          <w:bCs w:val="0"/>
          <w:sz w:val="24"/>
          <w:szCs w:val="24"/>
          <w:lang w:val="en-US"/>
        </w:rPr>
      </w:pPr>
    </w:p>
    <w:p w14:paraId="261014B5">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center"/>
        <w:textAlignment w:val="auto"/>
        <w:rPr>
          <w:rFonts w:hint="default" w:ascii="Arial" w:hAnsi="Arial" w:cs="Arial"/>
          <w:b/>
          <w:bCs/>
          <w:sz w:val="24"/>
          <w:szCs w:val="24"/>
          <w:lang w:val="en-US"/>
        </w:rPr>
      </w:pPr>
      <w:r>
        <w:rPr>
          <w:rFonts w:hint="default" w:ascii="Arial" w:hAnsi="Arial" w:cs="Arial"/>
          <w:b/>
          <w:bCs/>
          <w:sz w:val="24"/>
          <w:szCs w:val="24"/>
          <w:lang w:val="en-US"/>
        </w:rPr>
        <w:t>Approved by:</w:t>
      </w:r>
    </w:p>
    <w:p w14:paraId="50F5A543">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center"/>
        <w:textAlignment w:val="auto"/>
        <w:rPr>
          <w:rFonts w:hint="default" w:ascii="Arial" w:hAnsi="Arial" w:cs="Arial"/>
          <w:b/>
          <w:bCs/>
          <w:sz w:val="24"/>
          <w:szCs w:val="24"/>
          <w:lang w:val="en-US"/>
        </w:rPr>
      </w:pPr>
    </w:p>
    <w:p w14:paraId="0AF3AD17">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center"/>
        <w:textAlignment w:val="auto"/>
        <w:rPr>
          <w:rFonts w:hint="default" w:ascii="Arial" w:hAnsi="Arial" w:cs="Arial"/>
          <w:b w:val="0"/>
          <w:bCs w:val="0"/>
          <w:sz w:val="24"/>
          <w:szCs w:val="24"/>
          <w:lang w:val="en-US"/>
        </w:rPr>
      </w:pPr>
    </w:p>
    <w:p w14:paraId="302E0697">
      <w:pPr>
        <w:keepNext w:val="0"/>
        <w:keepLines w:val="0"/>
        <w:pageBreakBefore w:val="0"/>
        <w:widowControl/>
        <w:numPr>
          <w:numId w:val="0"/>
        </w:numPr>
        <w:kinsoku/>
        <w:wordWrap/>
        <w:overflowPunct/>
        <w:topLinePunct w:val="0"/>
        <w:autoSpaceDE/>
        <w:autoSpaceDN/>
        <w:bidi w:val="0"/>
        <w:adjustRightInd/>
        <w:snapToGrid/>
        <w:spacing w:after="0" w:line="240" w:lineRule="auto"/>
        <w:ind w:leftChars="0"/>
        <w:jc w:val="center"/>
        <w:textAlignment w:val="auto"/>
        <w:rPr>
          <w:rFonts w:hint="default" w:ascii="Arial" w:hAnsi="Arial" w:cs="Arial"/>
          <w:b/>
          <w:bCs/>
          <w:sz w:val="24"/>
          <w:szCs w:val="24"/>
          <w:lang w:val="en-US"/>
        </w:rPr>
      </w:pPr>
      <w:r>
        <w:rPr>
          <w:rFonts w:hint="default" w:ascii="Arial" w:hAnsi="Arial" w:cs="Arial"/>
          <w:b/>
          <w:bCs/>
          <w:sz w:val="24"/>
          <w:szCs w:val="24"/>
          <w:lang w:val="en-US"/>
        </w:rPr>
        <w:t>JOHNNY T. PIMENTEL</w:t>
      </w:r>
    </w:p>
    <w:p w14:paraId="0317916D">
      <w:pPr>
        <w:keepNext w:val="0"/>
        <w:keepLines w:val="0"/>
        <w:pageBreakBefore w:val="0"/>
        <w:widowControl/>
        <w:numPr>
          <w:numId w:val="0"/>
        </w:numPr>
        <w:kinsoku/>
        <w:wordWrap/>
        <w:overflowPunct/>
        <w:topLinePunct w:val="0"/>
        <w:autoSpaceDE/>
        <w:autoSpaceDN/>
        <w:bidi w:val="0"/>
        <w:adjustRightInd/>
        <w:snapToGrid/>
        <w:spacing w:line="240" w:lineRule="auto"/>
        <w:ind w:leftChars="0"/>
        <w:jc w:val="center"/>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Provincial Governor</w:t>
      </w:r>
    </w:p>
    <w:p w14:paraId="49CD0865">
      <w:pPr>
        <w:keepNext w:val="0"/>
        <w:keepLines w:val="0"/>
        <w:pageBreakBefore w:val="0"/>
        <w:widowControl/>
        <w:numPr>
          <w:numId w:val="0"/>
        </w:numPr>
        <w:kinsoku/>
        <w:wordWrap/>
        <w:overflowPunct/>
        <w:topLinePunct w:val="0"/>
        <w:autoSpaceDE/>
        <w:autoSpaceDN/>
        <w:bidi w:val="0"/>
        <w:adjustRightInd/>
        <w:snapToGrid/>
        <w:spacing w:line="240" w:lineRule="auto"/>
        <w:ind w:leftChars="0"/>
        <w:jc w:val="center"/>
        <w:textAlignment w:val="auto"/>
        <w:rPr>
          <w:rFonts w:hint="default" w:ascii="Arial" w:hAnsi="Arial" w:cs="Arial"/>
          <w:b w:val="0"/>
          <w:bCs w:val="0"/>
          <w:sz w:val="24"/>
          <w:szCs w:val="24"/>
          <w:lang w:val="en-US"/>
        </w:rPr>
      </w:pPr>
      <w:r>
        <w:rPr>
          <w:rFonts w:hint="default" w:ascii="Arial" w:hAnsi="Arial" w:cs="Arial"/>
          <w:b w:val="0"/>
          <w:bCs w:val="0"/>
          <w:sz w:val="24"/>
          <w:szCs w:val="24"/>
          <w:lang w:val="en-US"/>
        </w:rPr>
        <w:t>Chair-PIIB</w:t>
      </w:r>
      <w:bookmarkStart w:id="0" w:name="_GoBack"/>
      <w:bookmarkEnd w:id="0"/>
    </w:p>
    <w:sectPr>
      <w:pgSz w:w="12240" w:h="20160"/>
      <w:pgMar w:top="0" w:right="1800" w:bottom="0" w:left="1800" w:header="720" w:footer="720" w:gutter="0"/>
      <w:paperSrc/>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entury Gothic">
    <w:panose1 w:val="020B0502020202020204"/>
    <w:charset w:val="00"/>
    <w:family w:val="swiss"/>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Cooper Black">
    <w:panose1 w:val="0208090404030B020404"/>
    <w:charset w:val="00"/>
    <w:family w:val="auto"/>
    <w:pitch w:val="default"/>
    <w:sig w:usb0="00000003" w:usb1="00000000" w:usb2="00000000" w:usb3="00000000" w:csb0="20000001" w:csb1="00000000"/>
  </w:font>
  <w:font w:name="Arial Black">
    <w:panose1 w:val="020B0A04020102020204"/>
    <w:charset w:val="00"/>
    <w:family w:val="auto"/>
    <w:pitch w:val="default"/>
    <w:sig w:usb0="A00002AF" w:usb1="400078FB" w:usb2="00000000" w:usb3="00000000" w:csb0="6000009F" w:csb1="DFD7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A08F67"/>
    <w:multiLevelType w:val="singleLevel"/>
    <w:tmpl w:val="B2A08F67"/>
    <w:lvl w:ilvl="0" w:tentative="0">
      <w:start w:val="1"/>
      <w:numFmt w:val="decimal"/>
      <w:suff w:val="space"/>
      <w:lvlText w:val="%1."/>
      <w:lvlJc w:val="left"/>
    </w:lvl>
  </w:abstractNum>
  <w:abstractNum w:abstractNumId="1">
    <w:nsid w:val="DB21B7D6"/>
    <w:multiLevelType w:val="singleLevel"/>
    <w:tmpl w:val="DB21B7D6"/>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E18EB873"/>
    <w:multiLevelType w:val="singleLevel"/>
    <w:tmpl w:val="E18EB873"/>
    <w:lvl w:ilvl="0" w:tentative="0">
      <w:start w:val="1"/>
      <w:numFmt w:val="upperRoman"/>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C61110"/>
    <w:rsid w:val="253B63A2"/>
    <w:rsid w:val="35B70430"/>
    <w:rsid w:val="394F2215"/>
    <w:rsid w:val="47AC0A26"/>
    <w:rsid w:val="4AA8710A"/>
    <w:rsid w:val="657A208C"/>
    <w:rsid w:val="68C61110"/>
    <w:rsid w:val="7E3C3F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PH" w:eastAsia="en-US" w:bidi="ar-SA"/>
      <w14:ligatures w14:val="none"/>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nhideWhenUsed/>
    <w:qFormat/>
    <w:uiPriority w:val="99"/>
    <w:rPr>
      <w:color w:val="0026E5" w:themeColor="hyperlink"/>
      <w:u w:val="single"/>
      <w14:textFill>
        <w14:solidFill>
          <w14:schemeClr w14:val="hlink"/>
        </w14:solidFill>
      </w14:textFill>
    </w:rPr>
  </w:style>
  <w:style w:type="table" w:styleId="5">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No Spacing"/>
    <w:qFormat/>
    <w:uiPriority w:val="1"/>
    <w:pPr>
      <w:spacing w:after="0" w:line="240" w:lineRule="auto"/>
    </w:pPr>
    <w:rPr>
      <w:rFonts w:asciiTheme="minorHAnsi" w:hAnsiTheme="minorHAnsi" w:eastAsiaTheme="minorHAnsi" w:cstheme="minorBidi"/>
      <w:kern w:val="0"/>
      <w:sz w:val="22"/>
      <w:szCs w:val="22"/>
      <w:lang w:val="en-PH" w:eastAsia="en-US"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tiff"/><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79</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2026-09-01T07:20:00Z</dcterms:created>
  <dc:creator>Kristine Yuhayco</dc:creator>
  <cp:lastModifiedBy>Kristine Yuhayco</cp:lastModifiedBy>
  <dcterms:modified xsi:type="dcterms:W3CDTF">2026-09-01T08:43:14Z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7B0DADA98B4E46768B5A8EFAE9D02B7E_13</vt:lpwstr>
  </property>
  <property fmtid="{D5CDD505-2E9C-101B-9397-08002B2CF9AE}" pid="4" name="KSOTemplateDocerSaveRecord">
    <vt:lpwstr>eyJoZGlkIjoiMmNiZWNkMWVlZjkxNTM2OTk0MmNhODNjMTdlZDFiNzEiLCJ1c2VySWQiOiI3MDQ3ODg2ODgwMTkifQ==</vt:lpwstr>
  </property>
</Properties>
</file>