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76A" w:rsidRPr="00B4276A" w:rsidRDefault="00B4276A" w:rsidP="00B4276A">
      <w:pPr>
        <w:spacing w:after="0" w:line="240" w:lineRule="auto"/>
        <w:jc w:val="center"/>
        <w:rPr>
          <w:rFonts w:ascii="Arial" w:hAnsi="Arial" w:cs="Arial"/>
          <w:b/>
          <w:sz w:val="28"/>
          <w:szCs w:val="28"/>
        </w:rPr>
      </w:pPr>
      <w:r w:rsidRPr="00B4276A">
        <w:rPr>
          <w:rFonts w:ascii="Arial" w:hAnsi="Arial" w:cs="Arial"/>
          <w:b/>
          <w:sz w:val="28"/>
          <w:szCs w:val="28"/>
        </w:rPr>
        <w:t>TÜBİTAK MARMARA RESEARCH CENTER</w:t>
      </w:r>
    </w:p>
    <w:p w:rsidR="00B4276A" w:rsidRPr="00B4276A" w:rsidRDefault="00B4276A" w:rsidP="00B4276A">
      <w:pPr>
        <w:spacing w:after="0" w:line="240" w:lineRule="auto"/>
        <w:jc w:val="center"/>
        <w:rPr>
          <w:rFonts w:ascii="Arial" w:hAnsi="Arial" w:cs="Arial"/>
          <w:b/>
          <w:sz w:val="28"/>
          <w:szCs w:val="28"/>
        </w:rPr>
      </w:pPr>
      <w:r w:rsidRPr="00B4276A">
        <w:rPr>
          <w:rFonts w:ascii="Arial" w:hAnsi="Arial" w:cs="Arial"/>
          <w:b/>
          <w:sz w:val="28"/>
          <w:szCs w:val="28"/>
        </w:rPr>
        <w:t>HYDROGEN AND FUEL CELL TECHNOLOGIES RESEACH GROUP</w:t>
      </w:r>
    </w:p>
    <w:p w:rsidR="00B4276A" w:rsidRPr="00B4276A" w:rsidRDefault="00B4276A" w:rsidP="00B4276A">
      <w:pPr>
        <w:spacing w:after="0" w:line="240" w:lineRule="auto"/>
        <w:jc w:val="center"/>
        <w:rPr>
          <w:rFonts w:ascii="Arial" w:hAnsi="Arial" w:cs="Arial"/>
          <w:b/>
          <w:sz w:val="28"/>
          <w:szCs w:val="28"/>
        </w:rPr>
      </w:pPr>
      <w:r w:rsidRPr="00B4276A">
        <w:rPr>
          <w:rFonts w:ascii="Arial" w:hAnsi="Arial" w:cs="Arial"/>
          <w:b/>
          <w:sz w:val="28"/>
          <w:szCs w:val="28"/>
        </w:rPr>
        <w:t>INFORMATION NOTE</w:t>
      </w:r>
    </w:p>
    <w:p w:rsidR="00B4276A" w:rsidRDefault="00B4276A" w:rsidP="00B4276A">
      <w:pPr>
        <w:spacing w:after="120" w:line="240" w:lineRule="auto"/>
        <w:jc w:val="both"/>
        <w:rPr>
          <w:rFonts w:ascii="Arial" w:hAnsi="Arial" w:cs="Arial"/>
        </w:rPr>
      </w:pPr>
      <w:r w:rsidRPr="001E65A8">
        <w:rPr>
          <w:rFonts w:ascii="Arial" w:hAnsi="Arial" w:cs="Arial"/>
        </w:rPr>
        <w:t xml:space="preserve">TÜBİTAK MAM – Hydrogen and Fuel Cell Technologies Research Group (HYPTAG) has been carrying out project-based R&amp;D studies in the field of hydrogen technologies and applications for more than 22 years. The current main areas of activity and anticipated technology development areas </w:t>
      </w:r>
      <w:proofErr w:type="gramStart"/>
      <w:r w:rsidRPr="001E65A8">
        <w:rPr>
          <w:rFonts w:ascii="Arial" w:hAnsi="Arial" w:cs="Arial"/>
        </w:rPr>
        <w:t>are given</w:t>
      </w:r>
      <w:proofErr w:type="gramEnd"/>
      <w:r w:rsidRPr="001E65A8">
        <w:rPr>
          <w:rFonts w:ascii="Arial" w:hAnsi="Arial" w:cs="Arial"/>
        </w:rPr>
        <w:t xml:space="preserve"> below.</w:t>
      </w:r>
    </w:p>
    <w:p w:rsidR="00B4276A" w:rsidRPr="001E65A8" w:rsidRDefault="00B4276A" w:rsidP="00B4276A">
      <w:pPr>
        <w:spacing w:after="120" w:line="240" w:lineRule="auto"/>
        <w:ind w:left="567"/>
        <w:contextualSpacing/>
        <w:jc w:val="both"/>
        <w:rPr>
          <w:rFonts w:ascii="Arial" w:hAnsi="Arial" w:cs="Arial"/>
        </w:rPr>
      </w:pPr>
      <w:r w:rsidRPr="001E65A8">
        <w:rPr>
          <w:rFonts w:ascii="Arial" w:hAnsi="Arial" w:cs="Arial"/>
        </w:rPr>
        <w:t>1. Green and blue hydrogen production technologies,</w:t>
      </w:r>
    </w:p>
    <w:p w:rsidR="00B4276A" w:rsidRPr="001E65A8" w:rsidRDefault="00B4276A" w:rsidP="00B4276A">
      <w:pPr>
        <w:spacing w:after="120" w:line="240" w:lineRule="auto"/>
        <w:ind w:left="567"/>
        <w:contextualSpacing/>
        <w:jc w:val="both"/>
        <w:rPr>
          <w:rFonts w:ascii="Arial" w:hAnsi="Arial" w:cs="Arial"/>
        </w:rPr>
      </w:pPr>
      <w:r w:rsidRPr="001E65A8">
        <w:rPr>
          <w:rFonts w:ascii="Arial" w:hAnsi="Arial" w:cs="Arial"/>
        </w:rPr>
        <w:t>2. PEM type fuel cell technologies,</w:t>
      </w:r>
    </w:p>
    <w:p w:rsidR="00B4276A" w:rsidRPr="001E65A8" w:rsidRDefault="00B4276A" w:rsidP="00B4276A">
      <w:pPr>
        <w:spacing w:after="120" w:line="240" w:lineRule="auto"/>
        <w:ind w:left="567"/>
        <w:contextualSpacing/>
        <w:jc w:val="both"/>
        <w:rPr>
          <w:rFonts w:ascii="Arial" w:hAnsi="Arial" w:cs="Arial"/>
        </w:rPr>
      </w:pPr>
      <w:r w:rsidRPr="001E65A8">
        <w:rPr>
          <w:rFonts w:ascii="Arial" w:hAnsi="Arial" w:cs="Arial"/>
        </w:rPr>
        <w:t>3. Hydrogen storage technologies,</w:t>
      </w:r>
    </w:p>
    <w:p w:rsidR="00B4276A" w:rsidRPr="001E65A8" w:rsidRDefault="00B4276A" w:rsidP="00B4276A">
      <w:pPr>
        <w:spacing w:after="120" w:line="240" w:lineRule="auto"/>
        <w:ind w:left="567"/>
        <w:contextualSpacing/>
        <w:jc w:val="both"/>
        <w:rPr>
          <w:rFonts w:ascii="Arial" w:hAnsi="Arial" w:cs="Arial"/>
        </w:rPr>
      </w:pPr>
      <w:r w:rsidRPr="001E65A8">
        <w:rPr>
          <w:rFonts w:ascii="Arial" w:hAnsi="Arial" w:cs="Arial"/>
        </w:rPr>
        <w:t>4. Electrochemical production of green ammonia,</w:t>
      </w:r>
    </w:p>
    <w:p w:rsidR="00B4276A" w:rsidRPr="001E65A8" w:rsidRDefault="00B4276A" w:rsidP="00B4276A">
      <w:pPr>
        <w:spacing w:after="120" w:line="240" w:lineRule="auto"/>
        <w:ind w:left="567"/>
        <w:contextualSpacing/>
        <w:jc w:val="both"/>
        <w:rPr>
          <w:rFonts w:ascii="Arial" w:hAnsi="Arial" w:cs="Arial"/>
        </w:rPr>
      </w:pPr>
      <w:r w:rsidRPr="001E65A8">
        <w:rPr>
          <w:rFonts w:ascii="Arial" w:hAnsi="Arial" w:cs="Arial"/>
        </w:rPr>
        <w:t>5. Electrochemical carbon dioxide evaluation technologies,</w:t>
      </w:r>
    </w:p>
    <w:p w:rsidR="00B4276A" w:rsidRPr="001E65A8" w:rsidRDefault="00B4276A" w:rsidP="00B4276A">
      <w:pPr>
        <w:spacing w:after="120" w:line="240" w:lineRule="auto"/>
        <w:ind w:left="567"/>
        <w:jc w:val="both"/>
        <w:rPr>
          <w:rFonts w:ascii="Arial" w:hAnsi="Arial" w:cs="Arial"/>
        </w:rPr>
      </w:pPr>
      <w:r w:rsidRPr="001E65A8">
        <w:rPr>
          <w:rFonts w:ascii="Arial" w:hAnsi="Arial" w:cs="Arial"/>
        </w:rPr>
        <w:t>6. The use of hydrogen in the energy, industry, transportation and building sectors, and its conversion into fuel and valuable chemicals</w:t>
      </w:r>
    </w:p>
    <w:p w:rsidR="00B4276A" w:rsidRPr="001E65A8" w:rsidRDefault="001329AE" w:rsidP="00B4276A">
      <w:pPr>
        <w:spacing w:after="120"/>
        <w:jc w:val="both"/>
        <w:rPr>
          <w:rFonts w:ascii="Arial" w:hAnsi="Arial" w:cs="Arial"/>
        </w:rPr>
      </w:pPr>
      <w:r>
        <w:rPr>
          <w:rFonts w:ascii="Arial" w:hAnsi="Arial" w:cs="Arial"/>
        </w:rPr>
        <w:t>The Group</w:t>
      </w:r>
      <w:r w:rsidR="00B4276A" w:rsidRPr="001E65A8">
        <w:rPr>
          <w:rFonts w:ascii="Arial" w:hAnsi="Arial" w:cs="Arial"/>
        </w:rPr>
        <w:t xml:space="preserve"> continues its activities on the subjects of reducing CO</w:t>
      </w:r>
      <w:r w:rsidR="00B4276A" w:rsidRPr="001E65A8">
        <w:rPr>
          <w:rFonts w:ascii="Arial" w:hAnsi="Arial" w:cs="Arial"/>
          <w:vertAlign w:val="subscript"/>
        </w:rPr>
        <w:t>2</w:t>
      </w:r>
      <w:r w:rsidR="00B4276A" w:rsidRPr="001E65A8">
        <w:rPr>
          <w:rFonts w:ascii="Arial" w:hAnsi="Arial" w:cs="Arial"/>
        </w:rPr>
        <w:t xml:space="preserve"> emissions, as well as research and activities aimed at the development and application of technologies within the hydrogen value chain, which includes hydrogen production, transmission, transportation and storage,</w:t>
      </w:r>
      <w:r>
        <w:rPr>
          <w:rFonts w:ascii="Arial" w:hAnsi="Arial" w:cs="Arial"/>
        </w:rPr>
        <w:t xml:space="preserve"> </w:t>
      </w:r>
      <w:bookmarkStart w:id="0" w:name="_GoBack"/>
      <w:bookmarkEnd w:id="0"/>
      <w:r w:rsidR="00B4276A" w:rsidRPr="001E65A8">
        <w:rPr>
          <w:rFonts w:ascii="Arial" w:hAnsi="Arial" w:cs="Arial"/>
        </w:rPr>
        <w:t>thus reducing foreign dependency on energy and increasing our market share.</w:t>
      </w:r>
    </w:p>
    <w:p w:rsidR="00B4276A" w:rsidRPr="001E65A8" w:rsidRDefault="00B4276A" w:rsidP="00B4276A">
      <w:pPr>
        <w:spacing w:after="120"/>
        <w:contextualSpacing/>
        <w:jc w:val="both"/>
        <w:rPr>
          <w:rFonts w:ascii="Arial" w:hAnsi="Arial" w:cs="Arial"/>
        </w:rPr>
      </w:pPr>
      <w:r w:rsidRPr="001E65A8">
        <w:rPr>
          <w:rFonts w:ascii="Arial" w:hAnsi="Arial" w:cs="Arial"/>
          <w:lang w:val="en"/>
        </w:rPr>
        <w:t xml:space="preserve">TÜBİTAK MAM - HYPTAG has been involved in more than 35 national and international projects (EU 6th, 7th and Horizon framework programs, CEPA program, etc.) in the field of hydrogen technologies as coordinator and/or partner. Some of our </w:t>
      </w:r>
      <w:r>
        <w:rPr>
          <w:rFonts w:ascii="Arial" w:hAnsi="Arial" w:cs="Arial"/>
          <w:lang w:val="en"/>
        </w:rPr>
        <w:t>ongoing national</w:t>
      </w:r>
      <w:r w:rsidRPr="001E65A8">
        <w:rPr>
          <w:rFonts w:ascii="Arial" w:hAnsi="Arial" w:cs="Arial"/>
          <w:lang w:val="en"/>
        </w:rPr>
        <w:t xml:space="preserve"> and </w:t>
      </w:r>
      <w:r>
        <w:rPr>
          <w:rFonts w:ascii="Arial" w:hAnsi="Arial" w:cs="Arial"/>
          <w:lang w:val="en"/>
        </w:rPr>
        <w:t>inter</w:t>
      </w:r>
      <w:r w:rsidRPr="001E65A8">
        <w:rPr>
          <w:rFonts w:ascii="Arial" w:hAnsi="Arial" w:cs="Arial"/>
          <w:lang w:val="en"/>
        </w:rPr>
        <w:t>national prod</w:t>
      </w:r>
      <w:r>
        <w:rPr>
          <w:rFonts w:ascii="Arial" w:hAnsi="Arial" w:cs="Arial"/>
          <w:lang w:val="en"/>
        </w:rPr>
        <w:t xml:space="preserve">ucts / projects developed by HYPTAG </w:t>
      </w:r>
      <w:r w:rsidRPr="001E65A8">
        <w:rPr>
          <w:rFonts w:ascii="Arial" w:hAnsi="Arial" w:cs="Arial"/>
          <w:lang w:val="en"/>
        </w:rPr>
        <w:t xml:space="preserve">listed </w:t>
      </w:r>
      <w:r>
        <w:rPr>
          <w:rFonts w:ascii="Arial" w:hAnsi="Arial" w:cs="Arial"/>
          <w:lang w:val="en"/>
        </w:rPr>
        <w:t>below</w:t>
      </w:r>
      <w:r w:rsidRPr="001E65A8">
        <w:rPr>
          <w:rFonts w:ascii="Arial" w:hAnsi="Arial" w:cs="Arial"/>
          <w:lang w:val="en"/>
        </w:rPr>
        <w:t>:</w:t>
      </w:r>
    </w:p>
    <w:p w:rsidR="00B4276A" w:rsidRPr="006F0E7F" w:rsidRDefault="00B4276A" w:rsidP="00B4276A">
      <w:pPr>
        <w:pStyle w:val="ListeParagraf"/>
        <w:numPr>
          <w:ilvl w:val="0"/>
          <w:numId w:val="1"/>
        </w:numPr>
        <w:spacing w:after="120" w:line="240" w:lineRule="auto"/>
        <w:ind w:left="284" w:hanging="284"/>
        <w:rPr>
          <w:sz w:val="22"/>
          <w:szCs w:val="22"/>
          <w:lang w:val="en"/>
        </w:rPr>
      </w:pPr>
      <w:r w:rsidRPr="006F0E7F">
        <w:rPr>
          <w:rFonts w:ascii="Arial" w:hAnsi="Arial" w:cs="Arial"/>
          <w:sz w:val="22"/>
          <w:szCs w:val="22"/>
          <w:lang w:val="en"/>
        </w:rPr>
        <w:t>“Powering EU Net Zero Future by Escalating Zero Emission Heavy Duty Trucks and Logistic Intelligence –ESCALATE” -HORIZON-CL5-2022-D5-01 Clean and Competitive Solutions for all Transport Modes”  - Ongoing</w:t>
      </w:r>
    </w:p>
    <w:p w:rsidR="00B4276A" w:rsidRPr="006F0E7F" w:rsidRDefault="00B4276A" w:rsidP="00B4276A">
      <w:pPr>
        <w:pStyle w:val="ListeParagraf"/>
        <w:numPr>
          <w:ilvl w:val="0"/>
          <w:numId w:val="1"/>
        </w:numPr>
        <w:spacing w:after="120" w:line="240" w:lineRule="auto"/>
        <w:ind w:left="284" w:hanging="284"/>
        <w:rPr>
          <w:rFonts w:ascii="Arial" w:hAnsi="Arial" w:cs="Arial"/>
          <w:sz w:val="22"/>
          <w:szCs w:val="22"/>
          <w:lang w:val="en"/>
        </w:rPr>
      </w:pPr>
      <w:r w:rsidRPr="006F0E7F">
        <w:rPr>
          <w:rFonts w:ascii="Arial" w:hAnsi="Arial" w:cs="Arial"/>
          <w:sz w:val="22"/>
          <w:szCs w:val="22"/>
          <w:lang w:val="en"/>
        </w:rPr>
        <w:t xml:space="preserve">“South Marmara Hydrogen </w:t>
      </w:r>
      <w:proofErr w:type="spellStart"/>
      <w:r w:rsidRPr="006F0E7F">
        <w:rPr>
          <w:rFonts w:ascii="Arial" w:hAnsi="Arial" w:cs="Arial"/>
          <w:sz w:val="22"/>
          <w:szCs w:val="22"/>
          <w:lang w:val="en"/>
        </w:rPr>
        <w:t>Shore_HYSouthMarmara</w:t>
      </w:r>
      <w:proofErr w:type="spellEnd"/>
      <w:r w:rsidRPr="006F0E7F">
        <w:rPr>
          <w:rFonts w:ascii="Arial" w:hAnsi="Arial" w:cs="Arial"/>
          <w:sz w:val="22"/>
          <w:szCs w:val="22"/>
          <w:lang w:val="en"/>
        </w:rPr>
        <w:t>”- HORIZON-JTI-CLEANH2-2022-06-02- Hydrogen Valleys (small-scale) – Ongoing</w:t>
      </w:r>
    </w:p>
    <w:p w:rsidR="00B4276A" w:rsidRPr="006F0E7F" w:rsidRDefault="00B4276A" w:rsidP="00B4276A">
      <w:pPr>
        <w:spacing w:after="120" w:line="240" w:lineRule="auto"/>
        <w:contextualSpacing/>
        <w:jc w:val="center"/>
        <w:rPr>
          <w:rFonts w:ascii="Arial" w:hAnsi="Arial" w:cs="Arial"/>
          <w:lang w:val="en"/>
        </w:rPr>
      </w:pPr>
      <w:r w:rsidRPr="006F0E7F">
        <w:rPr>
          <w:noProof/>
          <w:lang w:val="tr-TR" w:eastAsia="tr-TR"/>
        </w:rPr>
        <w:drawing>
          <wp:inline distT="0" distB="0" distL="0" distR="0" wp14:anchorId="55D176F9" wp14:editId="5FCDFF4E">
            <wp:extent cx="4228185" cy="1960473"/>
            <wp:effectExtent l="0" t="0" r="1270" b="1905"/>
            <wp:docPr id="1" name="Picture 1672552349"/>
            <wp:cNvGraphicFramePr/>
            <a:graphic xmlns:a="http://schemas.openxmlformats.org/drawingml/2006/main">
              <a:graphicData uri="http://schemas.openxmlformats.org/drawingml/2006/picture">
                <pic:pic xmlns:pic="http://schemas.openxmlformats.org/drawingml/2006/picture">
                  <pic:nvPicPr>
                    <pic:cNvPr id="8" name="Picture 1672552349"/>
                    <pic:cNvPicPr/>
                  </pic:nvPicPr>
                  <pic:blipFill>
                    <a:blip r:embed="rId7" cstate="email">
                      <a:extLst>
                        <a:ext uri="{28A0092B-C50C-407E-A947-70E740481C1C}">
                          <a14:useLocalDpi xmlns:a14="http://schemas.microsoft.com/office/drawing/2010/main"/>
                        </a:ext>
                      </a:extLst>
                    </a:blip>
                    <a:stretch>
                      <a:fillRect/>
                    </a:stretch>
                  </pic:blipFill>
                  <pic:spPr>
                    <a:xfrm>
                      <a:off x="0" y="0"/>
                      <a:ext cx="4239058" cy="1965515"/>
                    </a:xfrm>
                    <a:prstGeom prst="rect">
                      <a:avLst/>
                    </a:prstGeom>
                  </pic:spPr>
                </pic:pic>
              </a:graphicData>
            </a:graphic>
          </wp:inline>
        </w:drawing>
      </w:r>
    </w:p>
    <w:p w:rsidR="00B4276A" w:rsidRPr="006F0E7F" w:rsidRDefault="00B4276A" w:rsidP="00B4276A">
      <w:pPr>
        <w:pStyle w:val="ListeParagraf"/>
        <w:numPr>
          <w:ilvl w:val="0"/>
          <w:numId w:val="1"/>
        </w:numPr>
        <w:spacing w:after="120" w:line="240" w:lineRule="auto"/>
        <w:ind w:left="426" w:hanging="426"/>
        <w:rPr>
          <w:rFonts w:ascii="Arial" w:hAnsi="Arial" w:cs="Arial"/>
          <w:sz w:val="22"/>
          <w:szCs w:val="22"/>
          <w:lang w:val="en"/>
        </w:rPr>
      </w:pPr>
      <w:r w:rsidRPr="006F0E7F">
        <w:rPr>
          <w:rFonts w:ascii="Arial" w:hAnsi="Arial" w:cs="Arial"/>
          <w:sz w:val="22"/>
          <w:szCs w:val="22"/>
          <w:lang w:val="en"/>
        </w:rPr>
        <w:t>South Marmara Hydrogen Shore Platform Green Hydrogen Production Facility Project- Ongoing</w:t>
      </w:r>
    </w:p>
    <w:p w:rsidR="00B4276A" w:rsidRPr="006F0E7F" w:rsidRDefault="00B4276A" w:rsidP="00B4276A">
      <w:pPr>
        <w:pStyle w:val="ListeParagraf"/>
        <w:numPr>
          <w:ilvl w:val="0"/>
          <w:numId w:val="1"/>
        </w:numPr>
        <w:spacing w:after="120" w:line="240" w:lineRule="auto"/>
        <w:ind w:left="426" w:hanging="426"/>
        <w:rPr>
          <w:rFonts w:ascii="Arial" w:hAnsi="Arial" w:cs="Arial"/>
          <w:sz w:val="22"/>
          <w:szCs w:val="22"/>
          <w:lang w:val="en"/>
        </w:rPr>
      </w:pPr>
      <w:r w:rsidRPr="006F0E7F">
        <w:rPr>
          <w:rFonts w:ascii="Arial" w:hAnsi="Arial" w:cs="Arial"/>
          <w:sz w:val="22"/>
          <w:szCs w:val="22"/>
          <w:lang w:val="en"/>
        </w:rPr>
        <w:t xml:space="preserve">Development of a Low Cost Membrane Electrode Assembly (MEA) for Fuel Cells for Marine Applications – LOCOMOTION – </w:t>
      </w:r>
      <w:proofErr w:type="spellStart"/>
      <w:r w:rsidRPr="006F0E7F">
        <w:rPr>
          <w:rFonts w:ascii="Arial" w:hAnsi="Arial" w:cs="Arial"/>
          <w:sz w:val="22"/>
          <w:szCs w:val="22"/>
          <w:lang w:val="en"/>
        </w:rPr>
        <w:t>Martera</w:t>
      </w:r>
      <w:proofErr w:type="spellEnd"/>
      <w:r w:rsidRPr="006F0E7F">
        <w:rPr>
          <w:rFonts w:ascii="Arial" w:hAnsi="Arial" w:cs="Arial"/>
          <w:sz w:val="22"/>
          <w:szCs w:val="22"/>
          <w:lang w:val="en"/>
        </w:rPr>
        <w:t xml:space="preserve"> 2021- Ongoing</w:t>
      </w:r>
    </w:p>
    <w:p w:rsidR="00B4276A" w:rsidRPr="006F0E7F" w:rsidRDefault="00B4276A" w:rsidP="00B4276A">
      <w:pPr>
        <w:pStyle w:val="ListeParagraf"/>
        <w:numPr>
          <w:ilvl w:val="0"/>
          <w:numId w:val="1"/>
        </w:numPr>
        <w:spacing w:after="120" w:line="240" w:lineRule="auto"/>
        <w:ind w:left="426" w:hanging="426"/>
        <w:rPr>
          <w:rFonts w:ascii="Arial" w:hAnsi="Arial" w:cs="Arial"/>
          <w:sz w:val="22"/>
          <w:szCs w:val="22"/>
          <w:lang w:val="en"/>
        </w:rPr>
      </w:pPr>
      <w:r w:rsidRPr="006F0E7F">
        <w:rPr>
          <w:rFonts w:ascii="Arial" w:hAnsi="Arial" w:cs="Arial"/>
          <w:sz w:val="22"/>
          <w:szCs w:val="22"/>
          <w:lang w:val="en"/>
        </w:rPr>
        <w:t>Automotive Compatible PEM Type Fuel Cell Module and System Components Development and Integration Project – Ongoing</w:t>
      </w:r>
    </w:p>
    <w:p w:rsidR="00B4276A" w:rsidRPr="006F0E7F" w:rsidRDefault="00B4276A" w:rsidP="00B4276A">
      <w:pPr>
        <w:pStyle w:val="ListeParagraf"/>
        <w:numPr>
          <w:ilvl w:val="0"/>
          <w:numId w:val="1"/>
        </w:numPr>
        <w:spacing w:after="120" w:line="240" w:lineRule="auto"/>
        <w:ind w:left="426" w:hanging="426"/>
        <w:rPr>
          <w:rFonts w:ascii="Arial" w:hAnsi="Arial" w:cs="Arial"/>
          <w:sz w:val="22"/>
          <w:szCs w:val="22"/>
          <w:lang w:val="en"/>
        </w:rPr>
      </w:pPr>
      <w:r w:rsidRPr="006F0E7F">
        <w:rPr>
          <w:rFonts w:ascii="Arial" w:hAnsi="Arial" w:cs="Arial"/>
          <w:sz w:val="22"/>
          <w:szCs w:val="22"/>
          <w:lang w:val="en"/>
        </w:rPr>
        <w:t xml:space="preserve">Fuel Cell and </w:t>
      </w:r>
      <w:proofErr w:type="spellStart"/>
      <w:r w:rsidRPr="006F0E7F">
        <w:rPr>
          <w:rFonts w:ascii="Arial" w:hAnsi="Arial" w:cs="Arial"/>
          <w:sz w:val="22"/>
          <w:szCs w:val="22"/>
          <w:lang w:val="en"/>
        </w:rPr>
        <w:t>Electrolyser</w:t>
      </w:r>
      <w:proofErr w:type="spellEnd"/>
      <w:r w:rsidRPr="006F0E7F">
        <w:rPr>
          <w:rFonts w:ascii="Arial" w:hAnsi="Arial" w:cs="Arial"/>
          <w:sz w:val="22"/>
          <w:szCs w:val="22"/>
          <w:lang w:val="en"/>
        </w:rPr>
        <w:t xml:space="preserve"> Technologies Development and Test Centre Project – Ongoing</w:t>
      </w:r>
    </w:p>
    <w:p w:rsidR="00BA37D5" w:rsidRPr="00637C3E" w:rsidRDefault="00B4276A" w:rsidP="00B4276A">
      <w:pPr>
        <w:pStyle w:val="ListeParagraf"/>
        <w:numPr>
          <w:ilvl w:val="0"/>
          <w:numId w:val="1"/>
        </w:numPr>
        <w:spacing w:after="120" w:line="240" w:lineRule="auto"/>
        <w:ind w:left="426" w:hanging="426"/>
      </w:pPr>
      <w:r w:rsidRPr="00B4276A">
        <w:rPr>
          <w:rFonts w:ascii="Arial" w:hAnsi="Arial" w:cs="Arial"/>
          <w:sz w:val="22"/>
          <w:szCs w:val="22"/>
          <w:lang w:val="en"/>
        </w:rPr>
        <w:t xml:space="preserve">PEM Type </w:t>
      </w:r>
      <w:proofErr w:type="spellStart"/>
      <w:r w:rsidRPr="00B4276A">
        <w:rPr>
          <w:rFonts w:ascii="Arial" w:hAnsi="Arial" w:cs="Arial"/>
          <w:sz w:val="22"/>
          <w:szCs w:val="22"/>
          <w:lang w:val="en"/>
        </w:rPr>
        <w:t>Electrolyser</w:t>
      </w:r>
      <w:proofErr w:type="spellEnd"/>
      <w:r w:rsidRPr="00B4276A">
        <w:rPr>
          <w:rFonts w:ascii="Arial" w:hAnsi="Arial" w:cs="Arial"/>
          <w:sz w:val="22"/>
          <w:szCs w:val="22"/>
          <w:lang w:val="en"/>
        </w:rPr>
        <w:t xml:space="preserve"> Development Project </w:t>
      </w:r>
      <w:r w:rsidR="00637C3E">
        <w:rPr>
          <w:rFonts w:ascii="Arial" w:hAnsi="Arial" w:cs="Arial"/>
          <w:sz w:val="22"/>
          <w:szCs w:val="22"/>
          <w:lang w:val="en"/>
        </w:rPr>
        <w:t>–</w:t>
      </w:r>
      <w:r w:rsidRPr="00B4276A">
        <w:rPr>
          <w:rFonts w:ascii="Arial" w:hAnsi="Arial" w:cs="Arial"/>
          <w:sz w:val="22"/>
          <w:szCs w:val="22"/>
          <w:lang w:val="en"/>
        </w:rPr>
        <w:t xml:space="preserve"> Completed</w:t>
      </w:r>
    </w:p>
    <w:p w:rsidR="00637C3E" w:rsidRDefault="00637C3E" w:rsidP="00B4276A">
      <w:pPr>
        <w:pStyle w:val="ListeParagraf"/>
        <w:numPr>
          <w:ilvl w:val="0"/>
          <w:numId w:val="1"/>
        </w:numPr>
        <w:spacing w:after="120" w:line="240" w:lineRule="auto"/>
        <w:ind w:left="426" w:hanging="426"/>
      </w:pPr>
      <w:r>
        <w:rPr>
          <w:rFonts w:ascii="Arial" w:hAnsi="Arial" w:cs="Arial"/>
          <w:sz w:val="22"/>
          <w:szCs w:val="22"/>
          <w:lang w:val="en"/>
        </w:rPr>
        <w:t xml:space="preserve">Field Application of PEM Fuel Cell </w:t>
      </w:r>
      <w:proofErr w:type="spellStart"/>
      <w:r>
        <w:rPr>
          <w:rFonts w:ascii="Arial" w:hAnsi="Arial" w:cs="Arial"/>
          <w:sz w:val="22"/>
          <w:szCs w:val="22"/>
          <w:lang w:val="en"/>
        </w:rPr>
        <w:t>Microcogeneration</w:t>
      </w:r>
      <w:proofErr w:type="spellEnd"/>
      <w:r>
        <w:rPr>
          <w:rFonts w:ascii="Arial" w:hAnsi="Arial" w:cs="Arial"/>
          <w:sz w:val="22"/>
          <w:szCs w:val="22"/>
          <w:lang w:val="en"/>
        </w:rPr>
        <w:t xml:space="preserve"> </w:t>
      </w:r>
      <w:r w:rsidR="00A56F66">
        <w:rPr>
          <w:rFonts w:ascii="Arial" w:hAnsi="Arial" w:cs="Arial"/>
          <w:sz w:val="22"/>
          <w:szCs w:val="22"/>
          <w:lang w:val="en"/>
        </w:rPr>
        <w:t>System</w:t>
      </w:r>
      <w:r>
        <w:rPr>
          <w:rFonts w:ascii="Arial" w:hAnsi="Arial" w:cs="Arial"/>
          <w:sz w:val="22"/>
          <w:szCs w:val="22"/>
          <w:lang w:val="en"/>
        </w:rPr>
        <w:t>-Completed</w:t>
      </w:r>
    </w:p>
    <w:sectPr w:rsidR="00637C3E" w:rsidSect="00B4276A">
      <w:headerReference w:type="default" r:id="rId8"/>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C5C" w:rsidRDefault="00084C5C" w:rsidP="00B4276A">
      <w:pPr>
        <w:spacing w:after="0" w:line="240" w:lineRule="auto"/>
      </w:pPr>
      <w:r>
        <w:separator/>
      </w:r>
    </w:p>
  </w:endnote>
  <w:endnote w:type="continuationSeparator" w:id="0">
    <w:p w:rsidR="00084C5C" w:rsidRDefault="00084C5C" w:rsidP="00B42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C5C" w:rsidRDefault="00084C5C" w:rsidP="00B4276A">
      <w:pPr>
        <w:spacing w:after="0" w:line="240" w:lineRule="auto"/>
      </w:pPr>
      <w:r>
        <w:separator/>
      </w:r>
    </w:p>
  </w:footnote>
  <w:footnote w:type="continuationSeparator" w:id="0">
    <w:p w:rsidR="00084C5C" w:rsidRDefault="00084C5C" w:rsidP="00B42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70"/>
      <w:gridCol w:w="2970"/>
      <w:gridCol w:w="2970"/>
    </w:tblGrid>
    <w:tr w:rsidR="00B4276A" w:rsidTr="00AE6260">
      <w:trPr>
        <w:trHeight w:val="215"/>
      </w:trPr>
      <w:tc>
        <w:tcPr>
          <w:tcW w:w="2970" w:type="dxa"/>
        </w:tcPr>
        <w:p w:rsidR="00B4276A" w:rsidRDefault="00B4276A" w:rsidP="00B4276A">
          <w:pPr>
            <w:pStyle w:val="stBilgi"/>
            <w:ind w:left="-115"/>
          </w:pPr>
          <w:r>
            <w:rPr>
              <w:noProof/>
              <w:lang w:val="tr-TR" w:eastAsia="tr-TR"/>
            </w:rPr>
            <w:drawing>
              <wp:inline distT="0" distB="0" distL="0" distR="0" wp14:anchorId="3533E8B9" wp14:editId="2373CDB6">
                <wp:extent cx="1016813" cy="706855"/>
                <wp:effectExtent l="0" t="0" r="0" b="0"/>
                <wp:docPr id="5" name="Resim 59907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9452" cy="715641"/>
                        </a:xfrm>
                        <a:prstGeom prst="rect">
                          <a:avLst/>
                        </a:prstGeom>
                      </pic:spPr>
                    </pic:pic>
                  </a:graphicData>
                </a:graphic>
              </wp:inline>
            </w:drawing>
          </w:r>
        </w:p>
      </w:tc>
      <w:tc>
        <w:tcPr>
          <w:tcW w:w="2970" w:type="dxa"/>
        </w:tcPr>
        <w:p w:rsidR="00B4276A" w:rsidRDefault="00B4276A" w:rsidP="00B4276A">
          <w:pPr>
            <w:pStyle w:val="stBilgi"/>
            <w:jc w:val="center"/>
          </w:pPr>
        </w:p>
      </w:tc>
      <w:tc>
        <w:tcPr>
          <w:tcW w:w="2970" w:type="dxa"/>
        </w:tcPr>
        <w:p w:rsidR="00B4276A" w:rsidRDefault="00B4276A" w:rsidP="00B4276A">
          <w:pPr>
            <w:pStyle w:val="stBilgi"/>
            <w:ind w:right="-115"/>
            <w:jc w:val="right"/>
          </w:pPr>
          <w:r>
            <w:t xml:space="preserve"> </w:t>
          </w:r>
          <w:r>
            <w:rPr>
              <w:noProof/>
              <w:lang w:val="tr-TR" w:eastAsia="tr-TR"/>
            </w:rPr>
            <w:drawing>
              <wp:inline distT="0" distB="0" distL="0" distR="0" wp14:anchorId="2CA7840D" wp14:editId="3181C4C2">
                <wp:extent cx="680313" cy="708025"/>
                <wp:effectExtent l="0" t="0" r="5715" b="0"/>
                <wp:docPr id="6" name="Resim 1486599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90133" cy="718245"/>
                        </a:xfrm>
                        <a:prstGeom prst="rect">
                          <a:avLst/>
                        </a:prstGeom>
                      </pic:spPr>
                    </pic:pic>
                  </a:graphicData>
                </a:graphic>
              </wp:inline>
            </w:drawing>
          </w:r>
        </w:p>
      </w:tc>
    </w:tr>
  </w:tbl>
  <w:p w:rsidR="00B4276A" w:rsidRDefault="00B427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C3F36"/>
    <w:multiLevelType w:val="hybridMultilevel"/>
    <w:tmpl w:val="DF9E5228"/>
    <w:lvl w:ilvl="0" w:tplc="867CDA2C">
      <w:start w:val="1"/>
      <w:numFmt w:val="decimal"/>
      <w:lvlText w:val="%1."/>
      <w:lvlJc w:val="left"/>
      <w:pPr>
        <w:ind w:left="778" w:hanging="360"/>
      </w:pPr>
      <w:rPr>
        <w:rFonts w:ascii="Arial" w:hAnsi="Arial" w:cs="Arial" w:hint="default"/>
        <w:sz w:val="22"/>
        <w:szCs w:val="22"/>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6A"/>
    <w:rsid w:val="00084C5C"/>
    <w:rsid w:val="00101F35"/>
    <w:rsid w:val="001329AE"/>
    <w:rsid w:val="003772F5"/>
    <w:rsid w:val="003C11EB"/>
    <w:rsid w:val="005F3411"/>
    <w:rsid w:val="006219EC"/>
    <w:rsid w:val="00637C3E"/>
    <w:rsid w:val="00682B87"/>
    <w:rsid w:val="006F0976"/>
    <w:rsid w:val="00963894"/>
    <w:rsid w:val="00A56F66"/>
    <w:rsid w:val="00B4276A"/>
    <w:rsid w:val="00BA37D5"/>
    <w:rsid w:val="00D36269"/>
    <w:rsid w:val="00D5782F"/>
    <w:rsid w:val="00E171A5"/>
    <w:rsid w:val="00E929B3"/>
    <w:rsid w:val="00EE65D0"/>
    <w:rsid w:val="00F33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39F"/>
  <w15:chartTrackingRefBased/>
  <w15:docId w15:val="{D36195BF-E50A-4C24-A7AC-0566968A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6A"/>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276A"/>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B4276A"/>
    <w:rPr>
      <w:lang w:val="en-US"/>
    </w:rPr>
  </w:style>
  <w:style w:type="paragraph" w:styleId="AltBilgi">
    <w:name w:val="footer"/>
    <w:basedOn w:val="Normal"/>
    <w:link w:val="AltBilgiChar"/>
    <w:uiPriority w:val="99"/>
    <w:unhideWhenUsed/>
    <w:rsid w:val="00B4276A"/>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B4276A"/>
    <w:rPr>
      <w:lang w:val="en-US"/>
    </w:rPr>
  </w:style>
  <w:style w:type="paragraph" w:styleId="ListeParagraf">
    <w:name w:val="List Paragraph"/>
    <w:basedOn w:val="Normal"/>
    <w:uiPriority w:val="34"/>
    <w:qFormat/>
    <w:rsid w:val="00B4276A"/>
    <w:pPr>
      <w:spacing w:after="0" w:line="360" w:lineRule="auto"/>
      <w:ind w:left="720"/>
      <w:contextualSpacing/>
      <w:jc w:val="both"/>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Siringul Ay</dc:creator>
  <cp:keywords/>
  <dc:description/>
  <cp:lastModifiedBy>Cigdem Karadag</cp:lastModifiedBy>
  <cp:revision>3</cp:revision>
  <dcterms:created xsi:type="dcterms:W3CDTF">2023-10-02T06:14:00Z</dcterms:created>
  <dcterms:modified xsi:type="dcterms:W3CDTF">2023-10-02T06:18:00Z</dcterms:modified>
</cp:coreProperties>
</file>