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s"/>
        <w:jc w:val="center"/>
      </w:pPr>
    </w:p>
    <w:p>
      <w:pPr>
        <w:pStyle w:val="Corps"/>
        <w:jc w:val="center"/>
      </w:pPr>
      <w:r>
        <w:rPr>
          <w:rtl w:val="0"/>
          <w:lang w:val="de-DE"/>
        </w:rPr>
        <w:t>PROJECT COOPERATION PROFILE</w:t>
      </w:r>
    </w:p>
    <w:p>
      <w:pPr>
        <w:pStyle w:val="Corps"/>
        <w:jc w:val="center"/>
      </w:pPr>
    </w:p>
    <w:p>
      <w:pPr>
        <w:pStyle w:val="Corps"/>
        <w:jc w:val="center"/>
      </w:pPr>
    </w:p>
    <w:p>
      <w:pPr>
        <w:pStyle w:val="Corps"/>
        <w:jc w:val="center"/>
      </w:pPr>
    </w:p>
    <w:p>
      <w:pPr>
        <w:pStyle w:val="Titre"/>
        <w:jc w:val="center"/>
        <w:rPr>
          <w:sz w:val="68"/>
          <w:szCs w:val="68"/>
        </w:rPr>
      </w:pPr>
    </w:p>
    <w:p>
      <w:pPr>
        <w:pStyle w:val="Titre"/>
        <w:jc w:val="center"/>
        <w:rPr>
          <w:sz w:val="68"/>
          <w:szCs w:val="68"/>
        </w:rPr>
      </w:pPr>
    </w:p>
    <w:p>
      <w:pPr>
        <w:pStyle w:val="Titre"/>
        <w:jc w:val="center"/>
        <w:rPr>
          <w:sz w:val="68"/>
          <w:szCs w:val="68"/>
        </w:rPr>
      </w:pPr>
      <w:r>
        <w:rPr>
          <w:sz w:val="68"/>
          <w:szCs w:val="68"/>
          <w:rtl w:val="0"/>
          <w:lang w:val="en-US"/>
        </w:rPr>
        <w:t>INTERFACE OF BELONGING</w:t>
      </w:r>
    </w:p>
    <w:p>
      <w:pPr>
        <w:pStyle w:val="Corps"/>
        <w:jc w:val="center"/>
      </w:pPr>
    </w:p>
    <w:p>
      <w:pPr>
        <w:pStyle w:val="Titre 2"/>
        <w:jc w:val="center"/>
      </w:pPr>
      <w:r>
        <w:rPr>
          <w:rtl w:val="0"/>
          <w:lang w:val="en-US"/>
        </w:rPr>
        <w:t>Human-centred design for trustworthy and inclusive Virtual Human Twin interfaces</w:t>
      </w: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bidi w:val="0"/>
      </w:pPr>
    </w:p>
    <w:p>
      <w:pPr>
        <w:pStyle w:val="Corps"/>
        <w:jc w:val="center"/>
      </w:pPr>
      <w:r>
        <w:rPr>
          <w:rtl w:val="0"/>
        </w:rPr>
        <w:t xml:space="preserve">     </w:t>
      </w:r>
    </w:p>
    <w:p>
      <w:pPr>
        <w:pStyle w:val="Corps"/>
        <w:jc w:val="center"/>
      </w:pPr>
      <w:r>
        <w:rPr>
          <w:rtl w:val="0"/>
          <w:lang w:val="en-US"/>
        </w:rPr>
        <w:t>Higher School of Design Sciences and Technologies (ESSTED)</w:t>
      </w:r>
    </w:p>
    <w:p>
      <w:pPr>
        <w:pStyle w:val="Corps"/>
        <w:jc w:val="center"/>
      </w:pPr>
      <w:r>
        <w:rPr>
          <w:rtl w:val="0"/>
          <w:lang w:val="en-US"/>
        </w:rPr>
        <w:t>University of Manouba | Tunisia</w:t>
      </w:r>
    </w:p>
    <w:p>
      <w:pPr>
        <w:pStyle w:val="Corps"/>
        <w:jc w:val="center"/>
      </w:pPr>
    </w:p>
    <w:p>
      <w:pPr>
        <w:pStyle w:val="Corps"/>
        <w:jc w:val="center"/>
      </w:pPr>
    </w:p>
    <w:p>
      <w:pPr>
        <w:pStyle w:val="Corps"/>
        <w:jc w:val="center"/>
      </w:pPr>
      <w:r>
        <w:rPr>
          <w:rtl w:val="0"/>
          <w:lang w:val="en-US"/>
        </w:rPr>
        <w:t>TARGET TOPICHORIZON-HLTH-2027-03-TOOL-04 - Virtual Human Twins for integrated clinical decision support in prevention and diagnosis</w:t>
      </w:r>
    </w:p>
    <w:p>
      <w:pPr>
        <w:pStyle w:val="Corps"/>
        <w:jc w:val="center"/>
      </w:pPr>
    </w:p>
    <w:p>
      <w:pPr>
        <w:pStyle w:val="Corps"/>
        <w:jc w:val="center"/>
      </w:pPr>
    </w:p>
    <w:p>
      <w:pPr>
        <w:pStyle w:val="Corps"/>
        <w:jc w:val="center"/>
      </w:pPr>
      <w:r>
        <w:rPr>
          <w:rtl w:val="0"/>
          <w:lang w:val="en-US"/>
        </w:rPr>
        <w:t>CORE PROPOSITION</w:t>
      </w:r>
      <w:r>
        <w:rPr>
          <w:rtl w:val="0"/>
          <w:lang w:val="fr-FR"/>
        </w:rPr>
        <w:t xml:space="preserve"> </w:t>
      </w:r>
      <w:r>
        <w:rPr>
          <w:rtl w:val="0"/>
          <w:lang w:val="en-US"/>
        </w:rPr>
        <w:t>Design clinical interfaces in which people can understand themselves, retain agency and feel represented - not reduced to data.</w:t>
      </w:r>
    </w:p>
    <w:p>
      <w:pPr>
        <w:pStyle w:val="Corps"/>
        <w:bidi w:val="0"/>
      </w:pPr>
      <w:r>
        <w:rPr>
          <w:rFonts w:ascii="Arial Unicode MS" w:cs="Arial Unicode MS" w:hAnsi="Arial Unicode MS" w:eastAsia="Arial Unicode MS"/>
          <w:b w:val="0"/>
          <w:bCs w:val="0"/>
          <w:i w:val="0"/>
          <w:iCs w:val="0"/>
        </w:rPr>
        <w:br w:type="column"/>
      </w:r>
    </w:p>
    <w:p>
      <w:pPr>
        <w:pStyle w:val="Corps"/>
        <w:rPr>
          <w:b w:val="1"/>
          <w:bCs w:val="1"/>
        </w:rPr>
      </w:pPr>
      <w:r>
        <w:rPr>
          <w:b w:val="1"/>
          <w:bCs w:val="1"/>
          <w:rtl w:val="0"/>
          <w:lang w:val="en-US"/>
        </w:rPr>
        <w:t>1. The concept</w:t>
      </w:r>
    </w:p>
    <w:p>
      <w:pPr>
        <w:pStyle w:val="Corps"/>
        <w:bidi w:val="0"/>
      </w:pPr>
      <w:r>
        <w:rPr>
          <w:rtl w:val="0"/>
          <w:lang w:val="en-US"/>
        </w:rPr>
        <w:t>Interface of Belonging is a design approach for Virtual Human Twin environments that helps people recognise themselves, understand what the system shows and participate with confidence. It connects clinical accuracy with emotional safety, cultural relevance, accessibility and personal agency.</w:t>
      </w:r>
    </w:p>
    <w:p>
      <w:pPr>
        <w:pStyle w:val="Corps"/>
        <w:bidi w:val="0"/>
      </w:pPr>
      <w:r>
        <w:rPr>
          <w:rtl w:val="0"/>
          <w:lang w:val="en-US"/>
        </w:rPr>
        <w:t>The concept treats the interface as more than a display layer. It becomes a space of mediation between complex computational models, clinical expertise and a person's lived experience. The objective is to support informed decisions while preserving dignity, comprehension and trust.</w:t>
      </w:r>
    </w:p>
    <w:p>
      <w:pPr>
        <w:pStyle w:val="Corps"/>
        <w:bidi w:val="0"/>
      </w:pPr>
    </w:p>
    <w:p>
      <w:pPr>
        <w:pStyle w:val="Corps"/>
        <w:rPr>
          <w:b w:val="1"/>
          <w:bCs w:val="1"/>
        </w:rPr>
      </w:pPr>
      <w:r>
        <w:rPr>
          <w:b w:val="1"/>
          <w:bCs w:val="1"/>
          <w:rtl w:val="0"/>
          <w:lang w:val="en-US"/>
        </w:rPr>
        <w:t>2. Why it matters for Virtual Human Twins</w:t>
      </w:r>
    </w:p>
    <w:p>
      <w:pPr>
        <w:pStyle w:val="Corps"/>
        <w:bidi w:val="0"/>
      </w:pPr>
      <w:r>
        <w:rPr>
          <w:rtl w:val="0"/>
          <w:lang w:val="en-US"/>
        </w:rPr>
        <w:t>Virtual Human Twins may integrate large volumes of biomedical, behavioural and contextual information. Their scientific value can be limited if clinicians or patients cannot interpret the outputs, understand uncertainty, or see how a recommendation relates to an individual situation.</w:t>
      </w:r>
    </w:p>
    <w:p>
      <w:pPr>
        <w:pStyle w:val="Corps"/>
        <w:bidi w:val="0"/>
      </w:pPr>
      <w:r>
        <w:rPr>
          <w:rtl w:val="0"/>
          <w:lang w:val="en-US"/>
        </w:rPr>
        <w:t>A human-centred interface can translate complexity into meaningful interaction. It can also make consent, data provenance, confidence levels and decision pathways more visible, strengthening the responsible use of Virtual Human Twins in prevention and diagnosis.</w:t>
      </w:r>
    </w:p>
    <w:p>
      <w:pPr>
        <w:pStyle w:val="Corps"/>
        <w:bidi w:val="0"/>
      </w:pPr>
    </w:p>
    <w:p>
      <w:pPr>
        <w:pStyle w:val="Corps"/>
        <w:rPr>
          <w:b w:val="1"/>
          <w:bCs w:val="1"/>
        </w:rPr>
      </w:pPr>
      <w:r>
        <w:rPr>
          <w:b w:val="1"/>
          <w:bCs w:val="1"/>
          <w:rtl w:val="0"/>
          <w:lang w:val="en-US"/>
        </w:rPr>
        <w:t>3. Four design principles</w:t>
      </w:r>
    </w:p>
    <w:p>
      <w:pPr>
        <w:pStyle w:val="Corps"/>
        <w:bidi w:val="0"/>
      </w:pPr>
      <w:r>
        <w:rPr>
          <w:rtl w:val="0"/>
          <w:lang w:val="en-US"/>
        </w:rPr>
        <w:t>Legibility. Translate complex simulations and medical information into clear, understandable views for different users.</w:t>
      </w:r>
    </w:p>
    <w:p>
      <w:pPr>
        <w:pStyle w:val="Corps"/>
        <w:bidi w:val="0"/>
      </w:pPr>
      <w:r>
        <w:rPr>
          <w:rtl w:val="0"/>
          <w:lang w:val="en-US"/>
        </w:rPr>
        <w:t>Agency. Support informed consent, meaningful choices and appropriate control over personal data and interaction.</w:t>
      </w:r>
    </w:p>
    <w:p>
      <w:pPr>
        <w:pStyle w:val="Corps"/>
        <w:bidi w:val="0"/>
      </w:pPr>
      <w:r>
        <w:rPr>
          <w:rtl w:val="0"/>
          <w:lang w:val="en-US"/>
        </w:rPr>
        <w:t>Inclusion. Design for diverse bodies, abilities, languages, cultures and healthcare contexts.</w:t>
      </w:r>
    </w:p>
    <w:p>
      <w:pPr>
        <w:pStyle w:val="Corps"/>
        <w:bidi w:val="0"/>
      </w:pPr>
      <w:r>
        <w:rPr>
          <w:rtl w:val="0"/>
          <w:lang w:val="en-US"/>
        </w:rPr>
        <w:t>Trust. Make uncertainty, provenance, reasoning and the limits of the system visible and understandable.</w:t>
      </w:r>
    </w:p>
    <w:p>
      <w:pPr>
        <w:pStyle w:val="Corps"/>
        <w:bidi w:val="0"/>
      </w:pPr>
      <w:r>
        <w:rPr>
          <w:rtl w:val="0"/>
          <w:lang w:val="es-ES_tradnl"/>
        </w:rPr>
        <w:t>DESIGN QUESTION</w:t>
      </w:r>
      <w:r>
        <w:rPr>
          <w:rtl w:val="0"/>
          <w:lang w:val="fr-FR"/>
        </w:rPr>
        <w:t xml:space="preserve"> </w:t>
      </w:r>
      <w:r>
        <w:rPr>
          <w:rtl w:val="0"/>
          <w:lang w:val="en-US"/>
        </w:rPr>
        <w:t>How can a digital twin feel clinically useful without making the person feel reduced to data?</w:t>
      </w:r>
    </w:p>
    <w:p>
      <w:pPr>
        <w:pStyle w:val="Corps"/>
        <w:bidi w:val="0"/>
      </w:pPr>
    </w:p>
    <w:p>
      <w:pPr>
        <w:pStyle w:val="Corps"/>
        <w:rPr>
          <w:b w:val="1"/>
          <w:bCs w:val="1"/>
        </w:rPr>
      </w:pPr>
      <w:r>
        <w:rPr>
          <w:b w:val="1"/>
          <w:bCs w:val="1"/>
          <w:rtl w:val="0"/>
          <w:lang w:val="en-US"/>
        </w:rPr>
        <w:t>4. ESSTED's proposed contribution</w:t>
      </w:r>
    </w:p>
    <w:p>
      <w:pPr>
        <w:pStyle w:val="Corps"/>
        <w:bidi w:val="0"/>
      </w:pPr>
      <w:r>
        <w:rPr>
          <w:rtl w:val="0"/>
          <w:lang w:val="en-US"/>
        </w:rPr>
        <w:t>ESSTED proposes to contribute design expertise that connects technical and clinical development with the needs, capacities and experiences of end users. Its role can be integrated into a dedicated work package or distributed across co-design, prototyping, validation and communication activities.</w:t>
      </w:r>
    </w:p>
    <w:p>
      <w:pPr>
        <w:pStyle w:val="Corps"/>
        <w:bidi w:val="0"/>
      </w:pPr>
      <w:r>
        <w:rPr>
          <w:rtl w:val="0"/>
          <w:lang w:val="en-US"/>
        </w:rPr>
        <w:t>Participatory research and co-design with patients, clinicians and other stakeholders.</w:t>
      </w:r>
    </w:p>
    <w:p>
      <w:pPr>
        <w:pStyle w:val="Corps"/>
        <w:bidi w:val="0"/>
      </w:pPr>
      <w:r>
        <w:rPr>
          <w:rtl w:val="0"/>
          <w:lang w:val="en-US"/>
        </w:rPr>
        <w:t>User journeys, interaction architecture and user-experience design.</w:t>
      </w:r>
    </w:p>
    <w:p>
      <w:pPr>
        <w:pStyle w:val="Corps"/>
        <w:bidi w:val="0"/>
      </w:pPr>
      <w:r>
        <w:rPr>
          <w:rtl w:val="0"/>
          <w:lang w:val="en-US"/>
        </w:rPr>
        <w:t>Information visualisation for Virtual Human Twin simulations and clinical decision support.</w:t>
      </w:r>
    </w:p>
    <w:p>
      <w:pPr>
        <w:pStyle w:val="Corps"/>
        <w:bidi w:val="0"/>
      </w:pPr>
      <w:r>
        <w:rPr>
          <w:rtl w:val="0"/>
          <w:lang w:val="en-US"/>
        </w:rPr>
        <w:t>Accessible interface concepts, interactive prototypes and usability evaluation.</w:t>
      </w:r>
    </w:p>
    <w:p>
      <w:pPr>
        <w:pStyle w:val="Corps"/>
        <w:bidi w:val="0"/>
      </w:pPr>
      <w:r>
        <w:rPr>
          <w:rtl w:val="0"/>
          <w:lang w:val="en-US"/>
        </w:rPr>
        <w:t>Visual and audiovisual communication for complex health information.</w:t>
      </w:r>
    </w:p>
    <w:p>
      <w:pPr>
        <w:pStyle w:val="Corps"/>
        <w:bidi w:val="0"/>
      </w:pPr>
      <w:r>
        <w:rPr>
          <w:rtl w:val="0"/>
          <w:lang w:val="en-US"/>
        </w:rPr>
        <w:t>Design methods supporting inclusion, cultural relevance, ethics and patient agency.</w:t>
      </w:r>
    </w:p>
    <w:p>
      <w:pPr>
        <w:pStyle w:val="Corps"/>
        <w:bidi w:val="0"/>
      </w:pPr>
    </w:p>
    <w:p>
      <w:pPr>
        <w:pStyle w:val="Corps"/>
        <w:rPr>
          <w:b w:val="1"/>
          <w:bCs w:val="1"/>
        </w:rPr>
      </w:pPr>
      <w:r>
        <w:rPr>
          <w:b w:val="1"/>
          <w:bCs w:val="1"/>
          <w:rtl w:val="0"/>
          <w:lang w:val="en-US"/>
        </w:rPr>
        <w:t>5. Proposed design activities</w:t>
      </w:r>
    </w:p>
    <w:p>
      <w:pPr>
        <w:pStyle w:val="Corps"/>
        <w:bidi w:val="0"/>
      </w:pPr>
      <w:r>
        <w:rPr>
          <w:rtl w:val="0"/>
          <w:lang w:val="en-US"/>
        </w:rPr>
        <w:t>LISTEN - Map user journeys, needs, barriers and care contexts through interviews, observation and participatory workshops.</w:t>
      </w:r>
    </w:p>
    <w:p>
      <w:pPr>
        <w:pStyle w:val="Corps"/>
        <w:bidi w:val="0"/>
      </w:pPr>
      <w:r>
        <w:rPr>
          <w:rtl w:val="0"/>
          <w:lang w:val="en-US"/>
        </w:rPr>
        <w:t>FRAME - Translate clinical scenarios, technical constraints and ethical requirements into design principles and interface requirements.</w:t>
      </w:r>
    </w:p>
    <w:p>
      <w:pPr>
        <w:pStyle w:val="Corps"/>
        <w:bidi w:val="0"/>
      </w:pPr>
      <w:r>
        <w:rPr>
          <w:rtl w:val="0"/>
          <w:lang w:val="en-US"/>
        </w:rPr>
        <w:t>PROTOTYPE - Develop information architectures, workflows, dashboards, visual languages and explainability cues.</w:t>
      </w:r>
    </w:p>
    <w:p>
      <w:pPr>
        <w:pStyle w:val="Corps"/>
        <w:bidi w:val="0"/>
      </w:pPr>
      <w:r>
        <w:rPr>
          <w:rtl w:val="0"/>
          <w:lang w:val="en-US"/>
        </w:rPr>
        <w:t>VALIDATE - Evaluate accessibility, comprehension, usability, trust and the user's sense of agency and belonging.</w:t>
      </w:r>
    </w:p>
    <w:p>
      <w:pPr>
        <w:pStyle w:val="Corps"/>
        <w:bidi w:val="0"/>
      </w:pPr>
    </w:p>
    <w:p>
      <w:pPr>
        <w:pStyle w:val="Corps"/>
        <w:rPr>
          <w:b w:val="1"/>
          <w:bCs w:val="1"/>
        </w:rPr>
      </w:pPr>
      <w:r>
        <w:rPr>
          <w:b w:val="1"/>
          <w:bCs w:val="1"/>
          <w:rtl w:val="0"/>
          <w:lang w:val="en-US"/>
        </w:rPr>
        <w:t>6. Expected outputs</w:t>
      </w:r>
    </w:p>
    <w:p>
      <w:pPr>
        <w:pStyle w:val="Corps"/>
        <w:bidi w:val="0"/>
      </w:pPr>
      <w:r>
        <w:rPr>
          <w:rtl w:val="0"/>
          <w:lang w:val="en-US"/>
        </w:rPr>
        <w:t>A user-needs and stakeholder-insights report.</w:t>
      </w:r>
    </w:p>
    <w:p>
      <w:pPr>
        <w:pStyle w:val="Corps"/>
        <w:bidi w:val="0"/>
      </w:pPr>
      <w:r>
        <w:rPr>
          <w:rtl w:val="0"/>
          <w:lang w:val="en-US"/>
        </w:rPr>
        <w:t>Design requirements and interaction principles for Virtual Human Twin interfaces.</w:t>
      </w:r>
    </w:p>
    <w:p>
      <w:pPr>
        <w:pStyle w:val="Corps"/>
        <w:bidi w:val="0"/>
      </w:pPr>
      <w:r>
        <w:rPr>
          <w:rtl w:val="0"/>
          <w:lang w:val="en-US"/>
        </w:rPr>
        <w:t>Interface concepts and interactive prototypes.</w:t>
      </w:r>
    </w:p>
    <w:p>
      <w:pPr>
        <w:pStyle w:val="Corps"/>
        <w:bidi w:val="0"/>
      </w:pPr>
      <w:r>
        <w:rPr>
          <w:rtl w:val="0"/>
          <w:lang w:val="en-US"/>
        </w:rPr>
        <w:t>A visual language and information architecture for clinical and patient-facing views.</w:t>
      </w:r>
    </w:p>
    <w:p>
      <w:pPr>
        <w:pStyle w:val="Corps"/>
        <w:bidi w:val="0"/>
      </w:pPr>
      <w:r>
        <w:rPr>
          <w:rtl w:val="0"/>
          <w:lang w:val="en-US"/>
        </w:rPr>
        <w:t>An accessibility, usability and trust evaluation protocol.</w:t>
      </w:r>
    </w:p>
    <w:p>
      <w:pPr>
        <w:pStyle w:val="Corps"/>
        <w:bidi w:val="0"/>
      </w:pPr>
      <w:r>
        <w:rPr>
          <w:rtl w:val="0"/>
          <w:lang w:val="en-US"/>
        </w:rPr>
        <w:t>Patient-facing visual and audiovisual communication assets.</w:t>
      </w:r>
    </w:p>
    <w:p>
      <w:pPr>
        <w:pStyle w:val="Corps"/>
        <w:bidi w:val="0"/>
      </w:pPr>
      <w:r>
        <w:rPr>
          <w:rFonts w:ascii="Arial Unicode MS" w:cs="Arial Unicode MS" w:hAnsi="Arial Unicode MS" w:eastAsia="Arial Unicode MS"/>
          <w:b w:val="0"/>
          <w:bCs w:val="0"/>
          <w:i w:val="0"/>
          <w:iCs w:val="0"/>
        </w:rPr>
        <w:br w:type="column"/>
      </w:r>
    </w:p>
    <w:p>
      <w:pPr>
        <w:pStyle w:val="Corps"/>
        <w:rPr>
          <w:b w:val="1"/>
          <w:bCs w:val="1"/>
        </w:rPr>
      </w:pPr>
      <w:r>
        <w:rPr>
          <w:b w:val="1"/>
          <w:bCs w:val="1"/>
          <w:rtl w:val="0"/>
          <w:lang w:val="en-US"/>
        </w:rPr>
        <w:t>7. Partnership sought</w:t>
      </w:r>
    </w:p>
    <w:p>
      <w:pPr>
        <w:pStyle w:val="Corps"/>
        <w:bidi w:val="0"/>
      </w:pPr>
      <w:r>
        <w:rPr>
          <w:rtl w:val="0"/>
          <w:lang w:val="en-US"/>
        </w:rPr>
        <w:t>ESSTED is interested in joining a multidisciplinary consortium preparing a proposal for HORIZON-HLTH-2027-03-TOOL-04. We are particularly interested in collaborating with:</w:t>
      </w:r>
    </w:p>
    <w:p>
      <w:pPr>
        <w:pStyle w:val="Corps"/>
        <w:bidi w:val="0"/>
      </w:pPr>
      <w:r>
        <w:rPr>
          <w:rtl w:val="0"/>
          <w:lang w:val="en-US"/>
        </w:rPr>
        <w:t>Clinical and healthcare research organisations.</w:t>
      </w:r>
    </w:p>
    <w:p>
      <w:pPr>
        <w:pStyle w:val="Corps"/>
        <w:bidi w:val="0"/>
      </w:pPr>
      <w:r>
        <w:rPr>
          <w:rtl w:val="0"/>
          <w:lang w:val="en-US"/>
        </w:rPr>
        <w:t>Virtual Human Twin, biomedical modelling and artificial intelligence specialists.</w:t>
      </w:r>
    </w:p>
    <w:p>
      <w:pPr>
        <w:pStyle w:val="Corps"/>
        <w:bidi w:val="0"/>
      </w:pPr>
      <w:r>
        <w:rPr>
          <w:rtl w:val="0"/>
          <w:lang w:val="en-US"/>
        </w:rPr>
        <w:t>Hospitals, clinicians and healthcare providers.</w:t>
      </w:r>
    </w:p>
    <w:p>
      <w:pPr>
        <w:pStyle w:val="Corps"/>
        <w:bidi w:val="0"/>
      </w:pPr>
      <w:r>
        <w:rPr>
          <w:rtl w:val="0"/>
          <w:lang w:val="en-US"/>
        </w:rPr>
        <w:t>Patient organisations and accessibility experts.</w:t>
      </w:r>
    </w:p>
    <w:p>
      <w:pPr>
        <w:pStyle w:val="Corps"/>
        <w:bidi w:val="0"/>
      </w:pPr>
      <w:r>
        <w:rPr>
          <w:rtl w:val="0"/>
          <w:lang w:val="en-US"/>
        </w:rPr>
        <w:t>Ethics, governance, data-protection and responsible-innovation partners.</w:t>
      </w:r>
    </w:p>
    <w:p>
      <w:pPr>
        <w:pStyle w:val="Corps"/>
        <w:bidi w:val="0"/>
      </w:pPr>
      <w:r>
        <w:rPr>
          <w:rtl w:val="0"/>
          <w:lang w:val="en-US"/>
        </w:rPr>
        <w:t>An experienced Horizon Europe coordinator and proposal-development team.</w:t>
      </w:r>
    </w:p>
    <w:p>
      <w:pPr>
        <w:pStyle w:val="Corps"/>
        <w:bidi w:val="0"/>
      </w:pPr>
    </w:p>
    <w:p>
      <w:pPr>
        <w:pStyle w:val="Corps"/>
        <w:rPr>
          <w:b w:val="1"/>
          <w:bCs w:val="1"/>
        </w:rPr>
      </w:pPr>
      <w:r>
        <w:rPr>
          <w:b w:val="1"/>
          <w:bCs w:val="1"/>
          <w:rtl w:val="0"/>
          <w:lang w:val="en-US"/>
        </w:rPr>
        <w:t>8. Added value for the consortium</w:t>
      </w:r>
    </w:p>
    <w:p>
      <w:pPr>
        <w:pStyle w:val="Corps"/>
        <w:bidi w:val="0"/>
      </w:pPr>
      <w:r>
        <w:rPr>
          <w:rtl w:val="0"/>
          <w:lang w:val="en-US"/>
        </w:rPr>
        <w:t>The Interface of Belonging perspective complements clinical and technological excellence with a distinct human-centred design contribution. It can help ensure that Virtual Human Twin solutions are not only technically robust, but also understandable, accessible, ethically communicated and usable in real healthcare settings.</w:t>
      </w:r>
    </w:p>
    <w:p>
      <w:pPr>
        <w:pStyle w:val="Corps"/>
        <w:bidi w:val="0"/>
      </w:pPr>
      <w:r>
        <w:rPr>
          <w:rtl w:val="0"/>
          <w:lang w:val="en-US"/>
        </w:rPr>
        <w:t>By involving users throughout the process, the approach can strengthen relevance, acceptance and responsible adoption while producing transferable interface principles and communication resources for European healthcare contexts.</w:t>
      </w:r>
    </w:p>
    <w:p>
      <w:pPr>
        <w:pStyle w:val="Corps"/>
        <w:bidi w:val="0"/>
      </w:pPr>
    </w:p>
    <w:p>
      <w:pPr>
        <w:pStyle w:val="Corps"/>
        <w:rPr>
          <w:b w:val="1"/>
          <w:bCs w:val="1"/>
        </w:rPr>
      </w:pPr>
      <w:r>
        <w:rPr>
          <w:b w:val="1"/>
          <w:bCs w:val="1"/>
          <w:rtl w:val="0"/>
          <w:lang w:val="en-US"/>
        </w:rPr>
        <w:t>9. About ESSTED</w:t>
      </w:r>
    </w:p>
    <w:p>
      <w:pPr>
        <w:pStyle w:val="Corps"/>
        <w:bidi w:val="0"/>
      </w:pPr>
      <w:r>
        <w:rPr>
          <w:rtl w:val="0"/>
          <w:lang w:val="en-US"/>
        </w:rPr>
        <w:t>The Higher School of Design Sciences and Technologies (ESSTED) is a public higher-education institution of the University of Manouba, Tunisia. Its expertise spans image design, visual communication, audiovisual creation, interaction design and design-related technologies.</w:t>
      </w:r>
    </w:p>
    <w:p>
      <w:pPr>
        <w:pStyle w:val="Corps"/>
        <w:bidi w:val="0"/>
      </w:pPr>
      <w:r>
        <w:rPr>
          <w:rtl w:val="0"/>
          <w:lang w:val="en-US"/>
        </w:rPr>
        <w:t>ESSTED brings together academics, students and design professionals and seeks to contribute its creative, critical and human-centred capabilities to multidisciplinary European research and innovation projects.</w:t>
      </w:r>
    </w:p>
    <w:p>
      <w:pPr>
        <w:pStyle w:val="Corps"/>
        <w:bidi w:val="0"/>
      </w:pPr>
    </w:p>
    <w:p>
      <w:pPr>
        <w:pStyle w:val="Corps"/>
        <w:bidi w:val="0"/>
      </w:pPr>
      <w:r>
        <w:rPr>
          <w:rtl w:val="0"/>
          <w:lang w:val="de-DE"/>
        </w:rPr>
        <w:t>COOPERATION PROFILE</w:t>
      </w:r>
      <w:r>
        <w:rPr>
          <w:rtl w:val="0"/>
          <w:lang w:val="fr-FR"/>
        </w:rPr>
        <w:t xml:space="preserve"> </w:t>
      </w:r>
      <w:r>
        <w:rPr>
          <w:rtl w:val="0"/>
          <w:lang w:val="en-US"/>
        </w:rPr>
        <w:t>Contact</w:t>
      </w:r>
      <w:r>
        <w:rPr>
          <w:rtl w:val="0"/>
          <w:lang w:val="fr-FR"/>
        </w:rPr>
        <w:t xml:space="preserve"> </w:t>
      </w:r>
      <w:r>
        <w:rPr>
          <w:rtl w:val="0"/>
          <w:lang w:val="en-US"/>
        </w:rPr>
        <w:t>: Head of the Image Design Department | ESSTED | University of Manouba | Tunisia |</w:t>
      </w:r>
    </w:p>
    <w:p>
      <w:pPr>
        <w:pStyle w:val="Corps"/>
        <w:bidi w:val="0"/>
      </w:pPr>
      <w:r>
        <w:rPr>
          <w:rtl w:val="0"/>
          <w:lang w:val="fr-FR"/>
        </w:rPr>
        <w:t>Ghassen.khemakhem@essted.uma.tn</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orps">
    <w:name w:val="Corps"/>
    <w:next w:val="Corps"/>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Titre">
    <w:name w:val="Titre"/>
    <w:next w:val="Corps"/>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60"/>
      <w:szCs w:val="60"/>
      <w:u w:val="none"/>
      <w:shd w:val="nil" w:color="auto" w:fill="auto"/>
      <w:vertAlign w:val="baseline"/>
      <w14:textOutline>
        <w14:noFill/>
      </w14:textOutline>
      <w14:textFill>
        <w14:solidFill>
          <w14:srgbClr w14:val="000000"/>
        </w14:solidFill>
      </w14:textFill>
    </w:rPr>
  </w:style>
  <w:style w:type="paragraph" w:styleId="Titre 2">
    <w:name w:val="Titre 2"/>
    <w:next w:val="Corps"/>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