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941EE" w14:textId="77777777" w:rsidR="001C6C9E" w:rsidRPr="008C712B" w:rsidRDefault="001C6C9E" w:rsidP="00211D0B">
      <w:pPr>
        <w:jc w:val="center"/>
        <w:rPr>
          <w:rFonts w:asciiTheme="minorBidi" w:hAnsiTheme="minorBidi" w:cstheme="minorBidi"/>
        </w:rPr>
      </w:pPr>
    </w:p>
    <w:p w14:paraId="2DD07EE1" w14:textId="77777777" w:rsidR="004178D0" w:rsidRPr="008C712B" w:rsidRDefault="004178D0" w:rsidP="00211D0B">
      <w:pPr>
        <w:jc w:val="center"/>
        <w:rPr>
          <w:rFonts w:asciiTheme="minorBidi" w:hAnsiTheme="minorBidi" w:cstheme="minorBidi"/>
        </w:rPr>
      </w:pPr>
    </w:p>
    <w:p w14:paraId="04801DC0" w14:textId="77777777" w:rsidR="001C6C9E" w:rsidRPr="008C712B" w:rsidRDefault="001C6C9E" w:rsidP="00211D0B">
      <w:pPr>
        <w:jc w:val="center"/>
        <w:rPr>
          <w:rFonts w:asciiTheme="minorBidi" w:hAnsiTheme="minorBidi" w:cstheme="minorBidi"/>
        </w:rPr>
      </w:pPr>
    </w:p>
    <w:p w14:paraId="0C7B90C9" w14:textId="438A1DAE" w:rsidR="001C6C9E" w:rsidRPr="001940B0" w:rsidRDefault="000832CA" w:rsidP="00211D0B">
      <w:pPr>
        <w:pStyle w:val="Title"/>
        <w:jc w:val="center"/>
        <w:rPr>
          <w:rFonts w:ascii="Arial" w:hAnsi="Arial" w:cs="Arial"/>
          <w:b/>
          <w:bCs/>
          <w:sz w:val="28"/>
          <w:szCs w:val="28"/>
        </w:rPr>
      </w:pPr>
      <w:r>
        <w:rPr>
          <w:rFonts w:ascii="Arial" w:hAnsi="Arial" w:cs="Arial"/>
          <w:b/>
          <w:bCs/>
          <w:sz w:val="28"/>
          <w:szCs w:val="28"/>
        </w:rPr>
        <w:t>HOW AI IS SHAPING ENGINEERING EDUCATION: OPPORTUN</w:t>
      </w:r>
      <w:r w:rsidR="00E61F3B">
        <w:rPr>
          <w:rFonts w:ascii="Arial" w:hAnsi="Arial" w:cs="Arial"/>
          <w:b/>
          <w:bCs/>
          <w:sz w:val="28"/>
          <w:szCs w:val="28"/>
        </w:rPr>
        <w:t>IT</w:t>
      </w:r>
      <w:r>
        <w:rPr>
          <w:rFonts w:ascii="Arial" w:hAnsi="Arial" w:cs="Arial"/>
          <w:b/>
          <w:bCs/>
          <w:sz w:val="28"/>
          <w:szCs w:val="28"/>
        </w:rPr>
        <w:t>I</w:t>
      </w:r>
      <w:r w:rsidR="00E61F3B">
        <w:rPr>
          <w:rFonts w:ascii="Arial" w:hAnsi="Arial" w:cs="Arial"/>
          <w:b/>
          <w:bCs/>
          <w:sz w:val="28"/>
          <w:szCs w:val="28"/>
        </w:rPr>
        <w:t>E</w:t>
      </w:r>
      <w:r>
        <w:rPr>
          <w:rFonts w:ascii="Arial" w:hAnsi="Arial" w:cs="Arial"/>
          <w:b/>
          <w:bCs/>
          <w:sz w:val="28"/>
          <w:szCs w:val="28"/>
        </w:rPr>
        <w:t>S AND RISKS FOR THE NEXT GENERATIONS</w:t>
      </w:r>
    </w:p>
    <w:p w14:paraId="632D5074" w14:textId="77777777" w:rsidR="001C6C9E" w:rsidRPr="001940B0" w:rsidRDefault="001C6C9E" w:rsidP="00211D0B"/>
    <w:p w14:paraId="2234A155" w14:textId="77777777" w:rsidR="00A95118" w:rsidRPr="001940B0" w:rsidRDefault="00A95118" w:rsidP="00211D0B"/>
    <w:p w14:paraId="5324DB3A" w14:textId="5A9F72DB" w:rsidR="003374BC" w:rsidRPr="001940B0" w:rsidRDefault="000832CA" w:rsidP="00211D0B">
      <w:pPr>
        <w:jc w:val="center"/>
        <w:rPr>
          <w:b/>
        </w:rPr>
      </w:pPr>
      <w:r>
        <w:t>M. Shahria Alam</w:t>
      </w:r>
      <w:proofErr w:type="gramStart"/>
      <w:r w:rsidR="003374BC" w:rsidRPr="001940B0">
        <w:rPr>
          <w:vertAlign w:val="superscript"/>
        </w:rPr>
        <w:t>1</w:t>
      </w:r>
      <w:r>
        <w:rPr>
          <w:vertAlign w:val="superscript"/>
        </w:rPr>
        <w:t>,</w:t>
      </w:r>
      <w:r w:rsidRPr="001940B0">
        <w:rPr>
          <w:b/>
        </w:rPr>
        <w:t>*</w:t>
      </w:r>
      <w:proofErr w:type="gramEnd"/>
      <w:r w:rsidR="003374BC" w:rsidRPr="001940B0">
        <w:t xml:space="preserve">, </w:t>
      </w:r>
      <w:r>
        <w:t>and Ibrahim A. Tijani</w:t>
      </w:r>
      <w:r w:rsidR="00075E85" w:rsidRPr="001940B0">
        <w:rPr>
          <w:vertAlign w:val="superscript"/>
        </w:rPr>
        <w:t>1</w:t>
      </w:r>
    </w:p>
    <w:p w14:paraId="6E6E41B9" w14:textId="77777777" w:rsidR="00B13A02" w:rsidRPr="001940B0" w:rsidRDefault="00B13A02" w:rsidP="00211D0B"/>
    <w:p w14:paraId="26747108" w14:textId="4AE4B12A" w:rsidR="00FA49F3" w:rsidRPr="001940B0" w:rsidRDefault="003E7772" w:rsidP="00075E85">
      <w:pPr>
        <w:jc w:val="center"/>
      </w:pPr>
      <w:r w:rsidRPr="001940B0">
        <w:rPr>
          <w:vertAlign w:val="superscript"/>
        </w:rPr>
        <w:t>1</w:t>
      </w:r>
      <w:r w:rsidR="005B722A" w:rsidRPr="001940B0">
        <w:t xml:space="preserve"> </w:t>
      </w:r>
      <w:r w:rsidR="0001127F">
        <w:rPr>
          <w:rFonts w:eastAsia="Arial"/>
        </w:rPr>
        <w:t>School of Engineering, The University of British Columbia, Kelowna, British Columbia, Canada</w:t>
      </w:r>
    </w:p>
    <w:p w14:paraId="34FFA0F4" w14:textId="77777777" w:rsidR="00FA49F3" w:rsidRPr="008C712B" w:rsidRDefault="00FA49F3" w:rsidP="00436A92">
      <w:pPr>
        <w:rPr>
          <w:rFonts w:asciiTheme="minorBidi" w:hAnsiTheme="minorBidi" w:cstheme="minorBidi"/>
        </w:rPr>
      </w:pPr>
    </w:p>
    <w:p w14:paraId="61FFF25F" w14:textId="77777777" w:rsidR="003E7772" w:rsidRPr="008C712B" w:rsidRDefault="003E7772" w:rsidP="00211D0B">
      <w:pPr>
        <w:rPr>
          <w:rFonts w:asciiTheme="minorBidi" w:hAnsiTheme="minorBidi" w:cstheme="minorBidi"/>
        </w:rPr>
      </w:pPr>
    </w:p>
    <w:p w14:paraId="6336E54E" w14:textId="2875F44D" w:rsidR="00D40E42" w:rsidRPr="001940B0" w:rsidRDefault="00402FC9" w:rsidP="00D40E42">
      <w:r w:rsidRPr="001940B0">
        <w:rPr>
          <w:rStyle w:val="Strong"/>
        </w:rPr>
        <w:t>ABSTRACT</w:t>
      </w:r>
      <w:r w:rsidR="008F1812" w:rsidRPr="001940B0">
        <w:rPr>
          <w:rStyle w:val="Strong"/>
        </w:rPr>
        <w:t xml:space="preserve">: </w:t>
      </w:r>
      <w:r w:rsidR="000832CA">
        <w:rPr>
          <w:rFonts w:eastAsia="Arial"/>
        </w:rPr>
        <w:t xml:space="preserve">Artificial intelligence (AI) is </w:t>
      </w:r>
      <w:r w:rsidR="00BC5F2B">
        <w:rPr>
          <w:rFonts w:eastAsia="Arial"/>
        </w:rPr>
        <w:t>rapidly</w:t>
      </w:r>
      <w:r w:rsidR="000832CA">
        <w:rPr>
          <w:rFonts w:eastAsia="Arial"/>
        </w:rPr>
        <w:t xml:space="preserve"> reshaping engineering education through generative AI, intelligent tutoring </w:t>
      </w:r>
      <w:r w:rsidR="00CF48AB">
        <w:rPr>
          <w:rFonts w:eastAsia="Arial"/>
        </w:rPr>
        <w:t>schemes</w:t>
      </w:r>
      <w:r w:rsidR="000832CA">
        <w:rPr>
          <w:rFonts w:eastAsia="Arial"/>
        </w:rPr>
        <w:t xml:space="preserve">, automated </w:t>
      </w:r>
      <w:r w:rsidR="00CF48AB">
        <w:rPr>
          <w:rFonts w:eastAsia="Arial"/>
        </w:rPr>
        <w:t>response</w:t>
      </w:r>
      <w:r w:rsidR="000832CA">
        <w:rPr>
          <w:rFonts w:eastAsia="Arial"/>
        </w:rPr>
        <w:t xml:space="preserve"> tools, and AI-enabled simulation platforms. This paper discusses the </w:t>
      </w:r>
      <w:r w:rsidR="00C97F88">
        <w:rPr>
          <w:rFonts w:eastAsia="Arial"/>
        </w:rPr>
        <w:t>key opportunities and risks of</w:t>
      </w:r>
      <w:r w:rsidR="000832CA">
        <w:rPr>
          <w:rFonts w:eastAsia="Arial"/>
        </w:rPr>
        <w:t xml:space="preserve"> AI a</w:t>
      </w:r>
      <w:r w:rsidR="00F50FD2">
        <w:rPr>
          <w:rFonts w:eastAsia="Arial"/>
        </w:rPr>
        <w:t>doption in engineering programs</w:t>
      </w:r>
      <w:r w:rsidR="000832CA">
        <w:rPr>
          <w:rFonts w:eastAsia="Arial"/>
        </w:rPr>
        <w:t xml:space="preserve">. </w:t>
      </w:r>
      <w:r w:rsidR="00F50FD2">
        <w:rPr>
          <w:rFonts w:eastAsia="Arial"/>
        </w:rPr>
        <w:t xml:space="preserve">Generally, </w:t>
      </w:r>
      <w:r w:rsidR="000832CA">
        <w:rPr>
          <w:rFonts w:eastAsia="Arial"/>
        </w:rPr>
        <w:t xml:space="preserve">AI can support personalized learning, multilingual </w:t>
      </w:r>
      <w:r w:rsidR="00C97F88">
        <w:rPr>
          <w:rFonts w:eastAsia="Arial"/>
        </w:rPr>
        <w:t>assistance, increased productivity in coding and data analysis, and exposure to industry-relevant</w:t>
      </w:r>
      <w:r w:rsidR="000832CA">
        <w:rPr>
          <w:rFonts w:eastAsia="Arial"/>
        </w:rPr>
        <w:t xml:space="preserve"> applications. </w:t>
      </w:r>
      <w:r w:rsidR="007B19C0">
        <w:rPr>
          <w:rFonts w:eastAsia="Arial"/>
        </w:rPr>
        <w:t>Nevertheless</w:t>
      </w:r>
      <w:r w:rsidR="000832CA">
        <w:rPr>
          <w:rFonts w:eastAsia="Arial"/>
        </w:rPr>
        <w:t xml:space="preserve">, </w:t>
      </w:r>
      <w:r w:rsidR="007B19C0">
        <w:rPr>
          <w:rFonts w:eastAsia="Arial"/>
        </w:rPr>
        <w:t>indiscriminate</w:t>
      </w:r>
      <w:r w:rsidR="000832CA">
        <w:rPr>
          <w:rFonts w:eastAsia="Arial"/>
        </w:rPr>
        <w:t xml:space="preserve"> </w:t>
      </w:r>
      <w:r w:rsidR="00DD316E">
        <w:rPr>
          <w:rFonts w:eastAsia="Arial"/>
        </w:rPr>
        <w:t>adoption</w:t>
      </w:r>
      <w:r w:rsidR="000832CA">
        <w:rPr>
          <w:rFonts w:eastAsia="Arial"/>
        </w:rPr>
        <w:t xml:space="preserve"> may </w:t>
      </w:r>
      <w:r w:rsidR="00A8182F">
        <w:rPr>
          <w:rFonts w:eastAsia="Arial"/>
        </w:rPr>
        <w:t>weaken</w:t>
      </w:r>
      <w:r w:rsidR="000832CA">
        <w:rPr>
          <w:rFonts w:eastAsia="Arial"/>
        </w:rPr>
        <w:t xml:space="preserve"> foundational analytical skills, increase overdependence, complicate </w:t>
      </w:r>
      <w:r w:rsidR="007B19C0">
        <w:rPr>
          <w:rFonts w:eastAsia="Arial"/>
        </w:rPr>
        <w:t>evaluation</w:t>
      </w:r>
      <w:r w:rsidR="000832CA">
        <w:rPr>
          <w:rFonts w:eastAsia="Arial"/>
        </w:rPr>
        <w:t xml:space="preserve">, and </w:t>
      </w:r>
      <w:r w:rsidR="00154AEC">
        <w:rPr>
          <w:rFonts w:eastAsia="Arial"/>
        </w:rPr>
        <w:t>widen</w:t>
      </w:r>
      <w:r w:rsidR="000832CA">
        <w:rPr>
          <w:rFonts w:eastAsia="Arial"/>
        </w:rPr>
        <w:t xml:space="preserve"> inequities in acce</w:t>
      </w:r>
      <w:r w:rsidR="00686074">
        <w:rPr>
          <w:rFonts w:eastAsia="Arial"/>
        </w:rPr>
        <w:t>ssibility</w:t>
      </w:r>
      <w:r w:rsidR="000832CA">
        <w:rPr>
          <w:rFonts w:eastAsia="Arial"/>
        </w:rPr>
        <w:t xml:space="preserve">. The paper argues that AI should be </w:t>
      </w:r>
      <w:r w:rsidR="005B5B55">
        <w:rPr>
          <w:rFonts w:eastAsia="Arial"/>
        </w:rPr>
        <w:t>integrated</w:t>
      </w:r>
      <w:r w:rsidR="000832CA">
        <w:rPr>
          <w:rFonts w:eastAsia="Arial"/>
        </w:rPr>
        <w:t xml:space="preserve"> as a supervised learning </w:t>
      </w:r>
      <w:r w:rsidR="005B5B55">
        <w:rPr>
          <w:rFonts w:eastAsia="Arial"/>
        </w:rPr>
        <w:t>tool</w:t>
      </w:r>
      <w:r w:rsidR="000832CA">
        <w:rPr>
          <w:rFonts w:eastAsia="Arial"/>
        </w:rPr>
        <w:t xml:space="preserve"> rather than a substitute for engineering judgment. </w:t>
      </w:r>
      <w:r w:rsidR="008D7AB0">
        <w:rPr>
          <w:rFonts w:eastAsia="Arial"/>
        </w:rPr>
        <w:t>Th</w:t>
      </w:r>
      <w:r w:rsidR="00796734">
        <w:rPr>
          <w:rFonts w:eastAsia="Arial"/>
        </w:rPr>
        <w:t>us</w:t>
      </w:r>
      <w:r w:rsidR="008D7AB0">
        <w:rPr>
          <w:rFonts w:eastAsia="Arial"/>
        </w:rPr>
        <w:t>, e</w:t>
      </w:r>
      <w:r w:rsidR="000832CA">
        <w:rPr>
          <w:rFonts w:eastAsia="Arial"/>
        </w:rPr>
        <w:t>ngineering curricula must combine AI literacy, ethics, transparent us</w:t>
      </w:r>
      <w:r w:rsidR="008C10A4">
        <w:rPr>
          <w:rFonts w:eastAsia="Arial"/>
        </w:rPr>
        <w:t>ag</w:t>
      </w:r>
      <w:r w:rsidR="000832CA">
        <w:rPr>
          <w:rFonts w:eastAsia="Arial"/>
        </w:rPr>
        <w:t xml:space="preserve">e policies, and redesigned </w:t>
      </w:r>
      <w:r w:rsidR="008C10A4">
        <w:rPr>
          <w:rFonts w:eastAsia="Arial"/>
        </w:rPr>
        <w:t>evaluations</w:t>
      </w:r>
      <w:r w:rsidR="000832CA">
        <w:rPr>
          <w:rFonts w:eastAsia="Arial"/>
        </w:rPr>
        <w:t xml:space="preserve"> that preserv</w:t>
      </w:r>
      <w:r w:rsidR="008C10A4">
        <w:rPr>
          <w:rFonts w:eastAsia="Arial"/>
        </w:rPr>
        <w:t>e critical thinking and problem</w:t>
      </w:r>
      <w:r w:rsidR="00C97F88">
        <w:rPr>
          <w:rFonts w:eastAsia="Arial"/>
        </w:rPr>
        <w:t>-</w:t>
      </w:r>
      <w:r w:rsidR="000832CA">
        <w:rPr>
          <w:rFonts w:eastAsia="Arial"/>
        </w:rPr>
        <w:t>solving capacity.</w:t>
      </w:r>
    </w:p>
    <w:p w14:paraId="50C046A6" w14:textId="4C07D639" w:rsidR="00211D0B" w:rsidRPr="001940B0" w:rsidRDefault="00211D0B" w:rsidP="00D40E42"/>
    <w:p w14:paraId="025454A8" w14:textId="77777777" w:rsidR="004A6021" w:rsidRPr="001940B0" w:rsidRDefault="004A6021" w:rsidP="00211D0B"/>
    <w:p w14:paraId="08D64B4C" w14:textId="5583671A" w:rsidR="00652422" w:rsidRPr="001940B0" w:rsidRDefault="00210893" w:rsidP="0048089B">
      <w:pPr>
        <w:pStyle w:val="Heading1"/>
        <w:rPr>
          <w:rFonts w:ascii="Arial" w:hAnsi="Arial" w:cs="Arial"/>
        </w:rPr>
      </w:pPr>
      <w:r>
        <w:rPr>
          <w:rFonts w:ascii="Arial" w:hAnsi="Arial" w:cs="Arial"/>
        </w:rPr>
        <w:t>Introduction</w:t>
      </w:r>
    </w:p>
    <w:p w14:paraId="3EB73C54" w14:textId="77777777" w:rsidR="00B14B6F" w:rsidRPr="001940B0" w:rsidRDefault="00B14B6F" w:rsidP="00B14B6F">
      <w:pPr>
        <w:rPr>
          <w:lang w:val="en-US" w:eastAsia="es-ES"/>
        </w:rPr>
      </w:pPr>
    </w:p>
    <w:p w14:paraId="08D1E98A" w14:textId="7601F92C" w:rsidR="00210893" w:rsidRDefault="00210893" w:rsidP="00E8131D">
      <w:pPr>
        <w:spacing w:after="200"/>
      </w:pPr>
      <w:r>
        <w:rPr>
          <w:rFonts w:eastAsia="Arial"/>
        </w:rPr>
        <w:t xml:space="preserve">Artificial intelligence (AI) is becoming a </w:t>
      </w:r>
      <w:r w:rsidR="00715192">
        <w:rPr>
          <w:rFonts w:eastAsia="Arial"/>
        </w:rPr>
        <w:t>crucial</w:t>
      </w:r>
      <w:r>
        <w:rPr>
          <w:rFonts w:eastAsia="Arial"/>
        </w:rPr>
        <w:t xml:space="preserve"> force in engineering education. Generative AI, intelligent tutoring systems, AI-assisted coding environments, and simulation platforms are </w:t>
      </w:r>
      <w:r w:rsidR="00C97F88">
        <w:rPr>
          <w:rFonts w:eastAsia="Arial"/>
        </w:rPr>
        <w:t>reshaping how students search for information, solve technical problems, prepare reports, and approach</w:t>
      </w:r>
      <w:r>
        <w:rPr>
          <w:rFonts w:eastAsia="Arial"/>
        </w:rPr>
        <w:t xml:space="preserve"> design tasks. Large language models (LLMs), including </w:t>
      </w:r>
      <w:proofErr w:type="spellStart"/>
      <w:r>
        <w:rPr>
          <w:rFonts w:eastAsia="Arial"/>
        </w:rPr>
        <w:t>ChatGPT</w:t>
      </w:r>
      <w:proofErr w:type="spellEnd"/>
      <w:r>
        <w:rPr>
          <w:rFonts w:eastAsia="Arial"/>
        </w:rPr>
        <w:t xml:space="preserve">, Claude, </w:t>
      </w:r>
      <w:proofErr w:type="spellStart"/>
      <w:r>
        <w:rPr>
          <w:rFonts w:eastAsia="Arial"/>
        </w:rPr>
        <w:t>Copilot</w:t>
      </w:r>
      <w:proofErr w:type="spellEnd"/>
      <w:r>
        <w:rPr>
          <w:rFonts w:eastAsia="Arial"/>
        </w:rPr>
        <w:t xml:space="preserve">, Gemini, and </w:t>
      </w:r>
      <w:proofErr w:type="spellStart"/>
      <w:r>
        <w:rPr>
          <w:rFonts w:eastAsia="Arial"/>
        </w:rPr>
        <w:t>DeepSeek</w:t>
      </w:r>
      <w:proofErr w:type="spellEnd"/>
      <w:r>
        <w:rPr>
          <w:rFonts w:eastAsia="Arial"/>
        </w:rPr>
        <w:t xml:space="preserve">, have also become </w:t>
      </w:r>
      <w:r w:rsidR="004A6D6E">
        <w:rPr>
          <w:rFonts w:eastAsia="Arial"/>
        </w:rPr>
        <w:t>extensively</w:t>
      </w:r>
      <w:r>
        <w:rPr>
          <w:rFonts w:eastAsia="Arial"/>
        </w:rPr>
        <w:t xml:space="preserve"> </w:t>
      </w:r>
      <w:r w:rsidR="00E65078">
        <w:rPr>
          <w:rFonts w:eastAsia="Arial"/>
        </w:rPr>
        <w:t>available</w:t>
      </w:r>
      <w:r>
        <w:rPr>
          <w:rFonts w:eastAsia="Arial"/>
        </w:rPr>
        <w:t xml:space="preserve"> to students and educators. Th</w:t>
      </w:r>
      <w:r w:rsidR="007B5275">
        <w:rPr>
          <w:rFonts w:eastAsia="Arial"/>
        </w:rPr>
        <w:t>us</w:t>
      </w:r>
      <w:r w:rsidR="00E65078">
        <w:rPr>
          <w:rFonts w:eastAsia="Arial"/>
        </w:rPr>
        <w:t>, the</w:t>
      </w:r>
      <w:r>
        <w:rPr>
          <w:rFonts w:eastAsia="Arial"/>
        </w:rPr>
        <w:t>ir influence is no longer limited to advanced computing courses; it now affects core engineering subjects such as mathematics, me</w:t>
      </w:r>
      <w:r w:rsidR="00566FA7">
        <w:rPr>
          <w:rFonts w:eastAsia="Arial"/>
        </w:rPr>
        <w:t>chanics, materials, structures</w:t>
      </w:r>
      <w:r>
        <w:rPr>
          <w:rFonts w:eastAsia="Arial"/>
        </w:rPr>
        <w:t>, and construction management</w:t>
      </w:r>
      <w:r w:rsidR="0042722F">
        <w:rPr>
          <w:rFonts w:eastAsia="Arial"/>
        </w:rPr>
        <w:t xml:space="preserve"> </w:t>
      </w:r>
      <w:r w:rsidR="0042722F">
        <w:t xml:space="preserve">analysis </w:t>
      </w:r>
      <w:r w:rsidR="002156E6">
        <w:fldChar w:fldCharType="begin" w:fldLock="1"/>
      </w:r>
      <w:r w:rsidR="009B3ECA">
        <w:instrText>ADDIN CSL_CITATION {"citationItems":[{"id":"ITEM-1","itemData":{"ISBN":"1-794-29370-0","author":[{"dropping-particle":"","family":"Holmes","given":"Wayne","non-dropping-particle":"","parse-names":false,"suffix":""},{"dropping-particle":"","family":"Bialik","given":"Maya","non-dropping-particle":"","parse-names":false,"suffix":""},{"dropping-particle":"","family":"Fadel","given":"Charles","non-dropping-particle":"","parse-names":false,"suffix":""}],"id":"ITEM-1","issued":{"date-parts":[["2019"]]},"publisher":"Center for Curriculum Redesign","publisher-place":"Boston, MA, USA.","title":"Artificial Intelligence In Education Promises and Implications for Teaching and Learning","type":"book"},"uris":["http://www.mendeley.com/documents/?uuid=b5e3f419-8d12-38ce-a7f7-e7ae50c001fa"]},{"id":"ITEM-2","itemData":{"DOI":"10.1186/s41239-019-0171-0","ISSN":"2365-9440","abstract":"According to various international reports, Artificial Intelligence in Education (AIEd) is one of the currently emerging fields in educational technology. Whilst it has been around for about 30 years, it is still unclear for educators how to make pedagogical advantage of it on a broader scale, and how it can actually impact meaningfully on teaching and learning in higher education. This paper seeks to provide an overview of research on AI applications in higher education through a systematic review. Out of 2656 initially identified publications for the period between 2007 and 2018, 146 articles were included for final synthesis, according to explicit inclusion and exclusion criteria. The descriptive results show that most of the disciplines involved in AIEd papers come from Computer Science and STEM, and that quantitative methods were the most frequently used in empirical studies. The synthesis of results presents four areas of AIEd applications in academic support services, and institutional and administrative services: 1. profiling and prediction, 2. assessment and evaluation, 3. adaptive systems and personalisation, and 4. intelligent tutoring systems. The conclusions reflect on the almost lack of critical reflection of challenges and risks of AIEd, the weak connection to theoretical pedagogical perspectives, and the need for further exploration of ethical and educational approaches in the application of AIEd in higher education.","author":[{"dropping-particle":"","family":"Zawacki-Richter","given":"Olaf","non-dropping-particle":"","parse-names":false,"suffix":""},{"dropping-particle":"","family":"Marín","given":"Victoria I.","non-dropping-particle":"","parse-names":false,"suffix":""},{"dropping-particle":"","family":"Bond","given":"Melissa","non-dropping-particle":"","parse-names":false,"suffix":""},{"dropping-particle":"","family":"Gouverneur","given":"Franziska","non-dropping-particle":"","parse-names":false,"suffix":""}],"container-title":"International Journal of Educational Technology in Higher Education","id":"ITEM-2","issue":"1","issued":{"date-parts":[["2019","12","28"]]},"page":"39","publisher":"SpringerOpen","title":"Systematic review of research on artificial intelligence applications in higher education – where are the educators?","type":"article-journal","volume":"16"},"uris":["http://www.mendeley.com/documents/?uuid=026089b7-4013-3e52-a185-dc09118a6cd2"]}],"mendeley":{"formattedCitation":"(Holmes et al. 2019; Zawacki-Richter et al. 2019)","plainTextFormattedCitation":"(Holmes et al. 2019; Zawacki-Richter et al. 2019)","previouslyFormattedCitation":"(Holmes et al. 2019; Zawacki-Richter et al. 2019)"},"properties":{"noteIndex":0},"schema":"https://github.com/citation-style-language/schema/raw/master/csl-citation.json"}</w:instrText>
      </w:r>
      <w:r w:rsidR="002156E6">
        <w:fldChar w:fldCharType="separate"/>
      </w:r>
      <w:r w:rsidR="002156E6" w:rsidRPr="002156E6">
        <w:rPr>
          <w:noProof/>
        </w:rPr>
        <w:t>(Holmes et al. 2019; Zawacki-Richter et al. 2019)</w:t>
      </w:r>
      <w:r w:rsidR="002156E6">
        <w:fldChar w:fldCharType="end"/>
      </w:r>
      <w:r>
        <w:rPr>
          <w:rFonts w:eastAsia="Arial"/>
        </w:rPr>
        <w:t>.</w:t>
      </w:r>
    </w:p>
    <w:p w14:paraId="77F90F13" w14:textId="77777777" w:rsidR="00210893" w:rsidRDefault="00210893" w:rsidP="00210893"/>
    <w:p w14:paraId="28C431BB" w14:textId="459A331B" w:rsidR="00210893" w:rsidRDefault="000965EF" w:rsidP="00210893">
      <w:r>
        <w:rPr>
          <w:rFonts w:eastAsia="Arial"/>
        </w:rPr>
        <w:t xml:space="preserve">Considering the use of </w:t>
      </w:r>
      <w:r w:rsidR="00210893">
        <w:rPr>
          <w:rFonts w:eastAsia="Arial"/>
        </w:rPr>
        <w:t>AI</w:t>
      </w:r>
      <w:r>
        <w:rPr>
          <w:rFonts w:eastAsia="Arial"/>
        </w:rPr>
        <w:t>, like any technology, may</w:t>
      </w:r>
      <w:r w:rsidR="00210893">
        <w:rPr>
          <w:rFonts w:eastAsia="Arial"/>
        </w:rPr>
        <w:t xml:space="preserve"> inherently</w:t>
      </w:r>
      <w:r>
        <w:rPr>
          <w:rFonts w:eastAsia="Arial"/>
        </w:rPr>
        <w:t xml:space="preserve"> have pros and cons in our education</w:t>
      </w:r>
      <w:r w:rsidR="00210893">
        <w:rPr>
          <w:rFonts w:eastAsia="Arial"/>
        </w:rPr>
        <w:t xml:space="preserve">, </w:t>
      </w:r>
      <w:r w:rsidR="00C97F88">
        <w:rPr>
          <w:rFonts w:eastAsia="Arial"/>
        </w:rPr>
        <w:t xml:space="preserve">the </w:t>
      </w:r>
      <w:r>
        <w:rPr>
          <w:rFonts w:eastAsia="Arial"/>
        </w:rPr>
        <w:t xml:space="preserve">key </w:t>
      </w:r>
      <w:r w:rsidR="00C97F88">
        <w:rPr>
          <w:rFonts w:eastAsia="Arial"/>
        </w:rPr>
        <w:t xml:space="preserve">question is </w:t>
      </w:r>
      <w:r w:rsidR="00210893">
        <w:rPr>
          <w:rFonts w:eastAsia="Arial"/>
        </w:rPr>
        <w:t xml:space="preserve">how </w:t>
      </w:r>
      <w:r>
        <w:rPr>
          <w:rFonts w:eastAsia="Arial"/>
        </w:rPr>
        <w:t xml:space="preserve">AI can be </w:t>
      </w:r>
      <w:r w:rsidR="006B3B6D">
        <w:rPr>
          <w:rFonts w:eastAsia="Arial"/>
        </w:rPr>
        <w:t>incorporated</w:t>
      </w:r>
      <w:r>
        <w:rPr>
          <w:rFonts w:eastAsia="Arial"/>
        </w:rPr>
        <w:t xml:space="preserve"> so that the negative effects are minimized and we can enhance the positive aspects of our</w:t>
      </w:r>
      <w:r w:rsidR="00210893">
        <w:rPr>
          <w:rFonts w:eastAsia="Arial"/>
        </w:rPr>
        <w:t xml:space="preserve"> engineering education</w:t>
      </w:r>
      <w:r w:rsidR="0042722F">
        <w:rPr>
          <w:rFonts w:eastAsia="Arial"/>
        </w:rPr>
        <w:t xml:space="preserve"> </w:t>
      </w:r>
      <w:r w:rsidR="002156E6">
        <w:rPr>
          <w:rFonts w:eastAsia="Arial"/>
        </w:rPr>
        <w:fldChar w:fldCharType="begin" w:fldLock="1"/>
      </w:r>
      <w:r w:rsidR="009B3ECA">
        <w:rPr>
          <w:rFonts w:eastAsia="Arial"/>
        </w:rPr>
        <w:instrText>ADDIN CSL_CITATION {"citationItems":[{"id":"ITEM-1","itemData":{"author":[{"dropping-particle":"","family":"Luckin","given":"Rose","non-dropping-particle":"","parse-names":false,"suffix":""},{"dropping-particle":"","family":"Holmes","given":"Wayne","non-dropping-particle":"","parse-names":false,"suffix":""},{"dropping-particle":"","family":"Griffiths","given":"Mark","non-dropping-particle":"","parse-names":false,"suffix":""},{"dropping-particle":"","family":"Pearson","given":"Laurie B Forcier","non-dropping-particle":"","parse-names":false,"suffix":""}],"id":"ITEM-1","issued":{"date-parts":[["2016"]]},"publisher":"Pearson","title":"Intelligence Unleashed An argument for AI in Education","type":"book"},"uris":["http://www.mendeley.com/documents/?uuid=9273cbb7-8604-36b6-9df8-ba6ea755f12f"]},{"id":"ITEM-2","itemData":{"DOI":"10.54675/PCSP7350","ISBN":"9789231004476","author":[{"dropping-particle":"","family":"UNESCO","given":"","non-dropping-particle":"","parse-names":false,"suffix":""}],"container-title":"AI and education: guidance for policy-makers","id":"ITEM-2","issued":{"date-parts":[["2021"]]},"publisher":"UNESCO","publisher-place":"Paris","title":"AI and education: guidance for policy-makers","type":"book"},"uris":["http://www.mendeley.com/documents/?uuid=a2b8a7b0-eac3-39f7-853a-52928c3b7843"]}],"mendeley":{"formattedCitation":"(Luckin et al. 2016; UNESCO 2021)","plainTextFormattedCitation":"(Luckin et al. 2016; UNESCO 2021)","previouslyFormattedCitation":"(Luckin et al. 2016; UNESCO 2021)"},"properties":{"noteIndex":0},"schema":"https://github.com/citation-style-language/schema/raw/master/csl-citation.json"}</w:instrText>
      </w:r>
      <w:r w:rsidR="002156E6">
        <w:rPr>
          <w:rFonts w:eastAsia="Arial"/>
        </w:rPr>
        <w:fldChar w:fldCharType="separate"/>
      </w:r>
      <w:r w:rsidR="00C759B2" w:rsidRPr="00C759B2">
        <w:rPr>
          <w:rFonts w:eastAsia="Arial"/>
          <w:noProof/>
        </w:rPr>
        <w:t>(Luckin et al. 2016; UNESCO 2021)</w:t>
      </w:r>
      <w:r w:rsidR="002156E6">
        <w:rPr>
          <w:rFonts w:eastAsia="Arial"/>
        </w:rPr>
        <w:fldChar w:fldCharType="end"/>
      </w:r>
      <w:r w:rsidR="002156E6">
        <w:rPr>
          <w:rFonts w:eastAsia="Arial"/>
        </w:rPr>
        <w:t>.</w:t>
      </w:r>
      <w:r w:rsidR="00210893">
        <w:rPr>
          <w:rFonts w:eastAsia="Arial"/>
        </w:rPr>
        <w:t xml:space="preserve"> Poorly guided </w:t>
      </w:r>
      <w:r w:rsidR="0042722F">
        <w:rPr>
          <w:rFonts w:eastAsia="Arial"/>
        </w:rPr>
        <w:t>implementation</w:t>
      </w:r>
      <w:r w:rsidR="00210893">
        <w:rPr>
          <w:rFonts w:eastAsia="Arial"/>
        </w:rPr>
        <w:t xml:space="preserve"> can produce </w:t>
      </w:r>
      <w:r w:rsidR="0042722F">
        <w:rPr>
          <w:rFonts w:eastAsia="Arial"/>
        </w:rPr>
        <w:t>shallow</w:t>
      </w:r>
      <w:r w:rsidR="00210893">
        <w:rPr>
          <w:rFonts w:eastAsia="Arial"/>
        </w:rPr>
        <w:t xml:space="preserve"> learning and academic integrity concerns, </w:t>
      </w:r>
      <w:r w:rsidR="0042722F">
        <w:rPr>
          <w:rFonts w:eastAsia="Arial"/>
        </w:rPr>
        <w:t>while</w:t>
      </w:r>
      <w:r w:rsidR="00210893">
        <w:rPr>
          <w:rFonts w:eastAsia="Arial"/>
        </w:rPr>
        <w:t xml:space="preserve"> responsible adoption can </w:t>
      </w:r>
      <w:r w:rsidR="0042722F">
        <w:rPr>
          <w:rFonts w:eastAsia="Arial"/>
        </w:rPr>
        <w:t>enhance</w:t>
      </w:r>
      <w:r w:rsidR="00210893">
        <w:rPr>
          <w:rFonts w:eastAsia="Arial"/>
        </w:rPr>
        <w:t xml:space="preserve"> access, feedback, creativity, and professional readiness. Similar to earlier transitions involving</w:t>
      </w:r>
      <w:r w:rsidR="005437E1">
        <w:rPr>
          <w:rFonts w:eastAsia="Arial"/>
        </w:rPr>
        <w:t xml:space="preserve"> </w:t>
      </w:r>
      <w:r w:rsidR="00210893">
        <w:rPr>
          <w:rFonts w:eastAsia="Arial"/>
        </w:rPr>
        <w:t>com</w:t>
      </w:r>
      <w:r w:rsidR="0042722F">
        <w:rPr>
          <w:rFonts w:eastAsia="Arial"/>
        </w:rPr>
        <w:t>puter-aided design</w:t>
      </w:r>
      <w:r w:rsidR="00210893">
        <w:rPr>
          <w:rFonts w:eastAsia="Arial"/>
        </w:rPr>
        <w:t xml:space="preserve"> and numerical modelling tools, AI is likely to shift the emphasis </w:t>
      </w:r>
      <w:r w:rsidR="00C97F88">
        <w:rPr>
          <w:rFonts w:eastAsia="Arial"/>
        </w:rPr>
        <w:t>in engineering education rather than eliminate the need</w:t>
      </w:r>
      <w:r w:rsidR="0042722F">
        <w:rPr>
          <w:rFonts w:eastAsia="Arial"/>
        </w:rPr>
        <w:t xml:space="preserve"> for foundational knowledge. Thus, s</w:t>
      </w:r>
      <w:r w:rsidR="00210893">
        <w:rPr>
          <w:rFonts w:eastAsia="Arial"/>
        </w:rPr>
        <w:t xml:space="preserve">tudents must still understand first principles, verify outputs, and exercise professional judgment, </w:t>
      </w:r>
      <w:r w:rsidR="0042722F">
        <w:rPr>
          <w:rFonts w:eastAsia="Arial"/>
        </w:rPr>
        <w:t>mainly</w:t>
      </w:r>
      <w:r w:rsidR="00210893">
        <w:rPr>
          <w:rFonts w:eastAsia="Arial"/>
        </w:rPr>
        <w:t xml:space="preserve"> because engineering decisions often affect public safety.</w:t>
      </w:r>
      <w:r w:rsidR="00C97F88">
        <w:rPr>
          <w:rFonts w:eastAsia="Arial"/>
        </w:rPr>
        <w:t xml:space="preserve"> This realization is foundational for our students. Otherwise, fully depending on AI could be disastrous for the next generation.</w:t>
      </w:r>
      <w:r w:rsidR="00906F68">
        <w:rPr>
          <w:rFonts w:eastAsia="Arial"/>
        </w:rPr>
        <w:t xml:space="preserve"> Overall, the opportunities and risks of using AI in engineering education are captured in Figure 1. </w:t>
      </w:r>
    </w:p>
    <w:p w14:paraId="36B18142" w14:textId="77777777" w:rsidR="00210893" w:rsidRPr="001940B0" w:rsidRDefault="00210893" w:rsidP="00192F05">
      <w:pPr>
        <w:autoSpaceDE w:val="0"/>
        <w:autoSpaceDN w:val="0"/>
        <w:adjustRightInd w:val="0"/>
        <w:rPr>
          <w:color w:val="000000"/>
        </w:rPr>
      </w:pPr>
    </w:p>
    <w:p w14:paraId="6C7AC6C1" w14:textId="77777777" w:rsidR="0073217F" w:rsidRPr="001940B0" w:rsidRDefault="0073217F" w:rsidP="00BD5FA3">
      <w:pPr>
        <w:autoSpaceDE w:val="0"/>
        <w:autoSpaceDN w:val="0"/>
        <w:adjustRightInd w:val="0"/>
      </w:pPr>
    </w:p>
    <w:p w14:paraId="545F416E" w14:textId="1BF44948" w:rsidR="00FD222C" w:rsidRPr="001940B0" w:rsidRDefault="00A50FE4" w:rsidP="00211D0B">
      <w:pPr>
        <w:pStyle w:val="Heading1"/>
        <w:rPr>
          <w:rFonts w:ascii="Arial" w:hAnsi="Arial" w:cs="Arial"/>
        </w:rPr>
      </w:pPr>
      <w:r>
        <w:rPr>
          <w:rFonts w:ascii="Arial" w:hAnsi="Arial" w:cs="Arial"/>
        </w:rPr>
        <w:t>opportunities for engineering education</w:t>
      </w:r>
    </w:p>
    <w:p w14:paraId="40EBD9F3" w14:textId="77777777" w:rsidR="001F363A" w:rsidRPr="001940B0" w:rsidRDefault="001F363A" w:rsidP="001F363A">
      <w:pPr>
        <w:rPr>
          <w:lang w:val="en-US" w:eastAsia="es-ES"/>
        </w:rPr>
      </w:pPr>
    </w:p>
    <w:p w14:paraId="5C7F38E0" w14:textId="743AF2D3" w:rsidR="00A50FE4" w:rsidRDefault="00A50FE4" w:rsidP="00A50FE4">
      <w:r>
        <w:rPr>
          <w:rFonts w:eastAsia="Arial"/>
        </w:rPr>
        <w:t xml:space="preserve">AI </w:t>
      </w:r>
      <w:r w:rsidR="00C97F88">
        <w:rPr>
          <w:rFonts w:eastAsia="Arial"/>
        </w:rPr>
        <w:t>offers several opportunities to enhance teaching and learning</w:t>
      </w:r>
      <w:r>
        <w:rPr>
          <w:rFonts w:eastAsia="Arial"/>
        </w:rPr>
        <w:t xml:space="preserve"> in engineering programs. First, AI systems can support personalized learning by adapting explanations, examples, and practice problems to the requirements of </w:t>
      </w:r>
      <w:r>
        <w:rPr>
          <w:rFonts w:eastAsia="Arial"/>
        </w:rPr>
        <w:lastRenderedPageBreak/>
        <w:t xml:space="preserve">individual students. This is </w:t>
      </w:r>
      <w:r w:rsidR="003B5BDF">
        <w:rPr>
          <w:rFonts w:eastAsia="Arial"/>
        </w:rPr>
        <w:t>predominantly</w:t>
      </w:r>
      <w:r>
        <w:rPr>
          <w:rFonts w:eastAsia="Arial"/>
        </w:rPr>
        <w:t xml:space="preserve"> useful in technically demanding subjects where students often require repeated explanations, step-by-step feedback, and </w:t>
      </w:r>
      <w:r w:rsidR="003B5BDF">
        <w:rPr>
          <w:rFonts w:eastAsia="Arial"/>
        </w:rPr>
        <w:t>different</w:t>
      </w:r>
      <w:r>
        <w:rPr>
          <w:rFonts w:eastAsia="Arial"/>
        </w:rPr>
        <w:t xml:space="preserve"> examples. AI tutors can </w:t>
      </w:r>
      <w:r w:rsidR="00811107">
        <w:rPr>
          <w:rFonts w:eastAsia="Arial"/>
        </w:rPr>
        <w:t>offer</w:t>
      </w:r>
      <w:r>
        <w:rPr>
          <w:rFonts w:eastAsia="Arial"/>
        </w:rPr>
        <w:t xml:space="preserve"> </w:t>
      </w:r>
      <w:r w:rsidR="00811107">
        <w:rPr>
          <w:rFonts w:eastAsia="Arial"/>
        </w:rPr>
        <w:t>instant</w:t>
      </w:r>
      <w:r>
        <w:rPr>
          <w:rFonts w:eastAsia="Arial"/>
        </w:rPr>
        <w:t xml:space="preserve"> </w:t>
      </w:r>
      <w:r w:rsidR="00811107">
        <w:rPr>
          <w:rFonts w:eastAsia="Arial"/>
        </w:rPr>
        <w:t>support</w:t>
      </w:r>
      <w:r>
        <w:rPr>
          <w:rFonts w:eastAsia="Arial"/>
        </w:rPr>
        <w:t xml:space="preserve"> outside scheduled class hours, which may help </w:t>
      </w:r>
      <w:r w:rsidR="00C27337">
        <w:rPr>
          <w:rFonts w:eastAsia="Arial"/>
        </w:rPr>
        <w:t>studen</w:t>
      </w:r>
      <w:r>
        <w:rPr>
          <w:rFonts w:eastAsia="Arial"/>
        </w:rPr>
        <w:t>ts close knowledge gaps before they become barriers to progression</w:t>
      </w:r>
      <w:r w:rsidR="00C759B2">
        <w:rPr>
          <w:rFonts w:eastAsia="Arial"/>
        </w:rPr>
        <w:t xml:space="preserve"> </w:t>
      </w:r>
      <w:r w:rsidR="00C759B2">
        <w:rPr>
          <w:rFonts w:eastAsia="Arial"/>
        </w:rPr>
        <w:fldChar w:fldCharType="begin" w:fldLock="1"/>
      </w:r>
      <w:r w:rsidR="009B3ECA">
        <w:rPr>
          <w:rFonts w:eastAsia="Arial"/>
        </w:rPr>
        <w:instrText>ADDIN CSL_CITATION {"citationItems":[{"id":"ITEM-1","itemData":{"DOI":"10.7249/RR1365","abstract":"This report examines achievement in 62 schools pursuing a variety of personalized learning practices, and implementation details in 32 of the schools. It uses data from site visits, interviews, and surveys to create a broad picture of efforts to implement personalized learning and the perceptions of teachers and students. Achievement data for personalized learning students are compared to a matched group of students attending other schools.","author":[{"dropping-particle":"","family":"Pane","given":"John","non-dropping-particle":"","parse-names":false,"suffix":""},{"dropping-particle":"","family":"Steiner","given":"Elizabeth","non-dropping-particle":"","parse-names":false,"suffix":""},{"dropping-particle":"","family":"Baird","given":"Matthew","non-dropping-particle":"","parse-names":false,"suffix":""},{"dropping-particle":"","family":"Hamilton","given":"Laura","non-dropping-particle":"","parse-names":false,"suffix":""}],"container-title":"Continued Progress: Promising Evidence on Personalized Learning","id":"ITEM-1","issued":{"date-parts":[["2015","11","10"]]},"publisher":"RAND Corporation","title":"Continued Progress: Promising Evidence on Personalized Learning","type":"book"},"uris":["http://www.mendeley.com/documents/?uuid=683e074a-3034-3d91-9ffc-5d19b0e29fc0"]}],"mendeley":{"formattedCitation":"(Pane et al. 2015)","plainTextFormattedCitation":"(Pane et al. 2015)","previouslyFormattedCitation":"(Pane et al. 2015)"},"properties":{"noteIndex":0},"schema":"https://github.com/citation-style-language/schema/raw/master/csl-citation.json"}</w:instrText>
      </w:r>
      <w:r w:rsidR="00C759B2">
        <w:rPr>
          <w:rFonts w:eastAsia="Arial"/>
        </w:rPr>
        <w:fldChar w:fldCharType="separate"/>
      </w:r>
      <w:r w:rsidR="00C759B2" w:rsidRPr="00C759B2">
        <w:rPr>
          <w:rFonts w:eastAsia="Arial"/>
          <w:noProof/>
        </w:rPr>
        <w:t>(Pane et al. 2015)</w:t>
      </w:r>
      <w:r w:rsidR="00C759B2">
        <w:rPr>
          <w:rFonts w:eastAsia="Arial"/>
        </w:rPr>
        <w:fldChar w:fldCharType="end"/>
      </w:r>
      <w:r w:rsidR="00C759B2">
        <w:rPr>
          <w:rFonts w:eastAsia="Arial"/>
        </w:rPr>
        <w:t>.</w:t>
      </w:r>
    </w:p>
    <w:p w14:paraId="17B5DDF7" w14:textId="1F31644B" w:rsidR="00A50FE4" w:rsidRDefault="00A50FE4" w:rsidP="00A50FE4"/>
    <w:p w14:paraId="44E14146" w14:textId="73D604EF" w:rsidR="00906F68" w:rsidRDefault="000965EF" w:rsidP="00906F68">
      <w:pPr>
        <w:jc w:val="center"/>
      </w:pPr>
      <w:r w:rsidRPr="000965EF">
        <w:rPr>
          <w:noProof/>
        </w:rPr>
        <w:drawing>
          <wp:inline distT="0" distB="0" distL="0" distR="0" wp14:anchorId="541C4256" wp14:editId="5BB009D6">
            <wp:extent cx="6309360" cy="38455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9360" cy="3845560"/>
                    </a:xfrm>
                    <a:prstGeom prst="rect">
                      <a:avLst/>
                    </a:prstGeom>
                    <a:noFill/>
                    <a:ln>
                      <a:noFill/>
                    </a:ln>
                  </pic:spPr>
                </pic:pic>
              </a:graphicData>
            </a:graphic>
          </wp:inline>
        </w:drawing>
      </w:r>
    </w:p>
    <w:p w14:paraId="4CD01028" w14:textId="033930CE" w:rsidR="00906F68" w:rsidRDefault="00906F68" w:rsidP="00A50FE4">
      <w:r w:rsidRPr="00906F68">
        <w:t xml:space="preserve">Figure </w:t>
      </w:r>
      <w:r>
        <w:t>1</w:t>
      </w:r>
      <w:r w:rsidRPr="00906F68">
        <w:t>. Overview of the major opportunities and risks of AI adoption in engineering education and the importance of responsible and ethical implementation.</w:t>
      </w:r>
    </w:p>
    <w:p w14:paraId="675B3754" w14:textId="77777777" w:rsidR="00906F68" w:rsidRDefault="00906F68" w:rsidP="00A50FE4"/>
    <w:p w14:paraId="3711187C" w14:textId="59CB6CD8" w:rsidR="00A50FE4" w:rsidRDefault="00A50FE4" w:rsidP="00A50FE4">
      <w:r>
        <w:rPr>
          <w:rFonts w:eastAsia="Arial"/>
        </w:rPr>
        <w:t>Second, AI can improve accessibility and inclusi</w:t>
      </w:r>
      <w:r w:rsidR="00681168">
        <w:rPr>
          <w:rFonts w:eastAsia="Arial"/>
        </w:rPr>
        <w:t>ve educati</w:t>
      </w:r>
      <w:r>
        <w:rPr>
          <w:rFonts w:eastAsia="Arial"/>
        </w:rPr>
        <w:t>on. Students who face language barriers, learning differences, or limited access to tutoring can use AI tools for multilingual explanations, text simplification, writing support, and assist</w:t>
      </w:r>
      <w:r w:rsidR="009C2A56">
        <w:rPr>
          <w:rFonts w:eastAsia="Arial"/>
        </w:rPr>
        <w:t>ed</w:t>
      </w:r>
      <w:r>
        <w:rPr>
          <w:rFonts w:eastAsia="Arial"/>
        </w:rPr>
        <w:t xml:space="preserve"> learning. When properly supervised, </w:t>
      </w:r>
      <w:r w:rsidR="00E97C07">
        <w:rPr>
          <w:rFonts w:eastAsia="Arial"/>
        </w:rPr>
        <w:t>AI</w:t>
      </w:r>
      <w:r w:rsidR="00FA185D">
        <w:rPr>
          <w:rFonts w:eastAsia="Arial"/>
        </w:rPr>
        <w:t xml:space="preserve"> </w:t>
      </w:r>
      <w:r>
        <w:rPr>
          <w:rFonts w:eastAsia="Arial"/>
        </w:rPr>
        <w:t xml:space="preserve">can help broaden participation and reduce dependence on informal support networks. </w:t>
      </w:r>
      <w:r w:rsidR="00FA185D">
        <w:rPr>
          <w:rFonts w:eastAsia="Arial"/>
        </w:rPr>
        <w:t>Still</w:t>
      </w:r>
      <w:r>
        <w:rPr>
          <w:rFonts w:eastAsia="Arial"/>
        </w:rPr>
        <w:t xml:space="preserve">, accessibility benefits </w:t>
      </w:r>
      <w:r w:rsidR="00B21C62">
        <w:rPr>
          <w:rFonts w:eastAsia="Arial"/>
        </w:rPr>
        <w:t xml:space="preserve">would </w:t>
      </w:r>
      <w:r w:rsidR="00FA185D">
        <w:rPr>
          <w:rFonts w:eastAsia="Arial"/>
        </w:rPr>
        <w:t>rely</w:t>
      </w:r>
      <w:r>
        <w:rPr>
          <w:rFonts w:eastAsia="Arial"/>
        </w:rPr>
        <w:t xml:space="preserve"> on equitable availability, institutional support, and </w:t>
      </w:r>
      <w:r w:rsidR="00C27337">
        <w:rPr>
          <w:rFonts w:eastAsia="Arial"/>
        </w:rPr>
        <w:t xml:space="preserve">clear guidance on acceptable usage </w:t>
      </w:r>
      <w:r w:rsidR="00176FB0">
        <w:rPr>
          <w:rFonts w:eastAsia="Arial"/>
        </w:rPr>
        <w:fldChar w:fldCharType="begin" w:fldLock="1"/>
      </w:r>
      <w:r w:rsidR="009B3ECA">
        <w:rPr>
          <w:rFonts w:eastAsia="Arial"/>
        </w:rPr>
        <w:instrText>ADDIN CSL_CITATION {"citationItems":[{"id":"ITEM-1","itemData":{"DOI":"10.54675/PCSP7350","ISBN":"9789231004476","author":[{"dropping-particle":"","family":"UNESCO","given":"","non-dropping-particle":"","parse-names":false,"suffix":""}],"container-title":"AI and education: guidance for policy-makers","id":"ITEM-1","issued":{"date-parts":[["2021"]]},"publisher":"UNESCO","publisher-place":"Paris","title":"AI and education: guidance for policy-makers","type":"book"},"uris":["http://www.mendeley.com/documents/?uuid=a2b8a7b0-eac3-39f7-853a-52928c3b7843"]}],"mendeley":{"formattedCitation":"(UNESCO 2021)","plainTextFormattedCitation":"(UNESCO 2021)","previouslyFormattedCitation":"(UNESCO 2021)"},"properties":{"noteIndex":0},"schema":"https://github.com/citation-style-language/schema/raw/master/csl-citation.json"}</w:instrText>
      </w:r>
      <w:r w:rsidR="00176FB0">
        <w:rPr>
          <w:rFonts w:eastAsia="Arial"/>
        </w:rPr>
        <w:fldChar w:fldCharType="separate"/>
      </w:r>
      <w:r w:rsidR="00176FB0" w:rsidRPr="00176FB0">
        <w:rPr>
          <w:rFonts w:eastAsia="Arial"/>
          <w:noProof/>
        </w:rPr>
        <w:t>(UNESCO 2021)</w:t>
      </w:r>
      <w:r w:rsidR="00176FB0">
        <w:rPr>
          <w:rFonts w:eastAsia="Arial"/>
        </w:rPr>
        <w:fldChar w:fldCharType="end"/>
      </w:r>
      <w:r w:rsidR="00176FB0">
        <w:rPr>
          <w:rFonts w:eastAsia="Arial"/>
        </w:rPr>
        <w:t>.</w:t>
      </w:r>
    </w:p>
    <w:p w14:paraId="25E51907" w14:textId="77777777" w:rsidR="00A50FE4" w:rsidRDefault="00A50FE4" w:rsidP="00A50FE4"/>
    <w:p w14:paraId="60FDDC0F" w14:textId="73EAF0A3" w:rsidR="00A50FE4" w:rsidRDefault="00A50FE4" w:rsidP="00A50FE4">
      <w:r>
        <w:rPr>
          <w:rFonts w:eastAsia="Arial"/>
        </w:rPr>
        <w:t xml:space="preserve">Third, AI can increase productivity for both students and educators. Routine tasks such as code debugging, data cleaning, literature organization, formatting, and </w:t>
      </w:r>
      <w:r w:rsidR="00523941">
        <w:rPr>
          <w:rFonts w:eastAsia="Arial"/>
        </w:rPr>
        <w:t>initial</w:t>
      </w:r>
      <w:r>
        <w:rPr>
          <w:rFonts w:eastAsia="Arial"/>
        </w:rPr>
        <w:t xml:space="preserve"> content generation can be accelerated, </w:t>
      </w:r>
      <w:r w:rsidR="00C97F88">
        <w:rPr>
          <w:rFonts w:eastAsia="Arial"/>
        </w:rPr>
        <w:t>thereby freeing up</w:t>
      </w:r>
      <w:r>
        <w:rPr>
          <w:rFonts w:eastAsia="Arial"/>
        </w:rPr>
        <w:t xml:space="preserve"> time for conceptual understanding, design reasoning, and interpretation. </w:t>
      </w:r>
      <w:r w:rsidR="00F55A33">
        <w:rPr>
          <w:rFonts w:eastAsia="Arial"/>
        </w:rPr>
        <w:t>Meanwhile, f</w:t>
      </w:r>
      <w:r>
        <w:rPr>
          <w:rFonts w:eastAsia="Arial"/>
        </w:rPr>
        <w:t xml:space="preserve">or educators, AI can assist with drafting examples, generating practice questions, creating rubrics, and </w:t>
      </w:r>
      <w:r w:rsidR="00F55A33">
        <w:rPr>
          <w:rFonts w:eastAsia="Arial"/>
        </w:rPr>
        <w:t>offering</w:t>
      </w:r>
      <w:r>
        <w:rPr>
          <w:rFonts w:eastAsia="Arial"/>
        </w:rPr>
        <w:t xml:space="preserve"> </w:t>
      </w:r>
      <w:r w:rsidR="00F55A33">
        <w:rPr>
          <w:rFonts w:eastAsia="Arial"/>
        </w:rPr>
        <w:t>appropriate</w:t>
      </w:r>
      <w:r>
        <w:rPr>
          <w:rFonts w:eastAsia="Arial"/>
        </w:rPr>
        <w:t xml:space="preserve"> feedback. These benefits are strongest when AI is used to support learning processes rather than to bypass them</w:t>
      </w:r>
      <w:r w:rsidR="00F55A33">
        <w:rPr>
          <w:rFonts w:eastAsia="Arial"/>
        </w:rPr>
        <w:t xml:space="preserve"> </w:t>
      </w:r>
      <w:r w:rsidR="00176FB0">
        <w:rPr>
          <w:rFonts w:eastAsia="Arial"/>
        </w:rPr>
        <w:fldChar w:fldCharType="begin" w:fldLock="1"/>
      </w:r>
      <w:r w:rsidR="00176FB0">
        <w:rPr>
          <w:rFonts w:eastAsia="Arial"/>
        </w:rPr>
        <w:instrText>ADDIN CSL_CITATION {"citationItems":[{"id":"ITEM-1","itemData":{"author":[{"dropping-particle":"","family":"Luckin","given":"Rose","non-dropping-particle":"","parse-names":false,"suffix":""},{"dropping-particle":"","family":"Holmes","given":"Wayne","non-dropping-particle":"","parse-names":false,"suffix":""},{"dropping-particle":"","family":"Griffiths","given":"Mark","non-dropping-particle":"","parse-names":false,"suffix":""},{"dropping-particle":"","family":"Pearson","given":"Laurie B Forcier","non-dropping-particle":"","parse-names":false,"suffix":""}],"id":"ITEM-1","issued":{"date-parts":[["2016"]]},"publisher":"Pearson","title":"Intelligence Unleashed An argument for AI in Education","type":"book"},"uris":["http://www.mendeley.com/documents/?uuid=9273cbb7-8604-36b6-9df8-ba6ea755f12f"]}],"mendeley":{"formattedCitation":"(Luckin et al. 2016)","plainTextFormattedCitation":"(Luckin et al. 2016)","previouslyFormattedCitation":"(Luckin et al. 2016)"},"properties":{"noteIndex":0},"schema":"https://github.com/citation-style-language/schema/raw/master/csl-citation.json"}</w:instrText>
      </w:r>
      <w:r w:rsidR="00176FB0">
        <w:rPr>
          <w:rFonts w:eastAsia="Arial"/>
        </w:rPr>
        <w:fldChar w:fldCharType="separate"/>
      </w:r>
      <w:r w:rsidR="00176FB0" w:rsidRPr="00176FB0">
        <w:rPr>
          <w:rFonts w:eastAsia="Arial"/>
          <w:noProof/>
        </w:rPr>
        <w:t>(Luckin et al. 2016)</w:t>
      </w:r>
      <w:r w:rsidR="00176FB0">
        <w:rPr>
          <w:rFonts w:eastAsia="Arial"/>
        </w:rPr>
        <w:fldChar w:fldCharType="end"/>
      </w:r>
      <w:r>
        <w:rPr>
          <w:rFonts w:eastAsia="Arial"/>
        </w:rPr>
        <w:t>.</w:t>
      </w:r>
    </w:p>
    <w:p w14:paraId="05F02656" w14:textId="77777777" w:rsidR="00A50FE4" w:rsidRDefault="00A50FE4" w:rsidP="00A50FE4"/>
    <w:p w14:paraId="68FB6085" w14:textId="40F9D8E2" w:rsidR="00A50FE4" w:rsidRDefault="00A50FE4" w:rsidP="00A50FE4">
      <w:pPr>
        <w:rPr>
          <w:rFonts w:eastAsia="Arial"/>
        </w:rPr>
      </w:pPr>
      <w:r>
        <w:rPr>
          <w:rFonts w:eastAsia="Arial"/>
        </w:rPr>
        <w:t xml:space="preserve">Fourth, AI literacy aligns engineering education with current professional practice. Modern engineering </w:t>
      </w:r>
      <w:r w:rsidR="0081588C">
        <w:rPr>
          <w:rFonts w:eastAsia="Arial"/>
        </w:rPr>
        <w:t>progressively</w:t>
      </w:r>
      <w:r>
        <w:rPr>
          <w:rFonts w:eastAsia="Arial"/>
        </w:rPr>
        <w:t xml:space="preserve"> involves data-driven design, digital twins, smart infrastructure, predictive maintenance, robotics, and automated inspection systems. </w:t>
      </w:r>
      <w:r w:rsidR="0081588C">
        <w:rPr>
          <w:rFonts w:eastAsia="Arial"/>
        </w:rPr>
        <w:t>So, g</w:t>
      </w:r>
      <w:r>
        <w:rPr>
          <w:rFonts w:eastAsia="Arial"/>
        </w:rPr>
        <w:t xml:space="preserve">raduates who understand both the abilities and limitations of AI will be better prepared to work in interdisciplinary teams and to </w:t>
      </w:r>
      <w:r w:rsidR="00E26DEA">
        <w:rPr>
          <w:rFonts w:eastAsia="Arial"/>
        </w:rPr>
        <w:t>assess</w:t>
      </w:r>
      <w:r>
        <w:rPr>
          <w:rFonts w:eastAsia="Arial"/>
        </w:rPr>
        <w:t xml:space="preserve"> AI-supported decisions in practice. </w:t>
      </w:r>
      <w:r w:rsidR="004237A2">
        <w:rPr>
          <w:rFonts w:eastAsia="Arial"/>
        </w:rPr>
        <w:t xml:space="preserve">Thus, </w:t>
      </w:r>
      <w:r>
        <w:rPr>
          <w:rFonts w:eastAsia="Arial"/>
        </w:rPr>
        <w:t xml:space="preserve">AI should be treated as a </w:t>
      </w:r>
      <w:r w:rsidR="000A4832">
        <w:rPr>
          <w:rFonts w:eastAsia="Arial"/>
        </w:rPr>
        <w:t>crucial</w:t>
      </w:r>
      <w:r>
        <w:rPr>
          <w:rFonts w:eastAsia="Arial"/>
        </w:rPr>
        <w:t xml:space="preserve"> component of emerging engineering competence</w:t>
      </w:r>
      <w:r w:rsidR="00176FB0">
        <w:rPr>
          <w:rFonts w:eastAsia="Arial"/>
        </w:rPr>
        <w:t xml:space="preserve"> </w:t>
      </w:r>
      <w:r w:rsidR="00176FB0">
        <w:rPr>
          <w:rFonts w:eastAsia="Arial"/>
        </w:rPr>
        <w:fldChar w:fldCharType="begin" w:fldLock="1"/>
      </w:r>
      <w:r w:rsidR="009B3ECA">
        <w:rPr>
          <w:rFonts w:eastAsia="Arial"/>
        </w:rPr>
        <w:instrText>ADDIN CSL_CITATION {"citationItems":[{"id":"ITEM-1","itemData":{"DOI":"10.1016/j.mfglet.2018.09.002","ISSN":"22138463","abstract":"The recent White House report on Artificial Intelligence (AI) (Lee, 2016) highlights the significance of AI and the necessity of a clear roadmap and strategic investment in this area. As AI emerges from science fiction to become the frontier of world-changing technologies, there is an urgent need for systematic development and implementation of AI to see its real impact in the next generation of industrial systems, namely Industry 4.0. Within the 5C architecture previously proposed in Lee et al. (2015), this paper provides an insight into the current state of AI technologies and the eco-system required to harness the power of AI in industrial applications.","author":[{"dropping-particle":"","family":"Lee","given":"Jay","non-dropping-particle":"","parse-names":false,"suffix":""},{"dropping-particle":"","family":"Davari","given":"Hossein","non-dropping-particle":"","parse-names":false,"suffix":""},{"dropping-particle":"","family":"Singh","given":"Jaskaran","non-dropping-particle":"","parse-names":false,"suffix":""},{"dropping-particle":"","family":"Pandhare","given":"Vibhor","non-dropping-particle":"","parse-names":false,"suffix":""}],"container-title":"Manufacturing Letters","id":"ITEM-1","issued":{"date-parts":[["2018","10","1"]]},"page":"20-23","publisher":"Elsevier","title":"Industrial Artificial Intelligence for industry 4.0-based manufacturing systems","type":"article-journal","volume":"18"},"uris":["http://www.mendeley.com/documents/?uuid=0970e72c-97e8-3885-9971-6a2577fe35dc"]}],"mendeley":{"formattedCitation":"(Lee et al. 2018)","plainTextFormattedCitation":"(Lee et al. 2018)","previouslyFormattedCitation":"(Lee et al. 2018)"},"properties":{"noteIndex":0},"schema":"https://github.com/citation-style-language/schema/raw/master/csl-citation.json"}</w:instrText>
      </w:r>
      <w:r w:rsidR="00176FB0">
        <w:rPr>
          <w:rFonts w:eastAsia="Arial"/>
        </w:rPr>
        <w:fldChar w:fldCharType="separate"/>
      </w:r>
      <w:r w:rsidR="00176FB0" w:rsidRPr="00176FB0">
        <w:rPr>
          <w:rFonts w:eastAsia="Arial"/>
          <w:noProof/>
        </w:rPr>
        <w:t>(Lee et al. 2018)</w:t>
      </w:r>
      <w:r w:rsidR="00176FB0">
        <w:rPr>
          <w:rFonts w:eastAsia="Arial"/>
        </w:rPr>
        <w:fldChar w:fldCharType="end"/>
      </w:r>
      <w:r>
        <w:rPr>
          <w:rFonts w:eastAsia="Arial"/>
        </w:rPr>
        <w:t>.</w:t>
      </w:r>
      <w:r w:rsidR="00F55A33">
        <w:rPr>
          <w:rFonts w:eastAsia="Arial"/>
        </w:rPr>
        <w:t xml:space="preserve"> </w:t>
      </w:r>
    </w:p>
    <w:p w14:paraId="4C023B41" w14:textId="0CA80EB3" w:rsidR="00B342AA" w:rsidRDefault="00B342AA" w:rsidP="00A50FE4">
      <w:pPr>
        <w:rPr>
          <w:rFonts w:eastAsia="Arial"/>
        </w:rPr>
      </w:pPr>
    </w:p>
    <w:p w14:paraId="26489397" w14:textId="0CC676EE" w:rsidR="00B342AA" w:rsidRDefault="00B342AA" w:rsidP="00A50FE4">
      <w:r w:rsidRPr="00B342AA">
        <w:t xml:space="preserve">AI is transforming engineering education by making learning more personalized, efficient, and accessible. It enables adaptive instruction tailored to individual student needs, enhances creativity and problem-solving through advanced tools, and automates routine tasks so students can focus on higher-level thinking. AI also expands access to quality education via virtual platforms and provides real-time feedback that improves learning outcomes. At the same time, it aligns education with modern industry practices, supports interdisciplinary collaboration, and </w:t>
      </w:r>
      <w:r w:rsidRPr="00B342AA">
        <w:lastRenderedPageBreak/>
        <w:t>promotes lifelong learning</w:t>
      </w:r>
      <w:r>
        <w:t xml:space="preserve">, </w:t>
      </w:r>
      <w:r w:rsidRPr="00B342AA">
        <w:t>preparing future engineers to continuously adapt in a rapidly evolving technological landscape.</w:t>
      </w:r>
    </w:p>
    <w:p w14:paraId="0A3E870D" w14:textId="77777777" w:rsidR="00385983" w:rsidRPr="001940B0" w:rsidRDefault="00385983" w:rsidP="00385983">
      <w:pPr>
        <w:pStyle w:val="NormalWCCM"/>
        <w:ind w:firstLine="0"/>
        <w:rPr>
          <w:rFonts w:ascii="Arial" w:hAnsi="Arial" w:cs="Arial"/>
          <w:szCs w:val="20"/>
        </w:rPr>
      </w:pPr>
    </w:p>
    <w:p w14:paraId="1BCFC090" w14:textId="70EA639A" w:rsidR="00385983" w:rsidRPr="001940B0" w:rsidRDefault="00385983" w:rsidP="00385983">
      <w:pPr>
        <w:pStyle w:val="Heading1"/>
        <w:rPr>
          <w:rFonts w:ascii="Arial" w:hAnsi="Arial" w:cs="Arial"/>
        </w:rPr>
      </w:pPr>
      <w:r>
        <w:rPr>
          <w:rFonts w:ascii="Arial" w:hAnsi="Arial" w:cs="Arial"/>
        </w:rPr>
        <w:t>risks and challenges</w:t>
      </w:r>
    </w:p>
    <w:p w14:paraId="3E89137C" w14:textId="77777777" w:rsidR="00385983" w:rsidRDefault="00385983" w:rsidP="00385983">
      <w:pPr>
        <w:autoSpaceDE w:val="0"/>
        <w:autoSpaceDN w:val="0"/>
        <w:adjustRightInd w:val="0"/>
        <w:rPr>
          <w:color w:val="000000"/>
        </w:rPr>
      </w:pPr>
    </w:p>
    <w:p w14:paraId="68D1E28F" w14:textId="04CBC00F" w:rsidR="00385983" w:rsidRDefault="00385983" w:rsidP="00906F68">
      <w:r>
        <w:rPr>
          <w:rFonts w:eastAsia="Arial"/>
        </w:rPr>
        <w:t xml:space="preserve">Despite these opportunities, AI adoption introduces important risks. A major concern is overdependence. If students routinely </w:t>
      </w:r>
      <w:r w:rsidR="00B342AA">
        <w:rPr>
          <w:rFonts w:eastAsia="Arial"/>
        </w:rPr>
        <w:t>rely on AI-generated solutions without understanding the underlying</w:t>
      </w:r>
      <w:r>
        <w:rPr>
          <w:rFonts w:eastAsia="Arial"/>
        </w:rPr>
        <w:t xml:space="preserve"> principles, their ability to perform independent analysis may decline</w:t>
      </w:r>
      <w:r w:rsidR="00B342AA">
        <w:rPr>
          <w:rFonts w:eastAsia="Arial"/>
        </w:rPr>
        <w:t xml:space="preserve">, leading to </w:t>
      </w:r>
      <w:r w:rsidR="00B342AA" w:rsidRPr="00B342AA">
        <w:rPr>
          <w:rFonts w:eastAsia="Arial"/>
        </w:rPr>
        <w:t>“black-box” thinking</w:t>
      </w:r>
      <w:r>
        <w:rPr>
          <w:rFonts w:eastAsia="Arial"/>
        </w:rPr>
        <w:t xml:space="preserve">. This risk is </w:t>
      </w:r>
      <w:r w:rsidR="008D2379">
        <w:rPr>
          <w:rFonts w:eastAsia="Arial"/>
        </w:rPr>
        <w:t>particularly</w:t>
      </w:r>
      <w:r>
        <w:rPr>
          <w:rFonts w:eastAsia="Arial"/>
        </w:rPr>
        <w:t xml:space="preserve"> serious in engineering, where errors in assumption</w:t>
      </w:r>
      <w:r w:rsidR="008D2379">
        <w:rPr>
          <w:rFonts w:eastAsia="Arial"/>
        </w:rPr>
        <w:t>s, units, boundary conditions, a</w:t>
      </w:r>
      <w:r w:rsidR="00F7273A">
        <w:rPr>
          <w:rFonts w:eastAsia="Arial"/>
        </w:rPr>
        <w:t>nd</w:t>
      </w:r>
      <w:r>
        <w:rPr>
          <w:rFonts w:eastAsia="Arial"/>
        </w:rPr>
        <w:t xml:space="preserve"> interpretation can </w:t>
      </w:r>
      <w:r w:rsidR="008D2379">
        <w:rPr>
          <w:rFonts w:eastAsia="Arial"/>
        </w:rPr>
        <w:t>result</w:t>
      </w:r>
      <w:r>
        <w:rPr>
          <w:rFonts w:eastAsia="Arial"/>
        </w:rPr>
        <w:t xml:space="preserve"> </w:t>
      </w:r>
      <w:r w:rsidR="00F7273A">
        <w:rPr>
          <w:rFonts w:eastAsia="Arial"/>
        </w:rPr>
        <w:t>in</w:t>
      </w:r>
      <w:r>
        <w:rPr>
          <w:rFonts w:eastAsia="Arial"/>
        </w:rPr>
        <w:t xml:space="preserve"> unsafe designs. AI tools can generate fluent but incorrect responses, and students may accept these </w:t>
      </w:r>
      <w:r w:rsidR="009D2B08">
        <w:rPr>
          <w:rFonts w:eastAsia="Arial"/>
        </w:rPr>
        <w:t xml:space="preserve">AI-based </w:t>
      </w:r>
      <w:r>
        <w:rPr>
          <w:rFonts w:eastAsia="Arial"/>
        </w:rPr>
        <w:t>outputs when they lack the confidence or knowledge to challenge them</w:t>
      </w:r>
      <w:r w:rsidR="009B2C7D">
        <w:rPr>
          <w:rFonts w:eastAsia="Arial"/>
        </w:rPr>
        <w:t xml:space="preserve"> </w:t>
      </w:r>
      <w:r w:rsidR="00191A77">
        <w:rPr>
          <w:rFonts w:eastAsia="Arial"/>
        </w:rPr>
        <w:fldChar w:fldCharType="begin" w:fldLock="1"/>
      </w:r>
      <w:r w:rsidR="009B3ECA">
        <w:rPr>
          <w:rFonts w:eastAsia="Arial"/>
        </w:rPr>
        <w:instrText>ADDIN CSL_CITATION {"citationItems":[{"id":"ITEM-1","itemData":{"ISBN":"978-1-509-52896-7","abstract":"Developments in AI, robotics and big data are changing the nature of education. Yet the implications of these technologies for the teaching profession are uncertain. While most educators remain convinced of the need for human teachers, outside the profession there is growing anticipation of a technological reinvention of the ways in which teaching and learning take place. Through an examination of technological developments such as autonomous classroom robots, intelligent tutoring systems, learning analytics and automated decision-making, Neil Selwyn highlights the need for nuanced discussions around the capacity of AI to replicate the social, emotional and cognitive qualities of human teachers. He pushes conversations about AI and education into the realm of values, judgements and politics, ultimately arguing that the integration of any technology into society must be presented as a choice. \"Should Robots Replace Teachers?\" is a must-read for anyone interested in the","author":[{"dropping-particle":"","family":"Selwyn","given":"Neil.","non-dropping-particle":"","parse-names":false,"suffix":""}],"container-title":"John Wiley &amp; Sons, Inc","id":"ITEM-1","issued":{"date-parts":[["2019"]]},"number-of-pages":"145","publisher":"John Wiley &amp; Sons, Inc","title":"Should Robots Replace Teachers? AI and the Future of Education.","type":"book"},"uris":["http://www.mendeley.com/documents/?uuid=83b23327-bf7e-334b-861d-9405fe0cddc7"]},{"id":"ITEM-2","itemData":{"DOI":"10.1080/14703297.2023.2190148","ISSN":"1470-3297","abstract":"ChatGPT is a variant of the GPT-3 (Generative Pre-trained Transformer 3, Brown et al., 2020) artificial intelligence language model developed by OpenAI. It is specifically designed to generate huma...","author":[{"dropping-particle":"","family":"Cotton","given":"Debby R. E.","non-dropping-particle":"","parse-names":false,"suffix":""},{"dropping-particle":"","family":"Cotton","given":"Peter A.","non-dropping-particle":"","parse-names":false,"suffix":""},{"dropping-particle":"","family":"Shipway","given":"J. Reuben","non-dropping-particle":"","parse-names":false,"suffix":""}],"container-title":"Innovations in Education and Teaching International","id":"ITEM-2","issue":"2","issued":{"date-parts":[["2024","3","3"]]},"page":"228-239","publisher":"Routledge","title":"Chatting and cheating: Ensuring academic integrity in the era of ChatGPT","type":"article-journal","volume":"61"},"uris":["http://www.mendeley.com/documents/?uuid=d3b2c356-b91d-3a26-ae80-11fd2338002e"]}],"mendeley":{"formattedCitation":"(Cotton et al. 2024; Selwyn 2019)","plainTextFormattedCitation":"(Cotton et al. 2024; Selwyn 2019)","previouslyFormattedCitation":"(Cotton et al. 2024; Selwyn 2019)"},"properties":{"noteIndex":0},"schema":"https://github.com/citation-style-language/schema/raw/master/csl-citation.json"}</w:instrText>
      </w:r>
      <w:r w:rsidR="00191A77">
        <w:rPr>
          <w:rFonts w:eastAsia="Arial"/>
        </w:rPr>
        <w:fldChar w:fldCharType="separate"/>
      </w:r>
      <w:r w:rsidR="00191A77" w:rsidRPr="00191A77">
        <w:rPr>
          <w:rFonts w:eastAsia="Arial"/>
          <w:noProof/>
        </w:rPr>
        <w:t>(Cotton et al. 2024; Selwyn 2019)</w:t>
      </w:r>
      <w:r w:rsidR="00191A77">
        <w:rPr>
          <w:rFonts w:eastAsia="Arial"/>
        </w:rPr>
        <w:fldChar w:fldCharType="end"/>
      </w:r>
      <w:r w:rsidR="00191A77">
        <w:rPr>
          <w:rFonts w:eastAsia="Arial"/>
        </w:rPr>
        <w:t>.</w:t>
      </w:r>
      <w:r w:rsidR="00906F68">
        <w:rPr>
          <w:rFonts w:eastAsia="Arial"/>
        </w:rPr>
        <w:t xml:space="preserve"> </w:t>
      </w:r>
    </w:p>
    <w:p w14:paraId="56ED82C1" w14:textId="77777777" w:rsidR="00385983" w:rsidRDefault="00385983" w:rsidP="00385983"/>
    <w:p w14:paraId="70BE1B26" w14:textId="5943F6E8" w:rsidR="00385983" w:rsidRDefault="00385983" w:rsidP="00906F68">
      <w:r>
        <w:rPr>
          <w:rFonts w:eastAsia="Arial"/>
        </w:rPr>
        <w:t xml:space="preserve">A related concern is </w:t>
      </w:r>
      <w:r w:rsidR="008D074C">
        <w:rPr>
          <w:rFonts w:eastAsia="Arial"/>
        </w:rPr>
        <w:t>loss</w:t>
      </w:r>
      <w:r>
        <w:rPr>
          <w:rFonts w:eastAsia="Arial"/>
        </w:rPr>
        <w:t xml:space="preserve"> of foundational skills. Mathematics, mechanics, programming, </w:t>
      </w:r>
      <w:r w:rsidR="00B03A3E">
        <w:rPr>
          <w:rFonts w:eastAsia="Arial"/>
        </w:rPr>
        <w:t xml:space="preserve">technical drawing, </w:t>
      </w:r>
      <w:r>
        <w:rPr>
          <w:rFonts w:eastAsia="Arial"/>
        </w:rPr>
        <w:t xml:space="preserve">and analytical reasoning remain </w:t>
      </w:r>
      <w:r w:rsidR="00B03A3E">
        <w:rPr>
          <w:rFonts w:eastAsia="Arial"/>
        </w:rPr>
        <w:t>vital</w:t>
      </w:r>
      <w:r>
        <w:rPr>
          <w:rFonts w:eastAsia="Arial"/>
        </w:rPr>
        <w:t xml:space="preserve"> to engineering formation. </w:t>
      </w:r>
      <w:r w:rsidR="00775554">
        <w:rPr>
          <w:rFonts w:eastAsia="Arial"/>
        </w:rPr>
        <w:t xml:space="preserve">Thus, </w:t>
      </w:r>
      <w:r>
        <w:rPr>
          <w:rFonts w:eastAsia="Arial"/>
        </w:rPr>
        <w:t xml:space="preserve">AI can support these skills, but it can also mask </w:t>
      </w:r>
      <w:r w:rsidR="00F66BA3">
        <w:rPr>
          <w:rFonts w:eastAsia="Arial"/>
        </w:rPr>
        <w:t>flaws</w:t>
      </w:r>
      <w:r>
        <w:rPr>
          <w:rFonts w:eastAsia="Arial"/>
        </w:rPr>
        <w:t xml:space="preserve"> if students </w:t>
      </w:r>
      <w:r w:rsidR="00F66BA3">
        <w:rPr>
          <w:rFonts w:eastAsia="Arial"/>
        </w:rPr>
        <w:t>adopt</w:t>
      </w:r>
      <w:r>
        <w:rPr>
          <w:rFonts w:eastAsia="Arial"/>
        </w:rPr>
        <w:t xml:space="preserve"> it to complete assignments without active engagement</w:t>
      </w:r>
      <w:r w:rsidR="00EF43FF">
        <w:rPr>
          <w:rFonts w:eastAsia="Arial"/>
        </w:rPr>
        <w:t xml:space="preserve"> </w:t>
      </w:r>
      <w:r w:rsidR="004E116B">
        <w:rPr>
          <w:rFonts w:eastAsia="Arial"/>
        </w:rPr>
        <w:fldChar w:fldCharType="begin" w:fldLock="1"/>
      </w:r>
      <w:r w:rsidR="009B3ECA">
        <w:rPr>
          <w:rFonts w:eastAsia="Arial"/>
        </w:rPr>
        <w:instrText>ADDIN CSL_CITATION {"citationItems":[{"id":"ITEM-1","itemData":{"DOI":"10.1016/j.lindif.2023.102274","ISSN":"10416080","abstract":"Large language models represent a significant advancement in the field of AI. The underlying technology is key to further innovations and, despite critical views and even bans within communities and regions, large language models are here to stay. This commentary presents the potential benefits and challenges of educational applications of large language models, from student and teacher perspectives. We briefly discuss the current state of large language models and their applications. We then highlight how these models can be used to create educational content, improve student engagement and interaction, and personalize learning experiences. With regard to challenges, we argue that large language models in education require teachers and learners to develop sets of competencies and literacies necessary to both understand the technology as well as their limitations and unexpected brittleness of such systems. In addition, a clear strategy within educational systems and a clear pedagogical approach with a strong focus on critical thinking and strategies for fact checking are required to integrate and take full advantage of large language models in learning settings and teaching curricula. Other challenges such as the potential bias in the output, the need for continuous human oversight, and the potential for misuse are not unique to the application of AI in education. But we believe that, if handled sensibly, these challenges can offer insights and opportunities in education scenarios to acquaint students early on with potential societal biases, criticalities, and risks of AI applications. We conclude with recommendations for how to address these challenges and ensure that such models are used in a responsible and ethical manner in education.","author":[{"dropping-particle":"","family":"Kasneci","given":"Enkelejda","non-dropping-particle":"","parse-names":false,"suffix":""},{"dropping-particle":"","family":"Sessler","given":"Kathrin","non-dropping-particle":"","parse-names":false,"suffix":""},{"dropping-particle":"","family":"Küchemann","given":"Stefan","non-dropping-particle":"","parse-names":false,"suffix":""},{"dropping-particle":"","family":"Bannert","given":"Maria","non-dropping-particle":"","parse-names":false,"suffix":""},{"dropping-particle":"","family":"Dementieva","given":"Daryna","non-dropping-particle":"","parse-names":false,"suffix":""},{"dropping-particle":"","family":"Fischer","given":"Frank","non-dropping-particle":"","parse-names":false,"suffix":""},{"dropping-particle":"","family":"Gasser","given":"Urs","non-dropping-particle":"","parse-names":false,"suffix":""},{"dropping-particle":"","family":"Groh","given":"Georg","non-dropping-particle":"","parse-names":false,"suffix":""},{"dropping-particle":"","family":"Günnemann","given":"Stephan","non-dropping-particle":"","parse-names":false,"suffix":""},{"dropping-particle":"","family":"Hüllermeier","given":"Eyke","non-dropping-particle":"","parse-names":false,"suffix":""},{"dropping-particle":"","family":"Krusche","given":"Stephan","non-dropping-particle":"","parse-names":false,"suffix":""},{"dropping-particle":"","family":"Kutyniok","given":"Gitta","non-dropping-particle":"","parse-names":false,"suffix":""},{"dropping-particle":"","family":"Michaeli","given":"Tilman","non-dropping-particle":"","parse-names":false,"suffix":""},{"dropping-particle":"","family":"Nerdel","given":"Claudia","non-dropping-particle":"","parse-names":false,"suffix":""},{"dropping-particle":"","family":"Pfeffer","given":"Jürgen","non-dropping-particle":"","parse-names":false,"suffix":""},{"dropping-particle":"","family":"Poquet","given":"Oleksandra","non-dropping-particle":"","parse-names":false,"suffix":""},{"dropping-particle":"","family":"Sailer","given":"Michael","non-dropping-particle":"","parse-names":false,"suffix":""},{"dropping-particle":"","family":"Schmidt","given":"Albrecht","non-dropping-particle":"","parse-names":false,"suffix":""},{"dropping-particle":"","family":"Seidel","given":"Tina","non-dropping-particle":"","parse-names":false,"suffix":""},{"dropping-particle":"","family":"Stadler","given":"Matthias","non-dropping-particle":"","parse-names":false,"suffix":""},{"dropping-particle":"","family":"Weller","given":"Jochen","non-dropping-particle":"","parse-names":false,"suffix":""},{"dropping-particle":"","family":"Kuhn","given":"Jochen","non-dropping-particle":"","parse-names":false,"suffix":""},{"dropping-particle":"","family":"Kasneci","given":"Gjergji","non-dropping-particle":"","parse-names":false,"suffix":""}],"container-title":"Learning and Individual Differences","id":"ITEM-1","issued":{"date-parts":[["2023","4","1"]]},"page":"102274","publisher":"JAI","title":"ChatGPT for good? On opportunities and challenges of large language models for education","type":"article-journal","volume":"103"},"uris":["http://www.mendeley.com/documents/?uuid=2f564f7b-eb0d-3f10-bc25-f97daeb363b0"]}],"mendeley":{"formattedCitation":"(Kasneci et al. 2023)","plainTextFormattedCitation":"(Kasneci et al. 2023)","previouslyFormattedCitation":"(Kasneci et al. 2023)"},"properties":{"noteIndex":0},"schema":"https://github.com/citation-style-language/schema/raw/master/csl-citation.json"}</w:instrText>
      </w:r>
      <w:r w:rsidR="004E116B">
        <w:rPr>
          <w:rFonts w:eastAsia="Arial"/>
        </w:rPr>
        <w:fldChar w:fldCharType="separate"/>
      </w:r>
      <w:r w:rsidR="004E116B" w:rsidRPr="004E116B">
        <w:rPr>
          <w:rFonts w:eastAsia="Arial"/>
          <w:noProof/>
        </w:rPr>
        <w:t>(Kasneci et al. 2023)</w:t>
      </w:r>
      <w:r w:rsidR="004E116B">
        <w:rPr>
          <w:rFonts w:eastAsia="Arial"/>
        </w:rPr>
        <w:fldChar w:fldCharType="end"/>
      </w:r>
      <w:r w:rsidR="004E116B">
        <w:rPr>
          <w:rFonts w:eastAsia="Arial"/>
        </w:rPr>
        <w:t>.</w:t>
      </w:r>
      <w:r>
        <w:rPr>
          <w:rFonts w:eastAsia="Arial"/>
        </w:rPr>
        <w:t xml:space="preserve"> </w:t>
      </w:r>
      <w:r w:rsidR="00906F68" w:rsidRPr="00906F68">
        <w:rPr>
          <w:rFonts w:eastAsia="Arial"/>
        </w:rPr>
        <w:t>Heavy reliance on AI-generated solutions may reduce analytical reasoning</w:t>
      </w:r>
      <w:r w:rsidR="00906F68">
        <w:rPr>
          <w:rFonts w:eastAsia="Arial"/>
        </w:rPr>
        <w:t>, and s</w:t>
      </w:r>
      <w:r w:rsidR="00906F68" w:rsidRPr="00906F68">
        <w:rPr>
          <w:rFonts w:eastAsia="Arial"/>
        </w:rPr>
        <w:t>tudents may struggle to validate or question outputs</w:t>
      </w:r>
      <w:r w:rsidR="00906F68">
        <w:rPr>
          <w:rFonts w:eastAsia="Arial"/>
        </w:rPr>
        <w:t xml:space="preserve">. </w:t>
      </w:r>
      <w:r w:rsidR="00F66BA3">
        <w:rPr>
          <w:rFonts w:eastAsia="Arial"/>
        </w:rPr>
        <w:t>Therefore, e</w:t>
      </w:r>
      <w:r>
        <w:rPr>
          <w:rFonts w:eastAsia="Arial"/>
        </w:rPr>
        <w:t>ngineering programs must distinguish between AI</w:t>
      </w:r>
      <w:r w:rsidR="001243EE">
        <w:rPr>
          <w:rFonts w:eastAsia="Arial"/>
        </w:rPr>
        <w:t xml:space="preserve"> usage</w:t>
      </w:r>
      <w:r>
        <w:rPr>
          <w:rFonts w:eastAsia="Arial"/>
        </w:rPr>
        <w:t xml:space="preserve"> that develops competence and </w:t>
      </w:r>
      <w:r w:rsidR="00EF43FF">
        <w:rPr>
          <w:rFonts w:eastAsia="Arial"/>
        </w:rPr>
        <w:t>that replaces learning</w:t>
      </w:r>
      <w:r w:rsidR="008A3180">
        <w:rPr>
          <w:rFonts w:eastAsia="Arial"/>
        </w:rPr>
        <w:t xml:space="preserve"> </w:t>
      </w:r>
      <w:r w:rsidR="008A3180">
        <w:rPr>
          <w:rFonts w:eastAsia="Arial"/>
        </w:rPr>
        <w:fldChar w:fldCharType="begin" w:fldLock="1"/>
      </w:r>
      <w:r w:rsidR="009B3ECA">
        <w:rPr>
          <w:rFonts w:eastAsia="Arial"/>
        </w:rPr>
        <w:instrText>ADDIN CSL_CITATION {"citationItems":[{"id":"ITEM-1","itemData":{"DOI":"10.1145/3442188.3445922","ISBN":"9781450383097","abstract":"The past 3 years of work in NLP have been characterized by the development and deployment of ever larger language models, especially for English. BERT, its variants, GPT-2/3, and others, most recently Switch-C, have pushed the boundaries of the possible both through architectural innovations and through sheer size. Using these pretrained models and the methodology of fine-tuning them for specific tasks, researchers have extended the state of the art on a wide array of tasks as measured by leaderboards on specific benchmarks for English. In this paper, we take a step back and ask: How big is too big? What are the possible risks associated with this technology and what paths are available for mitigating those risks? We provide recommendations including weighing the environmental and financial costs first, investing resources into curating and carefully documenting datasets rather than ingesting everything on the web, carrying out pre-development exercises evaluating how the planned approach fits into research and development goals and supports stakeholder values, and encouraging research directions beyond ever larger language models.","author":[{"dropping-particle":"","family":"Bender","given":"Emily M.","non-dropping-particle":"","parse-names":false,"suffix":""},{"dropping-particle":"","family":"Gebru","given":"Timnit","non-dropping-particle":"","parse-names":false,"suffix":""},{"dropping-particle":"","family":"McMillan-Major","given":"Angelina","non-dropping-particle":"","parse-names":false,"suffix":""},{"dropping-particle":"","family":"Shmitchell","given":"Shmargaret","non-dropping-particle":"","parse-names":false,"suffix":""}],"container-title":"Proceedings of the 2021 ACM Conference on Fairness, Accountability, and Transparency","id":"ITEM-1","issued":{"date-parts":[["2021","3","3"]]},"page":"610-623","publisher":"ACM","publisher-place":"New York, NY, USA","title":"On the Dangers of Stochastic Parrots","type":"paper-conference"},"uris":["http://www.mendeley.com/documents/?uuid=f42eb715-474c-32d3-85d1-0127c49ab6dd"]}],"mendeley":{"formattedCitation":"(Bender et al. 2021)","plainTextFormattedCitation":"(Bender et al. 2021)","previouslyFormattedCitation":"(Bender et al. 2021)"},"properties":{"noteIndex":0},"schema":"https://github.com/citation-style-language/schema/raw/master/csl-citation.json"}</w:instrText>
      </w:r>
      <w:r w:rsidR="008A3180">
        <w:rPr>
          <w:rFonts w:eastAsia="Arial"/>
        </w:rPr>
        <w:fldChar w:fldCharType="separate"/>
      </w:r>
      <w:r w:rsidR="008A3180" w:rsidRPr="008A3180">
        <w:rPr>
          <w:rFonts w:eastAsia="Arial"/>
          <w:noProof/>
        </w:rPr>
        <w:t>(Bender et al. 2021)</w:t>
      </w:r>
      <w:r w:rsidR="008A3180">
        <w:rPr>
          <w:rFonts w:eastAsia="Arial"/>
        </w:rPr>
        <w:fldChar w:fldCharType="end"/>
      </w:r>
      <w:r w:rsidR="00EF43FF">
        <w:t>.</w:t>
      </w:r>
      <w:r w:rsidR="00906F68">
        <w:t xml:space="preserve"> Virtual tools may reduce exposure to physical experiments and fieldwork, potentially weakening practical engineering intuition, which is critical while engineers serve in the field. </w:t>
      </w:r>
    </w:p>
    <w:p w14:paraId="4824765E" w14:textId="77777777" w:rsidR="00385983" w:rsidRDefault="00385983" w:rsidP="00385983"/>
    <w:p w14:paraId="39DDCDD7" w14:textId="65D0E939" w:rsidR="00385983" w:rsidRDefault="008071D2" w:rsidP="00906F68">
      <w:r>
        <w:rPr>
          <w:rFonts w:eastAsia="Arial"/>
        </w:rPr>
        <w:t>Furthermore, a</w:t>
      </w:r>
      <w:r w:rsidR="00385983">
        <w:rPr>
          <w:rFonts w:eastAsia="Arial"/>
        </w:rPr>
        <w:t xml:space="preserve">cademic integrity is another major challenge. Generative AI complicates </w:t>
      </w:r>
      <w:r w:rsidR="00675C5E">
        <w:rPr>
          <w:rFonts w:eastAsia="Arial"/>
        </w:rPr>
        <w:t>conventional</w:t>
      </w:r>
      <w:r w:rsidR="00385983">
        <w:rPr>
          <w:rFonts w:eastAsia="Arial"/>
        </w:rPr>
        <w:t xml:space="preserve"> </w:t>
      </w:r>
      <w:r w:rsidR="00675C5E">
        <w:rPr>
          <w:rFonts w:eastAsia="Arial"/>
        </w:rPr>
        <w:t>evaluation</w:t>
      </w:r>
      <w:r w:rsidR="00385983">
        <w:rPr>
          <w:rFonts w:eastAsia="Arial"/>
        </w:rPr>
        <w:t xml:space="preserve"> because it can </w:t>
      </w:r>
      <w:r w:rsidR="00EA15A9">
        <w:rPr>
          <w:rFonts w:eastAsia="Arial"/>
        </w:rPr>
        <w:t>generate</w:t>
      </w:r>
      <w:r w:rsidR="00385983">
        <w:rPr>
          <w:rFonts w:eastAsia="Arial"/>
        </w:rPr>
        <w:t xml:space="preserve"> essays, code, calculations, and design narratives with minimal student input. This makes authorship difficult to </w:t>
      </w:r>
      <w:r w:rsidR="001E4E34">
        <w:rPr>
          <w:rFonts w:eastAsia="Arial"/>
        </w:rPr>
        <w:t>substantiate</w:t>
      </w:r>
      <w:r w:rsidR="00385983">
        <w:rPr>
          <w:rFonts w:eastAsia="Arial"/>
        </w:rPr>
        <w:t xml:space="preserve"> and may reduce the reliability of </w:t>
      </w:r>
      <w:r w:rsidR="00790EF3">
        <w:rPr>
          <w:rFonts w:eastAsia="Arial"/>
        </w:rPr>
        <w:t>assignment</w:t>
      </w:r>
      <w:r w:rsidR="00385983">
        <w:rPr>
          <w:rFonts w:eastAsia="Arial"/>
        </w:rPr>
        <w:t xml:space="preserve"> </w:t>
      </w:r>
      <w:r w:rsidR="001E4E34">
        <w:rPr>
          <w:rFonts w:eastAsia="Arial"/>
        </w:rPr>
        <w:t>evaluations</w:t>
      </w:r>
      <w:r w:rsidR="00DA3C91">
        <w:rPr>
          <w:rFonts w:eastAsia="Arial"/>
        </w:rPr>
        <w:t xml:space="preserve"> </w:t>
      </w:r>
      <w:r w:rsidR="003B441E">
        <w:rPr>
          <w:rFonts w:eastAsia="Arial"/>
        </w:rPr>
        <w:fldChar w:fldCharType="begin" w:fldLock="1"/>
      </w:r>
      <w:r w:rsidR="009B3ECA">
        <w:rPr>
          <w:rFonts w:eastAsia="Arial"/>
        </w:rPr>
        <w:instrText>ADDIN CSL_CITATION {"citationItems":[{"id":"ITEM-1","itemData":{"DOI":"10.1080/14703297.2023.2190148","ISSN":"1470-3297","abstract":"ChatGPT is a variant of the GPT-3 (Generative Pre-trained Transformer 3, Brown et al., 2020) artificial intelligence language model developed by OpenAI. It is specifically designed to generate huma...","author":[{"dropping-particle":"","family":"Cotton","given":"Debby R. E.","non-dropping-particle":"","parse-names":false,"suffix":""},{"dropping-particle":"","family":"Cotton","given":"Peter A.","non-dropping-particle":"","parse-names":false,"suffix":""},{"dropping-particle":"","family":"Shipway","given":"J. Reuben","non-dropping-particle":"","parse-names":false,"suffix":""}],"container-title":"Innovations in Education and Teaching International","id":"ITEM-1","issue":"2","issued":{"date-parts":[["2024","3","3"]]},"page":"228-239","publisher":"Routledge","title":"Chatting and cheating: Ensuring academic integrity in the era of ChatGPT","type":"article-journal","volume":"61"},"uris":["http://www.mendeley.com/documents/?uuid=d3b2c356-b91d-3a26-ae80-11fd2338002e"]}],"mendeley":{"formattedCitation":"(Cotton et al. 2024)","plainTextFormattedCitation":"(Cotton et al. 2024)","previouslyFormattedCitation":"(Cotton et al. 2024)"},"properties":{"noteIndex":0},"schema":"https://github.com/citation-style-language/schema/raw/master/csl-citation.json"}</w:instrText>
      </w:r>
      <w:r w:rsidR="003B441E">
        <w:rPr>
          <w:rFonts w:eastAsia="Arial"/>
        </w:rPr>
        <w:fldChar w:fldCharType="separate"/>
      </w:r>
      <w:r w:rsidR="003B441E" w:rsidRPr="003B441E">
        <w:rPr>
          <w:rFonts w:eastAsia="Arial"/>
          <w:noProof/>
        </w:rPr>
        <w:t>(Cotton et al. 2024)</w:t>
      </w:r>
      <w:r w:rsidR="003B441E">
        <w:rPr>
          <w:rFonts w:eastAsia="Arial"/>
        </w:rPr>
        <w:fldChar w:fldCharType="end"/>
      </w:r>
      <w:r w:rsidR="00385983">
        <w:rPr>
          <w:rFonts w:eastAsia="Arial"/>
        </w:rPr>
        <w:t xml:space="preserve">. </w:t>
      </w:r>
      <w:r w:rsidR="00906F68">
        <w:rPr>
          <w:rFonts w:eastAsia="Arial"/>
        </w:rPr>
        <w:t xml:space="preserve">Besides, </w:t>
      </w:r>
      <w:r w:rsidR="00906F68" w:rsidRPr="00906F68">
        <w:rPr>
          <w:rFonts w:eastAsia="Arial"/>
        </w:rPr>
        <w:t>AI models may reflect biases in t</w:t>
      </w:r>
      <w:r w:rsidR="00906F68">
        <w:rPr>
          <w:rFonts w:eastAsia="Arial"/>
        </w:rPr>
        <w:t>heir training data, leading students to</w:t>
      </w:r>
      <w:r w:rsidR="00906F68" w:rsidRPr="00906F68">
        <w:rPr>
          <w:rFonts w:eastAsia="Arial"/>
        </w:rPr>
        <w:t xml:space="preserve"> </w:t>
      </w:r>
      <w:r w:rsidR="00906F68">
        <w:rPr>
          <w:rFonts w:eastAsia="Arial"/>
        </w:rPr>
        <w:t xml:space="preserve">propagate biased or flawed solutions unknowingly. </w:t>
      </w:r>
      <w:r w:rsidR="00906F68" w:rsidRPr="00906F68">
        <w:rPr>
          <w:rFonts w:eastAsia="Arial"/>
        </w:rPr>
        <w:t xml:space="preserve">The use of AI platforms in education may expose sensitive student data, </w:t>
      </w:r>
      <w:r w:rsidR="00906F68">
        <w:rPr>
          <w:rFonts w:eastAsia="Arial"/>
        </w:rPr>
        <w:t>raising ethical concerns about</w:t>
      </w:r>
      <w:r w:rsidR="00906F68" w:rsidRPr="00906F68">
        <w:rPr>
          <w:rFonts w:eastAsia="Arial"/>
        </w:rPr>
        <w:t xml:space="preserve"> privacy, data ownership, and the risk of increased surveillance.</w:t>
      </w:r>
      <w:r w:rsidR="00906F68">
        <w:rPr>
          <w:rFonts w:eastAsia="Arial"/>
        </w:rPr>
        <w:t xml:space="preserve"> </w:t>
      </w:r>
      <w:r w:rsidR="00FE04F8">
        <w:rPr>
          <w:rFonts w:eastAsia="Arial"/>
        </w:rPr>
        <w:t>Also,</w:t>
      </w:r>
      <w:r w:rsidR="00385983">
        <w:rPr>
          <w:rFonts w:eastAsia="Arial"/>
        </w:rPr>
        <w:t xml:space="preserve"> unequal access to advanced AI tools may create disparities between students who can afford premium </w:t>
      </w:r>
      <w:r w:rsidR="00FE04F8">
        <w:rPr>
          <w:rFonts w:eastAsia="Arial"/>
        </w:rPr>
        <w:t>packages</w:t>
      </w:r>
      <w:r w:rsidR="00385983">
        <w:rPr>
          <w:rFonts w:eastAsia="Arial"/>
        </w:rPr>
        <w:t xml:space="preserve"> and those who cannot. </w:t>
      </w:r>
      <w:r w:rsidR="00FE04F8">
        <w:rPr>
          <w:rFonts w:eastAsia="Arial"/>
        </w:rPr>
        <w:t>Thus, i</w:t>
      </w:r>
      <w:r w:rsidR="00385983">
        <w:rPr>
          <w:rFonts w:eastAsia="Arial"/>
        </w:rPr>
        <w:t>nstitutions must develop transparent policies that address disclosure, fairness, privacy, and responsible us</w:t>
      </w:r>
      <w:r w:rsidR="001D76C0">
        <w:rPr>
          <w:rFonts w:eastAsia="Arial"/>
        </w:rPr>
        <w:t>ag</w:t>
      </w:r>
      <w:r w:rsidR="00385983">
        <w:rPr>
          <w:rFonts w:eastAsia="Arial"/>
        </w:rPr>
        <w:t>e</w:t>
      </w:r>
      <w:r w:rsidR="00D43486">
        <w:rPr>
          <w:rFonts w:eastAsia="Arial"/>
        </w:rPr>
        <w:t xml:space="preserve"> </w:t>
      </w:r>
      <w:r w:rsidR="003B441E">
        <w:rPr>
          <w:rFonts w:eastAsia="Arial"/>
        </w:rPr>
        <w:fldChar w:fldCharType="begin" w:fldLock="1"/>
      </w:r>
      <w:r w:rsidR="009B3ECA">
        <w:rPr>
          <w:rFonts w:eastAsia="Arial"/>
        </w:rPr>
        <w:instrText>ADDIN CSL_CITATION {"citationItems":[{"id":"ITEM-1","itemData":{"DOI":"10.3390/INFO16100904/S1","ISSN":"20782489","abstract":"The rapid integration of artificial intelligence (AI) in content generation has encouraged the development of AI detection tools aimed at distinguishing between human- and AI-authored texts. These tools are increasingly adopted not only in academia but also in sensitive decision-making contexts, including candidate screening by hiring agencies in government and private sectors. This extensive reliance raises serious questions about their reliability, fairness, and appropriateness for high-stakes applications. This study evaluates the performance of six widely used AI content detection tools, namely Undetectable AI, Zerogpt.com, Zerogpt.net, Brandwell.ai, Gowinston.ai, and Crossplag, referred to as Tools A through F in this study. The assessment focused on the ability of the tools to identify human versus AI-generated content across multiple domains. Verified human-authored texts were gathered from reputable sources, including university websites, pre-ChatGPT publications in Nature and Science, government portals, and media outlets (e.g., BBC, US News). Complementary datasets of AI-generated texts were produced using ChatGPT-4o, encompassing coherent essays, nonsensical passages, and hybrid texts with grammatical errors, to test tool robustness. The results reveal significant performance limitations. The accuracy ranged from 14.3% (Tool B) to 71.4% (Tool D), with the precision and recall metrics showing inconsistent detection capabilities. The tools were also highly sensitive to minor textual modifications, where slight changes in phrasing could flip classifications between “AI-generated” and “human-authored.” Overall, the current AI detection tools lack the robustness and reliability needed for enforcing academic integrity or making employment-related decisions. The findings highlight an urgent need for more transparent, accurate, and context-aware frameworks before these tools can be responsibly incorporated into critical institutional or societal processes.","author":[{"dropping-particle":"","family":"Wakjira","given":"Tadesse G.","non-dropping-particle":"","parse-names":false,"suffix":""},{"dropping-particle":"","family":"Tijani","given":"Ibrahim A.","non-dropping-particle":"","parse-names":false,"suffix":""},{"dropping-particle":"","family":"Alam","given":"M. Shahria","non-dropping-particle":"","parse-names":false,"suffix":""},{"dropping-particle":"","family":"Mashal","given":"Mustafa","non-dropping-particle":"","parse-names":false,"suffix":""},{"dropping-particle":"","family":"Hasan","given":"Mohammad Khalad","non-dropping-particle":"","parse-names":false,"suffix":""}],"container-title":"Information","id":"ITEM-1","issue":"10","issued":{"date-parts":[["2025","10","1"]]},"page":"904","publisher":"Multidisciplinary Digital Publishing Institute (MDPI)","title":"Can We Trust AI Content Detection Tools for Critical Decision-Making?","type":"article-journal","volume":"16"},"uris":["http://www.mendeley.com/documents/?uuid=08e8c3c4-0a86-34c0-923c-edafb5bd3a16"]}],"mendeley":{"formattedCitation":"(Wakjira et al. 2025)","plainTextFormattedCitation":"(Wakjira et al. 2025)","previouslyFormattedCitation":"(Wakjira et al. 2025)"},"properties":{"noteIndex":0},"schema":"https://github.com/citation-style-language/schema/raw/master/csl-citation.json"}</w:instrText>
      </w:r>
      <w:r w:rsidR="003B441E">
        <w:rPr>
          <w:rFonts w:eastAsia="Arial"/>
        </w:rPr>
        <w:fldChar w:fldCharType="separate"/>
      </w:r>
      <w:r w:rsidR="003B441E" w:rsidRPr="003B441E">
        <w:rPr>
          <w:rFonts w:eastAsia="Arial"/>
          <w:noProof/>
        </w:rPr>
        <w:t>(Wakjira et al. 2025)</w:t>
      </w:r>
      <w:r w:rsidR="003B441E">
        <w:rPr>
          <w:rFonts w:eastAsia="Arial"/>
        </w:rPr>
        <w:fldChar w:fldCharType="end"/>
      </w:r>
      <w:r w:rsidR="003B441E">
        <w:rPr>
          <w:rFonts w:eastAsia="Arial"/>
        </w:rPr>
        <w:t>.</w:t>
      </w:r>
      <w:r w:rsidR="00906F68">
        <w:rPr>
          <w:rFonts w:eastAsia="Arial"/>
        </w:rPr>
        <w:t xml:space="preserve"> </w:t>
      </w:r>
    </w:p>
    <w:p w14:paraId="2BBD476D" w14:textId="3959A847" w:rsidR="00385983" w:rsidRDefault="00385983" w:rsidP="00385983">
      <w:pPr>
        <w:pStyle w:val="NormalWCCM"/>
        <w:ind w:firstLine="0"/>
        <w:rPr>
          <w:rFonts w:ascii="Arial" w:hAnsi="Arial" w:cs="Arial"/>
          <w:szCs w:val="20"/>
        </w:rPr>
      </w:pPr>
    </w:p>
    <w:p w14:paraId="3F9985A2" w14:textId="77777777" w:rsidR="00385983" w:rsidRPr="001940B0" w:rsidRDefault="00385983" w:rsidP="00385983">
      <w:pPr>
        <w:pStyle w:val="NormalWCCM"/>
        <w:ind w:firstLine="0"/>
        <w:rPr>
          <w:rFonts w:ascii="Arial" w:hAnsi="Arial" w:cs="Arial"/>
          <w:szCs w:val="20"/>
        </w:rPr>
      </w:pPr>
    </w:p>
    <w:p w14:paraId="1769F019" w14:textId="1976083B" w:rsidR="00385983" w:rsidRPr="001940B0" w:rsidRDefault="008071D2" w:rsidP="00385983">
      <w:pPr>
        <w:pStyle w:val="Heading1"/>
        <w:rPr>
          <w:rFonts w:ascii="Arial" w:hAnsi="Arial" w:cs="Arial"/>
        </w:rPr>
      </w:pPr>
      <w:r>
        <w:rPr>
          <w:rFonts w:ascii="Arial" w:hAnsi="Arial" w:cs="Arial"/>
        </w:rPr>
        <w:t>implications for curriculum and assessment</w:t>
      </w:r>
    </w:p>
    <w:p w14:paraId="1E903A34" w14:textId="1C182F65" w:rsidR="000C1D4D" w:rsidRDefault="000C1D4D" w:rsidP="000C1D4D">
      <w:pPr>
        <w:autoSpaceDE w:val="0"/>
        <w:autoSpaceDN w:val="0"/>
        <w:adjustRightInd w:val="0"/>
        <w:rPr>
          <w:color w:val="000000"/>
        </w:rPr>
      </w:pPr>
    </w:p>
    <w:p w14:paraId="1AF4ACA8" w14:textId="660F7F6E" w:rsidR="00EF43FF" w:rsidRDefault="00EF43FF" w:rsidP="00EF43FF">
      <w:pPr>
        <w:rPr>
          <w:rFonts w:eastAsia="Arial"/>
        </w:rPr>
      </w:pPr>
      <w:r>
        <w:rPr>
          <w:rFonts w:eastAsia="Arial"/>
        </w:rPr>
        <w:t xml:space="preserve">Engineering education should respond to AI by </w:t>
      </w:r>
      <w:r w:rsidR="009B5CDF">
        <w:rPr>
          <w:rFonts w:eastAsia="Arial"/>
        </w:rPr>
        <w:t>restructuring</w:t>
      </w:r>
      <w:r>
        <w:rPr>
          <w:rFonts w:eastAsia="Arial"/>
        </w:rPr>
        <w:t xml:space="preserve"> curricula and assessments rather than by attempting to </w:t>
      </w:r>
      <w:r w:rsidR="009B5CDF">
        <w:rPr>
          <w:rFonts w:eastAsia="Arial"/>
        </w:rPr>
        <w:t>disregard</w:t>
      </w:r>
      <w:r>
        <w:rPr>
          <w:rFonts w:eastAsia="Arial"/>
        </w:rPr>
        <w:t xml:space="preserve"> the t</w:t>
      </w:r>
      <w:r w:rsidR="009B5CDF">
        <w:rPr>
          <w:rFonts w:eastAsia="Arial"/>
        </w:rPr>
        <w:t>ool</w:t>
      </w:r>
      <w:r>
        <w:rPr>
          <w:rFonts w:eastAsia="Arial"/>
        </w:rPr>
        <w:t xml:space="preserve">. </w:t>
      </w:r>
      <w:r w:rsidR="0019595A">
        <w:rPr>
          <w:rFonts w:eastAsia="Arial"/>
        </w:rPr>
        <w:t xml:space="preserve">Thus, </w:t>
      </w:r>
      <w:r>
        <w:rPr>
          <w:rFonts w:eastAsia="Arial"/>
        </w:rPr>
        <w:t xml:space="preserve">AI literacy should be embedded across programs, including prompt formulation, verification of AI outputs, bias and uncertainty, data privacy, citation practices, and ethical responsibilities. </w:t>
      </w:r>
      <w:r w:rsidR="004A0E59">
        <w:rPr>
          <w:rFonts w:eastAsia="Arial"/>
        </w:rPr>
        <w:t>Hence, s</w:t>
      </w:r>
      <w:r>
        <w:rPr>
          <w:rFonts w:eastAsia="Arial"/>
        </w:rPr>
        <w:t>tudents should learn that AI-generated responses are not authoritative unless they are independently checked using engineering principles, standards, experiments, or validated models</w:t>
      </w:r>
      <w:r w:rsidR="00880222">
        <w:rPr>
          <w:rFonts w:eastAsia="Arial"/>
        </w:rPr>
        <w:t xml:space="preserve"> </w:t>
      </w:r>
      <w:r w:rsidR="00574D6B">
        <w:rPr>
          <w:rFonts w:eastAsia="Arial"/>
        </w:rPr>
        <w:fldChar w:fldCharType="begin" w:fldLock="1"/>
      </w:r>
      <w:r w:rsidR="009B3ECA">
        <w:rPr>
          <w:rFonts w:eastAsia="Arial"/>
        </w:rPr>
        <w:instrText>ADDIN CSL_CITATION {"citationItems":[{"id":"ITEM-1","itemData":{"DOI":"10.54675/PCSP7350","ISBN":"9789231004476","author":[{"dropping-particle":"","family":"UNESCO","given":"","non-dropping-particle":"","parse-names":false,"suffix":""}],"container-title":"AI and education: guidance for policy-makers","id":"ITEM-1","issued":{"date-parts":[["2021"]]},"publisher":"UNESCO","publisher-place":"Paris","title":"AI and education: guidance for policy-makers","type":"book"},"uris":["http://www.mendeley.com/documents/?uuid=a2b8a7b0-eac3-39f7-853a-52928c3b7843"]}],"mendeley":{"formattedCitation":"(UNESCO 2021)","plainTextFormattedCitation":"(UNESCO 2021)","previouslyFormattedCitation":"(UNESCO 2021)"},"properties":{"noteIndex":0},"schema":"https://github.com/citation-style-language/schema/raw/master/csl-citation.json"}</w:instrText>
      </w:r>
      <w:r w:rsidR="00574D6B">
        <w:rPr>
          <w:rFonts w:eastAsia="Arial"/>
        </w:rPr>
        <w:fldChar w:fldCharType="separate"/>
      </w:r>
      <w:r w:rsidR="00574D6B" w:rsidRPr="00176FB0">
        <w:rPr>
          <w:rFonts w:eastAsia="Arial"/>
          <w:noProof/>
        </w:rPr>
        <w:t>(UNESCO 2021)</w:t>
      </w:r>
      <w:r w:rsidR="00574D6B">
        <w:rPr>
          <w:rFonts w:eastAsia="Arial"/>
        </w:rPr>
        <w:fldChar w:fldCharType="end"/>
      </w:r>
      <w:r>
        <w:rPr>
          <w:rFonts w:eastAsia="Arial"/>
        </w:rPr>
        <w:t>.</w:t>
      </w:r>
      <w:r w:rsidR="00906F68">
        <w:rPr>
          <w:rFonts w:eastAsia="Arial"/>
        </w:rPr>
        <w:t xml:space="preserve"> </w:t>
      </w:r>
    </w:p>
    <w:p w14:paraId="7B987ABF" w14:textId="77777777" w:rsidR="00906F68" w:rsidRDefault="00906F68" w:rsidP="00EF43FF"/>
    <w:p w14:paraId="37907289" w14:textId="65D0E275" w:rsidR="00EF43FF" w:rsidRDefault="00906F68" w:rsidP="00906F68">
      <w:r w:rsidRPr="00906F68">
        <w:rPr>
          <w:rFonts w:eastAsia="Arial"/>
        </w:rPr>
        <w:t>Rapid AI evolution</w:t>
      </w:r>
      <w:r>
        <w:rPr>
          <w:rFonts w:eastAsia="Arial"/>
        </w:rPr>
        <w:t xml:space="preserve"> may</w:t>
      </w:r>
      <w:r w:rsidRPr="00906F68">
        <w:rPr>
          <w:rFonts w:eastAsia="Arial"/>
        </w:rPr>
        <w:t xml:space="preserve"> outpace curriculum updates</w:t>
      </w:r>
      <w:r>
        <w:rPr>
          <w:rFonts w:eastAsia="Arial"/>
        </w:rPr>
        <w:t>, and f</w:t>
      </w:r>
      <w:r w:rsidRPr="00906F68">
        <w:rPr>
          <w:rFonts w:eastAsia="Arial"/>
        </w:rPr>
        <w:t>aculty may lack t</w:t>
      </w:r>
      <w:r>
        <w:rPr>
          <w:rFonts w:eastAsia="Arial"/>
        </w:rPr>
        <w:t>he training or confidence to integrate</w:t>
      </w:r>
      <w:r w:rsidRPr="00906F68">
        <w:rPr>
          <w:rFonts w:eastAsia="Arial"/>
        </w:rPr>
        <w:t xml:space="preserve"> AI effectively</w:t>
      </w:r>
      <w:r>
        <w:rPr>
          <w:rFonts w:eastAsia="Arial"/>
        </w:rPr>
        <w:t xml:space="preserve">. </w:t>
      </w:r>
      <w:r w:rsidR="00EF43FF">
        <w:rPr>
          <w:rFonts w:eastAsia="Arial"/>
        </w:rPr>
        <w:t>Assessment strategies should also evolve. In-class problem</w:t>
      </w:r>
      <w:r>
        <w:rPr>
          <w:rFonts w:eastAsia="Arial"/>
        </w:rPr>
        <w:t>-solving, oral examinations, live coding, design reviews, laboratory demonstrations, and project-based evaluations can suppor</w:t>
      </w:r>
      <w:r w:rsidR="005F0A28">
        <w:rPr>
          <w:rFonts w:eastAsia="Arial"/>
        </w:rPr>
        <w:t>t</w:t>
      </w:r>
      <w:r w:rsidR="00EF43FF">
        <w:rPr>
          <w:rFonts w:eastAsia="Arial"/>
        </w:rPr>
        <w:t xml:space="preserve"> genuine understanding. </w:t>
      </w:r>
      <w:r w:rsidR="00790EF3">
        <w:rPr>
          <w:rFonts w:eastAsia="Arial"/>
        </w:rPr>
        <w:t>A</w:t>
      </w:r>
      <w:r w:rsidR="00EF43FF">
        <w:rPr>
          <w:rFonts w:eastAsia="Arial"/>
        </w:rPr>
        <w:t xml:space="preserve">ssignments should be redesigned to </w:t>
      </w:r>
      <w:r w:rsidR="00F54AE6">
        <w:rPr>
          <w:rFonts w:eastAsia="Arial"/>
        </w:rPr>
        <w:t>involve</w:t>
      </w:r>
      <w:r w:rsidR="00EF43FF">
        <w:rPr>
          <w:rFonts w:eastAsia="Arial"/>
        </w:rPr>
        <w:t xml:space="preserve"> reflection, justification of assumptions, comparison with hand calculations, and transparent documentation of AI us</w:t>
      </w:r>
      <w:r w:rsidR="00F54AE6">
        <w:rPr>
          <w:rFonts w:eastAsia="Arial"/>
        </w:rPr>
        <w:t>ag</w:t>
      </w:r>
      <w:r w:rsidR="00EF43FF">
        <w:rPr>
          <w:rFonts w:eastAsia="Arial"/>
        </w:rPr>
        <w:t xml:space="preserve">e. </w:t>
      </w:r>
      <w:r w:rsidRPr="00906F68">
        <w:rPr>
          <w:rFonts w:eastAsia="Arial"/>
        </w:rPr>
        <w:t xml:space="preserve">Traditional </w:t>
      </w:r>
      <w:r>
        <w:rPr>
          <w:rFonts w:eastAsia="Arial"/>
        </w:rPr>
        <w:t>assessments</w:t>
      </w:r>
      <w:r w:rsidRPr="00906F68">
        <w:rPr>
          <w:rFonts w:eastAsia="Arial"/>
        </w:rPr>
        <w:t xml:space="preserve"> may become less effective</w:t>
      </w:r>
      <w:r>
        <w:rPr>
          <w:rFonts w:eastAsia="Arial"/>
        </w:rPr>
        <w:t>; r</w:t>
      </w:r>
      <w:r w:rsidR="00EF43FF">
        <w:rPr>
          <w:rFonts w:eastAsia="Arial"/>
        </w:rPr>
        <w:t xml:space="preserve">ather than asking only for final answers, educators should </w:t>
      </w:r>
      <w:r w:rsidR="00A3070B">
        <w:rPr>
          <w:rFonts w:eastAsia="Arial"/>
        </w:rPr>
        <w:t>evaluate</w:t>
      </w:r>
      <w:r w:rsidR="00EF43FF">
        <w:rPr>
          <w:rFonts w:eastAsia="Arial"/>
        </w:rPr>
        <w:t xml:space="preserve"> reasoning, verification, interpretation, and communication</w:t>
      </w:r>
      <w:r w:rsidR="007A4FFB">
        <w:rPr>
          <w:rFonts w:eastAsia="Arial"/>
        </w:rPr>
        <w:t xml:space="preserve"> </w:t>
      </w:r>
      <w:r w:rsidR="005018B2">
        <w:rPr>
          <w:rFonts w:eastAsia="Arial"/>
        </w:rPr>
        <w:fldChar w:fldCharType="begin" w:fldLock="1"/>
      </w:r>
      <w:r w:rsidR="009B3ECA">
        <w:rPr>
          <w:rFonts w:eastAsia="Arial"/>
        </w:rPr>
        <w:instrText>ADDIN CSL_CITATION {"citationItems":[{"id":"ITEM-1","itemData":{"DOI":"10.1080/14703297.2023.2190148","ISSN":"1470-3297","abstract":"ChatGPT is a variant of the GPT-3 (Generative Pre-trained Transformer 3, Brown et al., 2020) artificial intelligence language model developed by OpenAI. It is specifically designed to generate huma...","author":[{"dropping-particle":"","family":"Cotton","given":"Debby R. E.","non-dropping-particle":"","parse-names":false,"suffix":""},{"dropping-particle":"","family":"Cotton","given":"Peter A.","non-dropping-particle":"","parse-names":false,"suffix":""},{"dropping-particle":"","family":"Shipway","given":"J. Reuben","non-dropping-particle":"","parse-names":false,"suffix":""}],"container-title":"Innovations in Education and Teaching International","id":"ITEM-1","issue":"2","issued":{"date-parts":[["2024","3","3"]]},"page":"228-239","publisher":"Routledge","title":"Chatting and cheating: Ensuring academic integrity in the era of ChatGPT","type":"article-journal","volume":"61"},"uris":["http://www.mendeley.com/documents/?uuid=d3b2c356-b91d-3a26-ae80-11fd2338002e"]},{"id":"ITEM-2","itemData":{"DOI":"10.1016/j.lindif.2023.102274","ISSN":"10416080","abstract":"Large language models represent a significant advancement in the field of AI. The underlying technology is key to further innovations and, despite critical views and even bans within communities and regions, large language models are here to stay. This commentary presents the potential benefits and challenges of educational applications of large language models, from student and teacher perspectives. We briefly discuss the current state of large language models and their applications. We then highlight how these models can be used to create educational content, improve student engagement and interaction, and personalize learning experiences. With regard to challenges, we argue that large language models in education require teachers and learners to develop sets of competencies and literacies necessary to both understand the technology as well as their limitations and unexpected brittleness of such systems. In addition, a clear strategy within educational systems and a clear pedagogical approach with a strong focus on critical thinking and strategies for fact checking are required to integrate and take full advantage of large language models in learning settings and teaching curricula. Other challenges such as the potential bias in the output, the need for continuous human oversight, and the potential for misuse are not unique to the application of AI in education. But we believe that, if handled sensibly, these challenges can offer insights and opportunities in education scenarios to acquaint students early on with potential societal biases, criticalities, and risks of AI applications. We conclude with recommendations for how to address these challenges and ensure that such models are used in a responsible and ethical manner in education.","author":[{"dropping-particle":"","family":"Kasneci","given":"Enkelejda","non-dropping-particle":"","parse-names":false,"suffix":""},{"dropping-particle":"","family":"Sessler","given":"Kathrin","non-dropping-particle":"","parse-names":false,"suffix":""},{"dropping-particle":"","family":"Küchemann","given":"Stefan","non-dropping-particle":"","parse-names":false,"suffix":""},{"dropping-particle":"","family":"Bannert","given":"Maria","non-dropping-particle":"","parse-names":false,"suffix":""},{"dropping-particle":"","family":"Dementieva","given":"Daryna","non-dropping-particle":"","parse-names":false,"suffix":""},{"dropping-particle":"","family":"Fischer","given":"Frank","non-dropping-particle":"","parse-names":false,"suffix":""},{"dropping-particle":"","family":"Gasser","given":"Urs","non-dropping-particle":"","parse-names":false,"suffix":""},{"dropping-particle":"","family":"Groh","given":"Georg","non-dropping-particle":"","parse-names":false,"suffix":""},{"dropping-particle":"","family":"Günnemann","given":"Stephan","non-dropping-particle":"","parse-names":false,"suffix":""},{"dropping-particle":"","family":"Hüllermeier","given":"Eyke","non-dropping-particle":"","parse-names":false,"suffix":""},{"dropping-particle":"","family":"Krusche","given":"Stephan","non-dropping-particle":"","parse-names":false,"suffix":""},{"dropping-particle":"","family":"Kutyniok","given":"Gitta","non-dropping-particle":"","parse-names":false,"suffix":""},{"dropping-particle":"","family":"Michaeli","given":"Tilman","non-dropping-particle":"","parse-names":false,"suffix":""},{"dropping-particle":"","family":"Nerdel","given":"Claudia","non-dropping-particle":"","parse-names":false,"suffix":""},{"dropping-particle":"","family":"Pfeffer","given":"Jürgen","non-dropping-particle":"","parse-names":false,"suffix":""},{"dropping-particle":"","family":"Poquet","given":"Oleksandra","non-dropping-particle":"","parse-names":false,"suffix":""},{"dropping-particle":"","family":"Sailer","given":"Michael","non-dropping-particle":"","parse-names":false,"suffix":""},{"dropping-particle":"","family":"Schmidt","given":"Albrecht","non-dropping-particle":"","parse-names":false,"suffix":""},{"dropping-particle":"","family":"Seidel","given":"Tina","non-dropping-particle":"","parse-names":false,"suffix":""},{"dropping-particle":"","family":"Stadler","given":"Matthias","non-dropping-particle":"","parse-names":false,"suffix":""},{"dropping-particle":"","family":"Weller","given":"Jochen","non-dropping-particle":"","parse-names":false,"suffix":""},{"dropping-particle":"","family":"Kuhn","given":"Jochen","non-dropping-particle":"","parse-names":false,"suffix":""},{"dropping-particle":"","family":"Kasneci","given":"Gjergji","non-dropping-particle":"","parse-names":false,"suffix":""}],"container-title":"Learning and Individual Differences","id":"ITEM-2","issued":{"date-parts":[["2023","4","1"]]},"page":"102274","publisher":"JAI","title":"ChatGPT for good? On opportunities and challenges of large language models for education","type":"article-journal","volume":"103"},"uris":["http://www.mendeley.com/documents/?uuid=2f564f7b-eb0d-3f10-bc25-f97daeb363b0"]}],"mendeley":{"formattedCitation":"(Cotton et al. 2024; Kasneci et al. 2023)","plainTextFormattedCitation":"(Cotton et al. 2024; Kasneci et al. 2023)","previouslyFormattedCitation":"(Cotton et al. 2024; Kasneci et al. 2023)"},"properties":{"noteIndex":0},"schema":"https://github.com/citation-style-language/schema/raw/master/csl-citation.json"}</w:instrText>
      </w:r>
      <w:r w:rsidR="005018B2">
        <w:rPr>
          <w:rFonts w:eastAsia="Arial"/>
        </w:rPr>
        <w:fldChar w:fldCharType="separate"/>
      </w:r>
      <w:r w:rsidR="005018B2" w:rsidRPr="005018B2">
        <w:rPr>
          <w:rFonts w:eastAsia="Arial"/>
          <w:noProof/>
        </w:rPr>
        <w:t>(Cotton et al. 2024; Kasneci et al. 2023)</w:t>
      </w:r>
      <w:r w:rsidR="005018B2">
        <w:rPr>
          <w:rFonts w:eastAsia="Arial"/>
        </w:rPr>
        <w:fldChar w:fldCharType="end"/>
      </w:r>
      <w:r w:rsidR="005018B2">
        <w:rPr>
          <w:rFonts w:eastAsia="Arial"/>
        </w:rPr>
        <w:t>.</w:t>
      </w:r>
      <w:r>
        <w:rPr>
          <w:rFonts w:eastAsia="Arial"/>
        </w:rPr>
        <w:t xml:space="preserve"> There is a clear n</w:t>
      </w:r>
      <w:r w:rsidRPr="00906F68">
        <w:rPr>
          <w:rFonts w:eastAsia="Arial"/>
        </w:rPr>
        <w:t>eed for new evaluation methods</w:t>
      </w:r>
      <w:r>
        <w:rPr>
          <w:rFonts w:eastAsia="Arial"/>
        </w:rPr>
        <w:t>, such as project-based evaluations and oral defences</w:t>
      </w:r>
      <w:r w:rsidRPr="00906F68">
        <w:rPr>
          <w:rFonts w:eastAsia="Arial"/>
        </w:rPr>
        <w:t>.</w:t>
      </w:r>
      <w:r>
        <w:rPr>
          <w:rFonts w:eastAsia="Arial"/>
        </w:rPr>
        <w:t xml:space="preserve"> </w:t>
      </w:r>
    </w:p>
    <w:p w14:paraId="3B86D2E1" w14:textId="77777777" w:rsidR="00EF43FF" w:rsidRDefault="00EF43FF" w:rsidP="00EF43FF"/>
    <w:p w14:paraId="287D442E" w14:textId="77777777" w:rsidR="00906F68" w:rsidRDefault="00EF43FF" w:rsidP="00EF43FF">
      <w:pPr>
        <w:rPr>
          <w:rFonts w:eastAsia="Arial"/>
        </w:rPr>
      </w:pPr>
      <w:r>
        <w:rPr>
          <w:rFonts w:eastAsia="Arial"/>
        </w:rPr>
        <w:t xml:space="preserve">Finally, engineering programs should </w:t>
      </w:r>
      <w:r w:rsidR="00267B05">
        <w:rPr>
          <w:rFonts w:eastAsia="Arial"/>
        </w:rPr>
        <w:t>highlight</w:t>
      </w:r>
      <w:r>
        <w:rPr>
          <w:rFonts w:eastAsia="Arial"/>
        </w:rPr>
        <w:t xml:space="preserve"> human skills that AI cannot replace, including creativity, judgment, teamwork, ethics, communication, and responsibility for public welfare. The future engineer will not simply be a user of AI tools, but a professional who can decide when AI is appropriate, when its outputs are unreliable, and how to integrate it responsibly into engineering workflows</w:t>
      </w:r>
      <w:r w:rsidR="007A4FFB">
        <w:rPr>
          <w:rFonts w:eastAsia="Arial"/>
        </w:rPr>
        <w:t xml:space="preserve"> </w:t>
      </w:r>
      <w:r w:rsidR="0006240A">
        <w:fldChar w:fldCharType="begin" w:fldLock="1"/>
      </w:r>
      <w:r w:rsidR="004E3946">
        <w:instrText>ADDIN CSL_CITATION {"citationItems":[{"id":"ITEM-1","itemData":{"ISBN":"1-794-29370-0","author":[{"dropping-particle":"","family":"Holmes","given":"Wayne","non-dropping-particle":"","parse-names":false,"suffix":""},{"dropping-particle":"","family":"Bialik","given":"Maya","non-dropping-particle":"","parse-names":false,"suffix":""},{"dropping-particle":"","family":"Fadel","given":"Charles","non-dropping-particle":"","parse-names":false,"suffix":""}],"id":"ITEM-1","issued":{"date-parts":[["2019"]]},"publisher":"Center for Curriculum Redesign","publisher-place":"Boston, MA, USA.","title":"Artificial Intelligence In Education Promises and Implications for Teaching and Learning","type":"book"},"uris":["http://www.mendeley.com/documents/?uuid=b5e3f419-8d12-38ce-a7f7-e7ae50c001fa"]},{"id":"ITEM-2","itemData":{"author":[{"dropping-particle":"","family":"Luckin","given":"Rose","non-dropping-particle":"","parse-names":false,"suffix":""},{"dropping-particle":"","family":"Holmes","given":"Wayne","non-dropping-particle":"","parse-names":false,"suffix":""},{"dropping-particle":"","family":"Griffiths","given":"Mark","non-dropping-particle":"","parse-names":false,"suffix":""},{"dropping-particle":"","family":"Pearson","given":"Laurie B Forcier","non-dropping-particle":"","parse-names":false,"suffix":""}],"id":"ITEM-2","issued":{"date-parts":[["2016"]]},"publisher":"Pearson","title":"Intelligence Unleashed An argument for AI in Education","type":"book"},"uris":["http://www.mendeley.com/documents/?uuid=9273cbb7-8604-36b6-9df8-ba6ea755f12f"]}],"mendeley":{"formattedCitation":"(Holmes et al. 2019; Luckin et al. 2016)","plainTextFormattedCitation":"(Holmes et al. 2019; Luckin et al. 2016)","previouslyFormattedCitation":"(Holmes et al. 2019; Luckin et al. 2016)"},"properties":{"noteIndex":0},"schema":"https://github.com/citation-style-language/schema/raw/master/csl-citation.json"}</w:instrText>
      </w:r>
      <w:r w:rsidR="0006240A">
        <w:fldChar w:fldCharType="separate"/>
      </w:r>
      <w:r w:rsidR="0006240A" w:rsidRPr="0006240A">
        <w:rPr>
          <w:noProof/>
        </w:rPr>
        <w:t>(Holmes et al. 2019; Luckin et al. 2016)</w:t>
      </w:r>
      <w:r w:rsidR="0006240A">
        <w:fldChar w:fldCharType="end"/>
      </w:r>
      <w:r>
        <w:rPr>
          <w:rFonts w:eastAsia="Arial"/>
        </w:rPr>
        <w:t>.</w:t>
      </w:r>
      <w:r w:rsidR="00906F68">
        <w:rPr>
          <w:rFonts w:eastAsia="Arial"/>
        </w:rPr>
        <w:t xml:space="preserve"> </w:t>
      </w:r>
    </w:p>
    <w:p w14:paraId="5D6A26ED" w14:textId="77777777" w:rsidR="00906F68" w:rsidRDefault="00906F68" w:rsidP="00EF43FF">
      <w:pPr>
        <w:rPr>
          <w:rFonts w:eastAsia="Arial"/>
        </w:rPr>
      </w:pPr>
    </w:p>
    <w:p w14:paraId="3E54C4CD" w14:textId="0E39A926" w:rsidR="00EF43FF" w:rsidRDefault="00906F68" w:rsidP="00EF43FF">
      <w:r>
        <w:rPr>
          <w:rFonts w:eastAsia="Arial"/>
        </w:rPr>
        <w:t xml:space="preserve">The AI boom has recently disrupted the job market in the tech sector. However, its impact will soon be experienced in various other sectors as well. </w:t>
      </w:r>
      <w:r w:rsidRPr="00906F68">
        <w:rPr>
          <w:rFonts w:eastAsia="Arial"/>
        </w:rPr>
        <w:t xml:space="preserve">Students may face increasing uncertainty about future roles, </w:t>
      </w:r>
      <w:r>
        <w:rPr>
          <w:rFonts w:eastAsia="Arial"/>
        </w:rPr>
        <w:t>underscoring the need to redefine engineering competence to emphasize adaptability, critical thinking, and effective collaboration</w:t>
      </w:r>
      <w:r w:rsidRPr="00906F68">
        <w:rPr>
          <w:rFonts w:eastAsia="Arial"/>
        </w:rPr>
        <w:t xml:space="preserve"> with AI systems.</w:t>
      </w:r>
      <w:r>
        <w:rPr>
          <w:rFonts w:eastAsia="Arial"/>
        </w:rPr>
        <w:t xml:space="preserve"> </w:t>
      </w:r>
      <w:r w:rsidRPr="00906F68">
        <w:rPr>
          <w:rFonts w:eastAsia="Arial"/>
        </w:rPr>
        <w:t xml:space="preserve">In engineering education, this uncertainty underscores the need to redesign curricula to focus on </w:t>
      </w:r>
      <w:r w:rsidRPr="00906F68">
        <w:rPr>
          <w:rFonts w:eastAsia="Arial"/>
        </w:rPr>
        <w:lastRenderedPageBreak/>
        <w:t>adaptable skills, critical thinking, and the ability to work effectively alongside AI, rather than relying solely on traditional technical competencies.</w:t>
      </w:r>
    </w:p>
    <w:p w14:paraId="5333605C" w14:textId="4C61E192" w:rsidR="00A56F18" w:rsidRDefault="00A56F18" w:rsidP="005429A2">
      <w:pPr>
        <w:pStyle w:val="NormalWCCM"/>
        <w:ind w:firstLine="0"/>
        <w:rPr>
          <w:rFonts w:ascii="Arial" w:hAnsi="Arial" w:cs="Arial"/>
          <w:szCs w:val="20"/>
        </w:rPr>
      </w:pPr>
    </w:p>
    <w:p w14:paraId="621778DA" w14:textId="77777777" w:rsidR="00EF43FF" w:rsidRPr="001940B0" w:rsidRDefault="00EF43FF" w:rsidP="005429A2">
      <w:pPr>
        <w:pStyle w:val="NormalWCCM"/>
        <w:ind w:firstLine="0"/>
        <w:rPr>
          <w:rFonts w:ascii="Arial" w:hAnsi="Arial" w:cs="Arial"/>
          <w:szCs w:val="20"/>
        </w:rPr>
      </w:pPr>
    </w:p>
    <w:p w14:paraId="4579CDEA" w14:textId="3E4CC1AB" w:rsidR="00AC1943" w:rsidRPr="001940B0" w:rsidRDefault="00AC1943" w:rsidP="00AC1943">
      <w:pPr>
        <w:pStyle w:val="Heading1"/>
        <w:rPr>
          <w:rFonts w:ascii="Arial" w:hAnsi="Arial" w:cs="Arial"/>
        </w:rPr>
      </w:pPr>
      <w:r w:rsidRPr="001940B0">
        <w:rPr>
          <w:rFonts w:ascii="Arial" w:hAnsi="Arial" w:cs="Arial"/>
        </w:rPr>
        <w:t>Conclusions</w:t>
      </w:r>
    </w:p>
    <w:p w14:paraId="28228080" w14:textId="77777777" w:rsidR="00AC1943" w:rsidRPr="001940B0" w:rsidRDefault="00AC1943" w:rsidP="00AC1943">
      <w:pPr>
        <w:rPr>
          <w:lang w:val="en-US" w:eastAsia="es-ES"/>
        </w:rPr>
      </w:pPr>
    </w:p>
    <w:p w14:paraId="23774F40" w14:textId="6D33EA5B" w:rsidR="00906F68" w:rsidRDefault="00847CD6" w:rsidP="00847CD6">
      <w:pPr>
        <w:rPr>
          <w:rFonts w:eastAsia="Arial"/>
        </w:rPr>
      </w:pPr>
      <w:r>
        <w:rPr>
          <w:rFonts w:eastAsia="Arial"/>
        </w:rPr>
        <w:t xml:space="preserve">AI </w:t>
      </w:r>
      <w:r w:rsidR="000965EF">
        <w:rPr>
          <w:rFonts w:eastAsia="Arial"/>
        </w:rPr>
        <w:t>must not be considered a threat to our engineering education, though its careless, unstructured</w:t>
      </w:r>
      <w:r>
        <w:rPr>
          <w:rFonts w:eastAsia="Arial"/>
        </w:rPr>
        <w:t xml:space="preserve"> implementation can undermine the development of core engineering </w:t>
      </w:r>
      <w:r w:rsidR="00030553">
        <w:rPr>
          <w:rFonts w:eastAsia="Arial"/>
        </w:rPr>
        <w:t>proficiency</w:t>
      </w:r>
      <w:r>
        <w:rPr>
          <w:rFonts w:eastAsia="Arial"/>
        </w:rPr>
        <w:t xml:space="preserve">. </w:t>
      </w:r>
      <w:r w:rsidR="00906F68">
        <w:rPr>
          <w:rFonts w:eastAsia="Arial"/>
        </w:rPr>
        <w:t>Responsible AI us</w:t>
      </w:r>
      <w:r w:rsidR="00030553">
        <w:rPr>
          <w:rFonts w:eastAsia="Arial"/>
        </w:rPr>
        <w:t>e</w:t>
      </w:r>
      <w:r>
        <w:rPr>
          <w:rFonts w:eastAsia="Arial"/>
        </w:rPr>
        <w:t xml:space="preserve"> can </w:t>
      </w:r>
      <w:r w:rsidR="00030553">
        <w:rPr>
          <w:rFonts w:eastAsia="Arial"/>
        </w:rPr>
        <w:t xml:space="preserve">improve </w:t>
      </w:r>
      <w:r>
        <w:rPr>
          <w:rFonts w:eastAsia="Arial"/>
        </w:rPr>
        <w:t>personalized learning, accessibility, productivity, and industry readiness. Th</w:t>
      </w:r>
      <w:r w:rsidR="00E37815">
        <w:rPr>
          <w:rFonts w:eastAsia="Arial"/>
        </w:rPr>
        <w:t>us</w:t>
      </w:r>
      <w:r w:rsidR="006243CE">
        <w:rPr>
          <w:rFonts w:eastAsia="Arial"/>
        </w:rPr>
        <w:t>, the</w:t>
      </w:r>
      <w:r>
        <w:rPr>
          <w:rFonts w:eastAsia="Arial"/>
        </w:rPr>
        <w:t xml:space="preserve"> goal</w:t>
      </w:r>
      <w:r w:rsidR="00E37815">
        <w:rPr>
          <w:rFonts w:eastAsia="Arial"/>
        </w:rPr>
        <w:t xml:space="preserve"> of AI implementation</w:t>
      </w:r>
      <w:r>
        <w:rPr>
          <w:rFonts w:eastAsia="Arial"/>
        </w:rPr>
        <w:t xml:space="preserve"> should be to augme</w:t>
      </w:r>
      <w:r w:rsidR="006243CE">
        <w:rPr>
          <w:rFonts w:eastAsia="Arial"/>
        </w:rPr>
        <w:t>nt</w:t>
      </w:r>
      <w:r w:rsidR="00906F68">
        <w:rPr>
          <w:rFonts w:eastAsia="Arial"/>
        </w:rPr>
        <w:t>, not replace,</w:t>
      </w:r>
      <w:r>
        <w:rPr>
          <w:rFonts w:eastAsia="Arial"/>
        </w:rPr>
        <w:t xml:space="preserve"> human thinking. Engineering educators should </w:t>
      </w:r>
      <w:r w:rsidR="00274F7C">
        <w:rPr>
          <w:rFonts w:eastAsia="Arial"/>
        </w:rPr>
        <w:t>incorporate</w:t>
      </w:r>
      <w:r>
        <w:rPr>
          <w:rFonts w:eastAsia="Arial"/>
        </w:rPr>
        <w:t xml:space="preserve"> AI through clear policies, literacy training, </w:t>
      </w:r>
      <w:r w:rsidR="00274F7C">
        <w:rPr>
          <w:rFonts w:eastAsia="Arial"/>
        </w:rPr>
        <w:t>restructured</w:t>
      </w:r>
      <w:r>
        <w:rPr>
          <w:rFonts w:eastAsia="Arial"/>
        </w:rPr>
        <w:t xml:space="preserve"> assessments, and a sustained </w:t>
      </w:r>
      <w:r w:rsidR="00906F68">
        <w:rPr>
          <w:rFonts w:eastAsia="Arial"/>
        </w:rPr>
        <w:t>emphasis</w:t>
      </w:r>
      <w:r>
        <w:rPr>
          <w:rFonts w:eastAsia="Arial"/>
        </w:rPr>
        <w:t xml:space="preserve"> on f</w:t>
      </w:r>
      <w:r w:rsidR="00537B39">
        <w:rPr>
          <w:rFonts w:eastAsia="Arial"/>
        </w:rPr>
        <w:t>oundational</w:t>
      </w:r>
      <w:r>
        <w:rPr>
          <w:rFonts w:eastAsia="Arial"/>
        </w:rPr>
        <w:t xml:space="preserve"> principles and professional judgment. Future engineers must be able not only to </w:t>
      </w:r>
      <w:r w:rsidR="00645937">
        <w:rPr>
          <w:rFonts w:eastAsia="Arial"/>
        </w:rPr>
        <w:t>adopt</w:t>
      </w:r>
      <w:r>
        <w:rPr>
          <w:rFonts w:eastAsia="Arial"/>
        </w:rPr>
        <w:t xml:space="preserve"> AI, but also to question, </w:t>
      </w:r>
      <w:r w:rsidR="00274F7C">
        <w:rPr>
          <w:rFonts w:eastAsia="Arial"/>
        </w:rPr>
        <w:t>validate</w:t>
      </w:r>
      <w:r>
        <w:rPr>
          <w:rFonts w:eastAsia="Arial"/>
        </w:rPr>
        <w:t xml:space="preserve">, and responsibly apply </w:t>
      </w:r>
      <w:r w:rsidR="00274F7C">
        <w:rPr>
          <w:rFonts w:eastAsia="Arial"/>
        </w:rPr>
        <w:t>AI</w:t>
      </w:r>
      <w:r>
        <w:rPr>
          <w:rFonts w:eastAsia="Arial"/>
        </w:rPr>
        <w:t xml:space="preserve"> in safety-critical contexts.</w:t>
      </w:r>
      <w:r w:rsidR="00906F68">
        <w:rPr>
          <w:rFonts w:eastAsia="Arial"/>
        </w:rPr>
        <w:t xml:space="preserve"> </w:t>
      </w:r>
    </w:p>
    <w:p w14:paraId="22BBBD89" w14:textId="77777777" w:rsidR="00906F68" w:rsidRDefault="00906F68" w:rsidP="00847CD6">
      <w:pPr>
        <w:rPr>
          <w:rFonts w:eastAsia="Arial"/>
        </w:rPr>
      </w:pPr>
    </w:p>
    <w:p w14:paraId="016BFD23" w14:textId="62B79112" w:rsidR="0080555A" w:rsidRPr="001940B0" w:rsidRDefault="00906F68" w:rsidP="00D23BC4">
      <w:pPr>
        <w:rPr>
          <w:lang w:eastAsia="en-US"/>
        </w:rPr>
      </w:pPr>
      <w:r w:rsidRPr="00906F68">
        <w:rPr>
          <w:rFonts w:eastAsia="Arial"/>
        </w:rPr>
        <w:t>Overall, engineering education requires the responsible and ethical integration of AI, ensuring fairness, transparency, privacy, and accountability in both educational practices and technological applications.</w:t>
      </w:r>
    </w:p>
    <w:p w14:paraId="0623B84C" w14:textId="77777777" w:rsidR="00AC1943" w:rsidRPr="001940B0" w:rsidRDefault="00AC1943" w:rsidP="00AC1943"/>
    <w:p w14:paraId="01C7D9F6" w14:textId="7A41868D" w:rsidR="0080555A" w:rsidRPr="001940B0" w:rsidRDefault="0080555A" w:rsidP="0073272C">
      <w:pPr>
        <w:pStyle w:val="RefTitleWCCM"/>
        <w:spacing w:before="0" w:after="0"/>
        <w:outlineLvl w:val="0"/>
        <w:rPr>
          <w:rFonts w:ascii="Arial" w:hAnsi="Arial" w:cs="Arial"/>
          <w:caps w:val="0"/>
          <w:szCs w:val="20"/>
        </w:rPr>
      </w:pPr>
      <w:r w:rsidRPr="001940B0">
        <w:rPr>
          <w:rFonts w:ascii="Arial" w:hAnsi="Arial" w:cs="Arial"/>
          <w:caps w:val="0"/>
          <w:szCs w:val="20"/>
        </w:rPr>
        <w:t>ACKNOWLEDGMENTS</w:t>
      </w:r>
    </w:p>
    <w:p w14:paraId="3C9F3BC6" w14:textId="244FB689" w:rsidR="00906F68" w:rsidRPr="002067E5" w:rsidRDefault="002067E5" w:rsidP="0073272C">
      <w:pPr>
        <w:pStyle w:val="Reference"/>
        <w:ind w:left="0" w:firstLine="0"/>
        <w:rPr>
          <w:rStyle w:val="Strong"/>
          <w:b w:val="0"/>
          <w:bCs w:val="0"/>
        </w:rPr>
      </w:pPr>
      <w:r w:rsidRPr="002067E5">
        <w:rPr>
          <w:rStyle w:val="Strong"/>
          <w:b w:val="0"/>
          <w:bCs w:val="0"/>
        </w:rPr>
        <w:t xml:space="preserve">The authors acknowledge the </w:t>
      </w:r>
      <w:r>
        <w:rPr>
          <w:rStyle w:val="Strong"/>
          <w:b w:val="0"/>
          <w:bCs w:val="0"/>
        </w:rPr>
        <w:t xml:space="preserve">partial </w:t>
      </w:r>
      <w:r w:rsidRPr="002067E5">
        <w:rPr>
          <w:rStyle w:val="Strong"/>
          <w:b w:val="0"/>
          <w:bCs w:val="0"/>
        </w:rPr>
        <w:t xml:space="preserve">use of Microsoft </w:t>
      </w:r>
      <w:proofErr w:type="spellStart"/>
      <w:r w:rsidRPr="002067E5">
        <w:rPr>
          <w:rStyle w:val="Strong"/>
          <w:b w:val="0"/>
          <w:bCs w:val="0"/>
        </w:rPr>
        <w:t>Copilot</w:t>
      </w:r>
      <w:proofErr w:type="spellEnd"/>
      <w:r>
        <w:rPr>
          <w:rStyle w:val="Strong"/>
          <w:b w:val="0"/>
          <w:bCs w:val="0"/>
        </w:rPr>
        <w:t xml:space="preserve"> and</w:t>
      </w:r>
      <w:r w:rsidRPr="002067E5">
        <w:rPr>
          <w:rStyle w:val="Strong"/>
          <w:b w:val="0"/>
          <w:bCs w:val="0"/>
        </w:rPr>
        <w:t xml:space="preserve"> </w:t>
      </w:r>
      <w:r>
        <w:rPr>
          <w:rStyle w:val="Strong"/>
          <w:b w:val="0"/>
          <w:bCs w:val="0"/>
        </w:rPr>
        <w:t>Chat</w:t>
      </w:r>
      <w:r w:rsidRPr="002067E5">
        <w:rPr>
          <w:rStyle w:val="Strong"/>
          <w:b w:val="0"/>
          <w:bCs w:val="0"/>
        </w:rPr>
        <w:t>GPT-5 in assisting with the conceptualization and generation of the figure presented in this work.</w:t>
      </w:r>
    </w:p>
    <w:p w14:paraId="771CE753" w14:textId="77777777" w:rsidR="001A0F24" w:rsidRPr="001940B0" w:rsidRDefault="001A0F24" w:rsidP="0080555A">
      <w:pPr>
        <w:rPr>
          <w:lang w:eastAsia="en-US"/>
        </w:rPr>
      </w:pPr>
    </w:p>
    <w:p w14:paraId="368BE222" w14:textId="2FB38788" w:rsidR="002646C8" w:rsidRPr="001940B0" w:rsidRDefault="00A611BB" w:rsidP="002646C8">
      <w:pPr>
        <w:pStyle w:val="RefTitleWCCM"/>
        <w:spacing w:before="0" w:after="0"/>
        <w:outlineLvl w:val="0"/>
        <w:rPr>
          <w:rFonts w:ascii="Arial" w:hAnsi="Arial" w:cs="Arial"/>
          <w:caps w:val="0"/>
          <w:szCs w:val="20"/>
        </w:rPr>
      </w:pPr>
      <w:r w:rsidRPr="001940B0">
        <w:rPr>
          <w:rFonts w:ascii="Arial" w:hAnsi="Arial" w:cs="Arial"/>
          <w:caps w:val="0"/>
          <w:szCs w:val="20"/>
        </w:rPr>
        <w:t>REFERENCES</w:t>
      </w:r>
    </w:p>
    <w:p w14:paraId="1B59FE45" w14:textId="77777777" w:rsidR="00A611BB" w:rsidRPr="001940B0" w:rsidRDefault="00A611BB" w:rsidP="00E94006">
      <w:pPr>
        <w:pStyle w:val="Reference"/>
        <w:ind w:left="0" w:firstLine="0"/>
        <w:rPr>
          <w:caps/>
        </w:rPr>
      </w:pPr>
    </w:p>
    <w:p w14:paraId="2D792BB0" w14:textId="6F961F36" w:rsidR="009B3ECA" w:rsidRPr="009B3ECA" w:rsidRDefault="004E3946" w:rsidP="009B3ECA">
      <w:pPr>
        <w:widowControl w:val="0"/>
        <w:autoSpaceDE w:val="0"/>
        <w:autoSpaceDN w:val="0"/>
        <w:adjustRightInd w:val="0"/>
        <w:ind w:left="480" w:hanging="480"/>
        <w:rPr>
          <w:noProof/>
          <w:szCs w:val="24"/>
        </w:rPr>
      </w:pPr>
      <w:r>
        <w:fldChar w:fldCharType="begin" w:fldLock="1"/>
      </w:r>
      <w:r>
        <w:instrText xml:space="preserve">ADDIN Mendeley Bibliography CSL_BIBLIOGRAPHY </w:instrText>
      </w:r>
      <w:r>
        <w:fldChar w:fldCharType="separate"/>
      </w:r>
      <w:r w:rsidR="009B3ECA" w:rsidRPr="009B3ECA">
        <w:rPr>
          <w:noProof/>
          <w:szCs w:val="24"/>
        </w:rPr>
        <w:t xml:space="preserve">Bender, E. M., Gebru, T., McMillan-Major, A., and Shmitchell, S. 2021. “On the Dangers of Stochastic Parrots.” Pp. 610–23 in </w:t>
      </w:r>
      <w:r w:rsidR="009B3ECA" w:rsidRPr="009B3ECA">
        <w:rPr>
          <w:i/>
          <w:iCs/>
          <w:noProof/>
          <w:szCs w:val="24"/>
        </w:rPr>
        <w:t>Proceedings of the 2021 ACM Conference on Fairness, Accountability, and Transparency</w:t>
      </w:r>
      <w:r w:rsidR="009B3ECA" w:rsidRPr="009B3ECA">
        <w:rPr>
          <w:noProof/>
          <w:szCs w:val="24"/>
        </w:rPr>
        <w:t>. New York, NY, USA: ACM.</w:t>
      </w:r>
    </w:p>
    <w:p w14:paraId="1C8DC90B" w14:textId="5D85FB13" w:rsidR="009B3ECA" w:rsidRPr="009B3ECA" w:rsidRDefault="009B3ECA" w:rsidP="009B3ECA">
      <w:pPr>
        <w:widowControl w:val="0"/>
        <w:autoSpaceDE w:val="0"/>
        <w:autoSpaceDN w:val="0"/>
        <w:adjustRightInd w:val="0"/>
        <w:ind w:left="480" w:hanging="480"/>
        <w:rPr>
          <w:noProof/>
          <w:szCs w:val="24"/>
        </w:rPr>
      </w:pPr>
      <w:r w:rsidRPr="009B3ECA">
        <w:rPr>
          <w:noProof/>
          <w:szCs w:val="24"/>
        </w:rPr>
        <w:t xml:space="preserve">Cotton, D. R. E., Cotton, P. A., and Shipway, J. R. 2024. “Chatting and Cheating: Ensuring Academic Integrity in the Era of ChatGPT.” </w:t>
      </w:r>
      <w:r w:rsidRPr="009B3ECA">
        <w:rPr>
          <w:i/>
          <w:iCs/>
          <w:noProof/>
          <w:szCs w:val="24"/>
        </w:rPr>
        <w:t>Innov. Educ. Teach. Int.</w:t>
      </w:r>
      <w:r w:rsidRPr="009B3ECA">
        <w:rPr>
          <w:noProof/>
          <w:szCs w:val="24"/>
        </w:rPr>
        <w:t xml:space="preserve"> 61(2):228</w:t>
      </w:r>
      <w:r w:rsidR="00226B6C">
        <w:rPr>
          <w:noProof/>
          <w:szCs w:val="24"/>
        </w:rPr>
        <w:t>-2</w:t>
      </w:r>
      <w:r w:rsidRPr="009B3ECA">
        <w:rPr>
          <w:noProof/>
          <w:szCs w:val="24"/>
        </w:rPr>
        <w:t>39. doi:10.1080/14703297.2023.2190148.</w:t>
      </w:r>
    </w:p>
    <w:p w14:paraId="06667721" w14:textId="77777777" w:rsidR="009B3ECA" w:rsidRPr="009B3ECA" w:rsidRDefault="009B3ECA" w:rsidP="009B3ECA">
      <w:pPr>
        <w:widowControl w:val="0"/>
        <w:autoSpaceDE w:val="0"/>
        <w:autoSpaceDN w:val="0"/>
        <w:adjustRightInd w:val="0"/>
        <w:ind w:left="480" w:hanging="480"/>
        <w:rPr>
          <w:noProof/>
          <w:szCs w:val="24"/>
        </w:rPr>
      </w:pPr>
      <w:r w:rsidRPr="009B3ECA">
        <w:rPr>
          <w:noProof/>
          <w:szCs w:val="24"/>
        </w:rPr>
        <w:t xml:space="preserve">Holmes, W., Bialik, M., and Fadel, C. 2019. </w:t>
      </w:r>
      <w:r w:rsidRPr="009B3ECA">
        <w:rPr>
          <w:i/>
          <w:iCs/>
          <w:noProof/>
          <w:szCs w:val="24"/>
        </w:rPr>
        <w:t>Artificial Intelligence In Education Promises and Implications for Teaching and Learning</w:t>
      </w:r>
      <w:r w:rsidRPr="009B3ECA">
        <w:rPr>
          <w:noProof/>
          <w:szCs w:val="24"/>
        </w:rPr>
        <w:t>. Boston, MA, USA.: Center for Curriculum Redesign.</w:t>
      </w:r>
    </w:p>
    <w:p w14:paraId="23F4CF15" w14:textId="77777777" w:rsidR="009B3ECA" w:rsidRPr="009B3ECA" w:rsidRDefault="009B3ECA" w:rsidP="009B3ECA">
      <w:pPr>
        <w:widowControl w:val="0"/>
        <w:autoSpaceDE w:val="0"/>
        <w:autoSpaceDN w:val="0"/>
        <w:adjustRightInd w:val="0"/>
        <w:ind w:left="480" w:hanging="480"/>
        <w:rPr>
          <w:noProof/>
          <w:szCs w:val="24"/>
        </w:rPr>
      </w:pPr>
      <w:r w:rsidRPr="009B3ECA">
        <w:rPr>
          <w:noProof/>
          <w:szCs w:val="24"/>
        </w:rPr>
        <w:t xml:space="preserve">Kasneci, E., Sessler, K., Küchemann, S., Bannert, M., Dementieva, D., Fischer, F., Gasser, U., Groh, G., Günnemann, S., Hüllermeier, E., Krusche, S., Kutyniok, G., Michaeli, T., Nerdel, C., Pfeffer, J., Poquet, O., Sailer, M., Schmidt, A., Seidel, T., Stadler, M., Weller, J., Kuhn, J., and Kasneci, G. 2023. “ChatGPT for Good? On Opportunities and Challenges of Large Language Models for Education.” </w:t>
      </w:r>
      <w:r w:rsidRPr="009B3ECA">
        <w:rPr>
          <w:i/>
          <w:iCs/>
          <w:noProof/>
          <w:szCs w:val="24"/>
        </w:rPr>
        <w:t>Learn. Individ. Differ.</w:t>
      </w:r>
      <w:r w:rsidRPr="009B3ECA">
        <w:rPr>
          <w:noProof/>
          <w:szCs w:val="24"/>
        </w:rPr>
        <w:t xml:space="preserve"> 103:102274. doi:10.1016/j.lindif.2023.102274.</w:t>
      </w:r>
    </w:p>
    <w:p w14:paraId="01B924E9" w14:textId="77777777" w:rsidR="009B3ECA" w:rsidRPr="009B3ECA" w:rsidRDefault="009B3ECA" w:rsidP="009B3ECA">
      <w:pPr>
        <w:widowControl w:val="0"/>
        <w:autoSpaceDE w:val="0"/>
        <w:autoSpaceDN w:val="0"/>
        <w:adjustRightInd w:val="0"/>
        <w:ind w:left="480" w:hanging="480"/>
        <w:rPr>
          <w:noProof/>
          <w:szCs w:val="24"/>
        </w:rPr>
      </w:pPr>
      <w:r w:rsidRPr="009B3ECA">
        <w:rPr>
          <w:noProof/>
          <w:szCs w:val="24"/>
        </w:rPr>
        <w:t xml:space="preserve">Lee, J., Davari, H., Singh, J., and Pandhare, V. 2018. “Industrial Artificial Intelligence for Industry 4.0-Based Manufacturing Systems.” </w:t>
      </w:r>
      <w:r w:rsidRPr="009B3ECA">
        <w:rPr>
          <w:i/>
          <w:iCs/>
          <w:noProof/>
          <w:szCs w:val="24"/>
        </w:rPr>
        <w:t>Manuf. Lett.</w:t>
      </w:r>
      <w:r w:rsidRPr="009B3ECA">
        <w:rPr>
          <w:noProof/>
          <w:szCs w:val="24"/>
        </w:rPr>
        <w:t xml:space="preserve"> 18:20–23. doi:10.1016/j.mfglet.2018.09.002.</w:t>
      </w:r>
    </w:p>
    <w:p w14:paraId="36C9AEAD" w14:textId="77777777" w:rsidR="009B3ECA" w:rsidRPr="009B3ECA" w:rsidRDefault="009B3ECA" w:rsidP="009B3ECA">
      <w:pPr>
        <w:widowControl w:val="0"/>
        <w:autoSpaceDE w:val="0"/>
        <w:autoSpaceDN w:val="0"/>
        <w:adjustRightInd w:val="0"/>
        <w:ind w:left="480" w:hanging="480"/>
        <w:rPr>
          <w:noProof/>
          <w:szCs w:val="24"/>
        </w:rPr>
      </w:pPr>
      <w:r w:rsidRPr="009B3ECA">
        <w:rPr>
          <w:noProof/>
          <w:szCs w:val="24"/>
        </w:rPr>
        <w:t xml:space="preserve">Luckin, R., Holmes, W., Griffiths, M., and Pearson, L. B. F. 2016. </w:t>
      </w:r>
      <w:r w:rsidRPr="009B3ECA">
        <w:rPr>
          <w:i/>
          <w:iCs/>
          <w:noProof/>
          <w:szCs w:val="24"/>
        </w:rPr>
        <w:t>Intelligence Unleashed An Argument for AI in Education</w:t>
      </w:r>
      <w:r w:rsidRPr="009B3ECA">
        <w:rPr>
          <w:noProof/>
          <w:szCs w:val="24"/>
        </w:rPr>
        <w:t>. Pearson.</w:t>
      </w:r>
    </w:p>
    <w:p w14:paraId="723EE6E2" w14:textId="77777777" w:rsidR="009B3ECA" w:rsidRPr="009B3ECA" w:rsidRDefault="009B3ECA" w:rsidP="009B3ECA">
      <w:pPr>
        <w:widowControl w:val="0"/>
        <w:autoSpaceDE w:val="0"/>
        <w:autoSpaceDN w:val="0"/>
        <w:adjustRightInd w:val="0"/>
        <w:ind w:left="480" w:hanging="480"/>
        <w:rPr>
          <w:noProof/>
          <w:szCs w:val="24"/>
        </w:rPr>
      </w:pPr>
      <w:r w:rsidRPr="009B3ECA">
        <w:rPr>
          <w:noProof/>
          <w:szCs w:val="24"/>
        </w:rPr>
        <w:t xml:space="preserve">Pane, J., Steiner, E., Baird, M., and Hamilton, L. 2015. </w:t>
      </w:r>
      <w:r w:rsidRPr="009B3ECA">
        <w:rPr>
          <w:i/>
          <w:iCs/>
          <w:noProof/>
          <w:szCs w:val="24"/>
        </w:rPr>
        <w:t>Continued Progress: Promising Evidence on Personalized Learning</w:t>
      </w:r>
      <w:r w:rsidRPr="009B3ECA">
        <w:rPr>
          <w:noProof/>
          <w:szCs w:val="24"/>
        </w:rPr>
        <w:t>. RAND Corporation.</w:t>
      </w:r>
    </w:p>
    <w:p w14:paraId="722C5A3E" w14:textId="77777777" w:rsidR="009B3ECA" w:rsidRPr="009B3ECA" w:rsidRDefault="009B3ECA" w:rsidP="009B3ECA">
      <w:pPr>
        <w:widowControl w:val="0"/>
        <w:autoSpaceDE w:val="0"/>
        <w:autoSpaceDN w:val="0"/>
        <w:adjustRightInd w:val="0"/>
        <w:ind w:left="480" w:hanging="480"/>
        <w:rPr>
          <w:noProof/>
          <w:szCs w:val="24"/>
        </w:rPr>
      </w:pPr>
      <w:r w:rsidRPr="009B3ECA">
        <w:rPr>
          <w:noProof/>
          <w:szCs w:val="24"/>
        </w:rPr>
        <w:t xml:space="preserve">Selwyn, N. 2019. </w:t>
      </w:r>
      <w:r w:rsidRPr="009B3ECA">
        <w:rPr>
          <w:i/>
          <w:iCs/>
          <w:noProof/>
          <w:szCs w:val="24"/>
        </w:rPr>
        <w:t>Should Robots Replace Teachers? AI and the Future of Education.</w:t>
      </w:r>
      <w:r w:rsidRPr="009B3ECA">
        <w:rPr>
          <w:noProof/>
          <w:szCs w:val="24"/>
        </w:rPr>
        <w:t xml:space="preserve"> John Wiley &amp; Sons, Inc.</w:t>
      </w:r>
    </w:p>
    <w:p w14:paraId="2A8EFD54" w14:textId="77777777" w:rsidR="009B3ECA" w:rsidRPr="009B3ECA" w:rsidRDefault="009B3ECA" w:rsidP="009B3ECA">
      <w:pPr>
        <w:widowControl w:val="0"/>
        <w:autoSpaceDE w:val="0"/>
        <w:autoSpaceDN w:val="0"/>
        <w:adjustRightInd w:val="0"/>
        <w:ind w:left="480" w:hanging="480"/>
        <w:rPr>
          <w:noProof/>
          <w:szCs w:val="24"/>
        </w:rPr>
      </w:pPr>
      <w:r w:rsidRPr="009B3ECA">
        <w:rPr>
          <w:noProof/>
          <w:szCs w:val="24"/>
        </w:rPr>
        <w:t xml:space="preserve">UNESCO. 2021. </w:t>
      </w:r>
      <w:r w:rsidRPr="009B3ECA">
        <w:rPr>
          <w:i/>
          <w:iCs/>
          <w:noProof/>
          <w:szCs w:val="24"/>
        </w:rPr>
        <w:t>AI and Education: Guidance for Policy-Makers</w:t>
      </w:r>
      <w:r w:rsidRPr="009B3ECA">
        <w:rPr>
          <w:noProof/>
          <w:szCs w:val="24"/>
        </w:rPr>
        <w:t>. Paris: UNESCO.</w:t>
      </w:r>
    </w:p>
    <w:p w14:paraId="4A993C48" w14:textId="77777777" w:rsidR="009B3ECA" w:rsidRPr="009B3ECA" w:rsidRDefault="009B3ECA" w:rsidP="009B3ECA">
      <w:pPr>
        <w:widowControl w:val="0"/>
        <w:autoSpaceDE w:val="0"/>
        <w:autoSpaceDN w:val="0"/>
        <w:adjustRightInd w:val="0"/>
        <w:ind w:left="480" w:hanging="480"/>
        <w:rPr>
          <w:noProof/>
          <w:szCs w:val="24"/>
        </w:rPr>
      </w:pPr>
      <w:r w:rsidRPr="009B3ECA">
        <w:rPr>
          <w:noProof/>
          <w:szCs w:val="24"/>
        </w:rPr>
        <w:t>Wakjira, T. G., Tijani, I. A., Alam, M. S., Mashal, M., and Hasan, M. K. 2025. “Can We Trust AI Content Detection Tools for Critical Decision-Making?” 16(10):904. doi:10.3390/INFO16100904/S1.</w:t>
      </w:r>
    </w:p>
    <w:p w14:paraId="73AA7BE8" w14:textId="77777777" w:rsidR="009B3ECA" w:rsidRPr="009B3ECA" w:rsidRDefault="009B3ECA" w:rsidP="009B3ECA">
      <w:pPr>
        <w:widowControl w:val="0"/>
        <w:autoSpaceDE w:val="0"/>
        <w:autoSpaceDN w:val="0"/>
        <w:adjustRightInd w:val="0"/>
        <w:ind w:left="480" w:hanging="480"/>
        <w:rPr>
          <w:noProof/>
        </w:rPr>
      </w:pPr>
      <w:r w:rsidRPr="009B3ECA">
        <w:rPr>
          <w:noProof/>
          <w:szCs w:val="24"/>
        </w:rPr>
        <w:t xml:space="preserve">Zawacki-Richter, O., Marín, V. I., Bond, M., and Gouverneur, F. 2019. “Systematic Review of Research on Artificial Intelligence Applications in Higher Education – Where Are the Educators?” </w:t>
      </w:r>
      <w:r w:rsidRPr="009B3ECA">
        <w:rPr>
          <w:i/>
          <w:iCs/>
          <w:noProof/>
          <w:szCs w:val="24"/>
        </w:rPr>
        <w:t>Int. J. Educ. Technol. High. Educ.</w:t>
      </w:r>
      <w:r w:rsidRPr="009B3ECA">
        <w:rPr>
          <w:noProof/>
          <w:szCs w:val="24"/>
        </w:rPr>
        <w:t xml:space="preserve"> 16(1):39. doi:10.1186/s41239-019-0171-0.</w:t>
      </w:r>
    </w:p>
    <w:p w14:paraId="56DD1B0B" w14:textId="69A6832A" w:rsidR="00E94006" w:rsidRPr="004E3946" w:rsidRDefault="004E3946" w:rsidP="004E3946">
      <w:r>
        <w:fldChar w:fldCharType="end"/>
      </w:r>
    </w:p>
    <w:sectPr w:rsidR="00E94006" w:rsidRPr="004E3946" w:rsidSect="00A63A1D">
      <w:footerReference w:type="even" r:id="rId9"/>
      <w:footerReference w:type="default" r:id="rId10"/>
      <w:headerReference w:type="first" r:id="rId11"/>
      <w:footerReference w:type="first" r:id="rId12"/>
      <w:pgSz w:w="12240" w:h="15840" w:code="1"/>
      <w:pgMar w:top="1152" w:right="1152" w:bottom="1152" w:left="1152"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D0C53" w14:textId="77777777" w:rsidR="00D53007" w:rsidRDefault="00D53007" w:rsidP="003B3C30">
      <w:r>
        <w:separator/>
      </w:r>
    </w:p>
    <w:p w14:paraId="252EBCD9" w14:textId="77777777" w:rsidR="00D53007" w:rsidRDefault="00D53007" w:rsidP="003B3C30"/>
  </w:endnote>
  <w:endnote w:type="continuationSeparator" w:id="0">
    <w:p w14:paraId="28678FF5" w14:textId="77777777" w:rsidR="00D53007" w:rsidRDefault="00D53007" w:rsidP="003B3C30">
      <w:r>
        <w:continuationSeparator/>
      </w:r>
    </w:p>
    <w:p w14:paraId="280A7768" w14:textId="77777777" w:rsidR="00D53007" w:rsidRDefault="00D53007" w:rsidP="003B3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F00F" w14:textId="77777777" w:rsidR="00027466" w:rsidRDefault="00027466" w:rsidP="003B3C3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763329F7" w14:textId="77777777" w:rsidR="00027466" w:rsidRDefault="00027466" w:rsidP="003B3C30">
    <w:pPr>
      <w:pStyle w:val="Footer"/>
    </w:pPr>
  </w:p>
  <w:p w14:paraId="56FFEF84" w14:textId="77777777" w:rsidR="00027466" w:rsidRDefault="00027466" w:rsidP="003B3C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5A31A" w14:textId="1C9D4743" w:rsidR="00027466" w:rsidRPr="00EA61B2" w:rsidRDefault="00027466" w:rsidP="00EA61B2">
    <w:pPr>
      <w:pStyle w:val="Footer"/>
      <w:jc w:val="center"/>
    </w:pPr>
    <w:r>
      <w:rPr>
        <w:rStyle w:val="PageNumber"/>
      </w:rPr>
      <w:t>1</w:t>
    </w:r>
    <w:r w:rsidRPr="00766176">
      <w:rPr>
        <w:rStyle w:val="PageNumber"/>
        <w:vertAlign w:val="superscript"/>
      </w:rPr>
      <w:t>st</w:t>
    </w:r>
    <w:r>
      <w:rPr>
        <w:rStyle w:val="PageNumber"/>
      </w:rPr>
      <w:t>IntSymp-</w:t>
    </w:r>
    <w:r w:rsidR="00B14C42">
      <w:rPr>
        <w:rStyle w:val="PageNumber"/>
      </w:rPr>
      <w:t>012</w:t>
    </w:r>
    <w:r>
      <w:rPr>
        <w:rStyle w:val="PageNumber"/>
      </w:rPr>
      <w:t>-</w:t>
    </w:r>
    <w:r>
      <w:rPr>
        <w:rStyle w:val="PageNumber"/>
      </w:rPr>
      <w:fldChar w:fldCharType="begin"/>
    </w:r>
    <w:r>
      <w:rPr>
        <w:rStyle w:val="PageNumber"/>
      </w:rPr>
      <w:instrText xml:space="preserve">PAGE  </w:instrText>
    </w:r>
    <w:r>
      <w:rPr>
        <w:rStyle w:val="PageNumber"/>
      </w:rPr>
      <w:fldChar w:fldCharType="separate"/>
    </w:r>
    <w:r w:rsidR="006F2B76">
      <w:rPr>
        <w:rStyle w:val="PageNumber"/>
        <w:noProof/>
      </w:rPr>
      <w:t>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A071" w14:textId="6549ABC8" w:rsidR="00027466" w:rsidRDefault="00027466" w:rsidP="001F363A">
    <w:pPr>
      <w:pStyle w:val="Footer"/>
      <w:jc w:val="center"/>
    </w:pPr>
    <w:r>
      <w:rPr>
        <w:rStyle w:val="PageNumber"/>
      </w:rPr>
      <w:t>1stIntSymp-</w:t>
    </w:r>
    <w:r w:rsidR="00B14C42">
      <w:rPr>
        <w:rStyle w:val="PageNumber"/>
      </w:rPr>
      <w:t>012</w:t>
    </w:r>
    <w:r>
      <w:rPr>
        <w:rStyle w:val="PageNumber"/>
      </w:rPr>
      <w:t>-</w:t>
    </w:r>
    <w:r>
      <w:rPr>
        <w:rStyle w:val="PageNumber"/>
      </w:rPr>
      <w:fldChar w:fldCharType="begin"/>
    </w:r>
    <w:r>
      <w:rPr>
        <w:rStyle w:val="PageNumber"/>
      </w:rPr>
      <w:instrText xml:space="preserve">PAGE  </w:instrText>
    </w:r>
    <w:r>
      <w:rPr>
        <w:rStyle w:val="PageNumber"/>
      </w:rPr>
      <w:fldChar w:fldCharType="separate"/>
    </w:r>
    <w:r w:rsidR="006F2B7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54D40" w14:textId="77777777" w:rsidR="00D53007" w:rsidRDefault="00D53007" w:rsidP="003B3C30">
      <w:r>
        <w:separator/>
      </w:r>
    </w:p>
    <w:p w14:paraId="043156C3" w14:textId="77777777" w:rsidR="00D53007" w:rsidRDefault="00D53007" w:rsidP="003B3C30"/>
  </w:footnote>
  <w:footnote w:type="continuationSeparator" w:id="0">
    <w:p w14:paraId="13261C25" w14:textId="77777777" w:rsidR="00D53007" w:rsidRDefault="00D53007" w:rsidP="003B3C30">
      <w:r>
        <w:continuationSeparator/>
      </w:r>
    </w:p>
    <w:p w14:paraId="381271D0" w14:textId="77777777" w:rsidR="00D53007" w:rsidRDefault="00D53007" w:rsidP="003B3C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jc w:val="center"/>
      <w:tblCellMar>
        <w:left w:w="0" w:type="dxa"/>
        <w:right w:w="0" w:type="dxa"/>
      </w:tblCellMar>
      <w:tblLook w:val="04A0" w:firstRow="1" w:lastRow="0" w:firstColumn="1" w:lastColumn="0" w:noHBand="0" w:noVBand="1"/>
    </w:tblPr>
    <w:tblGrid>
      <w:gridCol w:w="1701"/>
      <w:gridCol w:w="6237"/>
      <w:gridCol w:w="1418"/>
    </w:tblGrid>
    <w:tr w:rsidR="00027466" w:rsidRPr="00544E28" w14:paraId="7493B157" w14:textId="77777777" w:rsidTr="00027466">
      <w:trPr>
        <w:cantSplit/>
        <w:trHeight w:val="709"/>
        <w:jc w:val="center"/>
      </w:trPr>
      <w:tc>
        <w:tcPr>
          <w:tcW w:w="1701" w:type="dxa"/>
          <w:vMerge w:val="restart"/>
          <w:tcBorders>
            <w:top w:val="nil"/>
            <w:left w:val="nil"/>
            <w:right w:val="nil"/>
          </w:tcBorders>
          <w:vAlign w:val="center"/>
        </w:tcPr>
        <w:p w14:paraId="47CA0826" w14:textId="6CF1AC10" w:rsidR="00027466" w:rsidRPr="00544E28" w:rsidRDefault="00027466" w:rsidP="00D03BE3">
          <w:pPr>
            <w:pStyle w:val="Header"/>
            <w:jc w:val="left"/>
            <w:rPr>
              <w:iCs/>
              <w:sz w:val="18"/>
              <w:szCs w:val="18"/>
              <w:lang w:val="fr-FR"/>
            </w:rPr>
          </w:pPr>
          <w:r>
            <w:rPr>
              <w:iCs/>
              <w:noProof/>
              <w:sz w:val="18"/>
              <w:szCs w:val="18"/>
            </w:rPr>
            <w:drawing>
              <wp:inline distT="0" distB="0" distL="0" distR="0" wp14:anchorId="29337126" wp14:editId="6640B703">
                <wp:extent cx="876300" cy="81845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569" cy="823379"/>
                        </a:xfrm>
                        <a:prstGeom prst="rect">
                          <a:avLst/>
                        </a:prstGeom>
                        <a:noFill/>
                      </pic:spPr>
                    </pic:pic>
                  </a:graphicData>
                </a:graphic>
              </wp:inline>
            </w:drawing>
          </w:r>
        </w:p>
      </w:tc>
      <w:tc>
        <w:tcPr>
          <w:tcW w:w="6237" w:type="dxa"/>
          <w:tcBorders>
            <w:top w:val="nil"/>
            <w:left w:val="nil"/>
            <w:bottom w:val="single" w:sz="4" w:space="0" w:color="auto"/>
            <w:right w:val="nil"/>
          </w:tcBorders>
          <w:vAlign w:val="center"/>
        </w:tcPr>
        <w:p w14:paraId="2CA76329" w14:textId="77777777" w:rsidR="00027466" w:rsidRPr="00304789" w:rsidRDefault="00027466" w:rsidP="00D03BE3">
          <w:pPr>
            <w:pStyle w:val="Header"/>
            <w:jc w:val="center"/>
            <w:rPr>
              <w:iCs/>
              <w:sz w:val="10"/>
              <w:szCs w:val="10"/>
              <w:lang w:val="fr-FR"/>
            </w:rPr>
          </w:pPr>
        </w:p>
        <w:p w14:paraId="38F87BA9" w14:textId="2A9B7749" w:rsidR="00027466" w:rsidRPr="00C729F1" w:rsidRDefault="00027466" w:rsidP="00D03BE3">
          <w:pPr>
            <w:pStyle w:val="Header"/>
            <w:jc w:val="center"/>
            <w:rPr>
              <w:iCs/>
              <w:sz w:val="18"/>
              <w:szCs w:val="18"/>
            </w:rPr>
          </w:pPr>
          <w:r w:rsidRPr="0003191F">
            <w:rPr>
              <w:iCs/>
              <w:sz w:val="18"/>
              <w:szCs w:val="18"/>
            </w:rPr>
            <w:t>Advancing Engineering for a Sustainable Future (AE4SF) - 1st Int Symposium</w:t>
          </w:r>
        </w:p>
        <w:p w14:paraId="3F357937" w14:textId="6CD1158E" w:rsidR="00027466" w:rsidRPr="00C729F1" w:rsidRDefault="00027466" w:rsidP="00D03BE3">
          <w:pPr>
            <w:pStyle w:val="Header"/>
            <w:jc w:val="center"/>
            <w:rPr>
              <w:sz w:val="2"/>
              <w:szCs w:val="2"/>
            </w:rPr>
          </w:pPr>
        </w:p>
      </w:tc>
      <w:tc>
        <w:tcPr>
          <w:tcW w:w="1418" w:type="dxa"/>
          <w:vMerge w:val="restart"/>
          <w:vAlign w:val="center"/>
          <w:hideMark/>
        </w:tcPr>
        <w:p w14:paraId="0178063B" w14:textId="0B1E87BA" w:rsidR="00027466" w:rsidRPr="00544E28" w:rsidRDefault="00027466" w:rsidP="00D03BE3">
          <w:pPr>
            <w:pStyle w:val="Header"/>
            <w:jc w:val="right"/>
            <w:rPr>
              <w:sz w:val="16"/>
              <w:szCs w:val="16"/>
            </w:rPr>
          </w:pPr>
          <w:r w:rsidRPr="003326BB">
            <w:rPr>
              <w:noProof/>
              <w:sz w:val="16"/>
              <w:szCs w:val="16"/>
            </w:rPr>
            <w:drawing>
              <wp:anchor distT="0" distB="0" distL="114300" distR="114300" simplePos="0" relativeHeight="251658240" behindDoc="0" locked="0" layoutInCell="1" allowOverlap="1" wp14:anchorId="5A6CF0D8" wp14:editId="5ADCC34D">
                <wp:simplePos x="0" y="0"/>
                <wp:positionH relativeFrom="column">
                  <wp:posOffset>316230</wp:posOffset>
                </wp:positionH>
                <wp:positionV relativeFrom="paragraph">
                  <wp:posOffset>7620</wp:posOffset>
                </wp:positionV>
                <wp:extent cx="899795" cy="787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899795" cy="787400"/>
                        </a:xfrm>
                        <a:prstGeom prst="rect">
                          <a:avLst/>
                        </a:prstGeom>
                      </pic:spPr>
                    </pic:pic>
                  </a:graphicData>
                </a:graphic>
                <wp14:sizeRelH relativeFrom="margin">
                  <wp14:pctWidth>0</wp14:pctWidth>
                </wp14:sizeRelH>
                <wp14:sizeRelV relativeFrom="margin">
                  <wp14:pctHeight>0</wp14:pctHeight>
                </wp14:sizeRelV>
              </wp:anchor>
            </w:drawing>
          </w:r>
        </w:p>
      </w:tc>
    </w:tr>
    <w:tr w:rsidR="00027466" w:rsidRPr="00C729F1" w14:paraId="2249D161" w14:textId="77777777" w:rsidTr="00027466">
      <w:trPr>
        <w:cantSplit/>
        <w:trHeight w:val="637"/>
        <w:jc w:val="center"/>
      </w:trPr>
      <w:tc>
        <w:tcPr>
          <w:tcW w:w="1701" w:type="dxa"/>
          <w:vMerge/>
          <w:tcBorders>
            <w:left w:val="nil"/>
            <w:bottom w:val="nil"/>
            <w:right w:val="nil"/>
          </w:tcBorders>
        </w:tcPr>
        <w:p w14:paraId="61074161" w14:textId="77777777" w:rsidR="00027466" w:rsidRPr="00304789" w:rsidRDefault="00027466" w:rsidP="00D03BE3">
          <w:pPr>
            <w:pStyle w:val="Header"/>
            <w:jc w:val="center"/>
            <w:rPr>
              <w:sz w:val="12"/>
              <w:szCs w:val="12"/>
            </w:rPr>
          </w:pPr>
        </w:p>
      </w:tc>
      <w:tc>
        <w:tcPr>
          <w:tcW w:w="6237" w:type="dxa"/>
          <w:tcBorders>
            <w:top w:val="single" w:sz="4" w:space="0" w:color="auto"/>
            <w:left w:val="nil"/>
            <w:bottom w:val="nil"/>
            <w:right w:val="nil"/>
          </w:tcBorders>
        </w:tcPr>
        <w:p w14:paraId="6E640578" w14:textId="77777777" w:rsidR="00027466" w:rsidRPr="00304789" w:rsidRDefault="00027466" w:rsidP="00D03BE3">
          <w:pPr>
            <w:pStyle w:val="Header"/>
            <w:jc w:val="center"/>
            <w:rPr>
              <w:sz w:val="12"/>
              <w:szCs w:val="12"/>
            </w:rPr>
          </w:pPr>
        </w:p>
        <w:p w14:paraId="0E32C7A1" w14:textId="134CD211" w:rsidR="00027466" w:rsidRPr="00C729F1" w:rsidRDefault="00027466" w:rsidP="00D03BE3">
          <w:pPr>
            <w:pStyle w:val="Header"/>
            <w:jc w:val="center"/>
            <w:rPr>
              <w:sz w:val="18"/>
              <w:szCs w:val="18"/>
            </w:rPr>
          </w:pPr>
          <w:r>
            <w:rPr>
              <w:sz w:val="18"/>
              <w:szCs w:val="18"/>
            </w:rPr>
            <w:t>Harrison Hot Springs</w:t>
          </w:r>
          <w:r w:rsidRPr="00C729F1">
            <w:rPr>
              <w:sz w:val="18"/>
              <w:szCs w:val="18"/>
            </w:rPr>
            <w:t>, British Columbia, C</w:t>
          </w:r>
          <w:r>
            <w:rPr>
              <w:sz w:val="18"/>
              <w:szCs w:val="18"/>
            </w:rPr>
            <w:t>anada</w:t>
          </w:r>
        </w:p>
        <w:p w14:paraId="4D2128DB" w14:textId="2514D5BB" w:rsidR="00027466" w:rsidRPr="00C729F1" w:rsidRDefault="00027466" w:rsidP="00D03BE3">
          <w:pPr>
            <w:pStyle w:val="Header"/>
            <w:jc w:val="center"/>
            <w:rPr>
              <w:sz w:val="18"/>
              <w:szCs w:val="18"/>
            </w:rPr>
          </w:pPr>
          <w:r>
            <w:rPr>
              <w:iCs/>
              <w:sz w:val="18"/>
              <w:szCs w:val="18"/>
            </w:rPr>
            <w:t>July</w:t>
          </w:r>
          <w:r w:rsidRPr="00C729F1">
            <w:rPr>
              <w:iCs/>
              <w:sz w:val="18"/>
              <w:szCs w:val="18"/>
            </w:rPr>
            <w:t xml:space="preserve"> 4, 2026</w:t>
          </w:r>
        </w:p>
      </w:tc>
      <w:tc>
        <w:tcPr>
          <w:tcW w:w="1418" w:type="dxa"/>
          <w:vMerge/>
          <w:vAlign w:val="center"/>
          <w:hideMark/>
        </w:tcPr>
        <w:p w14:paraId="0C292A56" w14:textId="77777777" w:rsidR="00027466" w:rsidRPr="00C729F1" w:rsidRDefault="00027466" w:rsidP="00D03BE3">
          <w:pPr>
            <w:pStyle w:val="Header"/>
            <w:rPr>
              <w:sz w:val="16"/>
              <w:szCs w:val="16"/>
            </w:rPr>
          </w:pPr>
        </w:p>
      </w:tc>
    </w:tr>
  </w:tbl>
  <w:p w14:paraId="0A34156C" w14:textId="249F3770" w:rsidR="00027466" w:rsidRPr="00C729F1" w:rsidRDefault="00027466" w:rsidP="00544E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13DA"/>
    <w:multiLevelType w:val="hybridMultilevel"/>
    <w:tmpl w:val="754E8D3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2FB6240"/>
    <w:multiLevelType w:val="multilevel"/>
    <w:tmpl w:val="FAFA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8F069C"/>
    <w:multiLevelType w:val="hybridMultilevel"/>
    <w:tmpl w:val="6F404A4A"/>
    <w:lvl w:ilvl="0" w:tplc="50B6AF9A">
      <w:start w:val="1"/>
      <w:numFmt w:val="bullet"/>
      <w:pStyle w:val="ListParagraph"/>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8385790"/>
    <w:multiLevelType w:val="hybridMultilevel"/>
    <w:tmpl w:val="8E4EEDB4"/>
    <w:lvl w:ilvl="0" w:tplc="B6FEA92E">
      <w:start w:val="1"/>
      <w:numFmt w:val="bullet"/>
      <w:lvlText w:val=""/>
      <w:lvlJc w:val="left"/>
      <w:pPr>
        <w:ind w:left="1526" w:hanging="360"/>
      </w:pPr>
      <w:rPr>
        <w:rFonts w:ascii="Wingdings" w:hAnsi="Wingdings" w:hint="default"/>
      </w:rPr>
    </w:lvl>
    <w:lvl w:ilvl="1" w:tplc="4386F282">
      <w:start w:val="1"/>
      <w:numFmt w:val="decimal"/>
      <w:lvlText w:val="(%2)"/>
      <w:lvlJc w:val="left"/>
      <w:pPr>
        <w:ind w:left="2246" w:hanging="360"/>
      </w:pPr>
      <w:rPr>
        <w:rFonts w:hint="default"/>
      </w:rPr>
    </w:lvl>
    <w:lvl w:ilvl="2" w:tplc="A04E7E36">
      <w:start w:val="1"/>
      <w:numFmt w:val="lowerRoman"/>
      <w:lvlText w:val="%3."/>
      <w:lvlJc w:val="left"/>
      <w:pPr>
        <w:ind w:left="3506" w:hanging="720"/>
      </w:pPr>
      <w:rPr>
        <w:rFonts w:hint="default"/>
      </w:r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4"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330455B0"/>
    <w:multiLevelType w:val="multilevel"/>
    <w:tmpl w:val="10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4C07595"/>
    <w:multiLevelType w:val="hybridMultilevel"/>
    <w:tmpl w:val="4BD2377E"/>
    <w:lvl w:ilvl="0" w:tplc="5D7CDCC0">
      <w:start w:val="1"/>
      <w:numFmt w:val="bullet"/>
      <w:pStyle w:val="Bullet"/>
      <w:lvlText w:val=""/>
      <w:lvlJc w:val="left"/>
      <w:pPr>
        <w:tabs>
          <w:tab w:val="num" w:pos="1008"/>
        </w:tabs>
        <w:ind w:left="1008" w:hanging="360"/>
      </w:pPr>
      <w:rPr>
        <w:rFonts w:ascii="Times" w:hAnsi="Time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6288395D"/>
    <w:multiLevelType w:val="multilevel"/>
    <w:tmpl w:val="0EB209F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64F00AE3"/>
    <w:multiLevelType w:val="multilevel"/>
    <w:tmpl w:val="10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72D51F50"/>
    <w:multiLevelType w:val="multilevel"/>
    <w:tmpl w:val="EDAC600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7"/>
  </w:num>
  <w:num w:numId="3">
    <w:abstractNumId w:val="5"/>
  </w:num>
  <w:num w:numId="4">
    <w:abstractNumId w:val="7"/>
  </w:num>
  <w:num w:numId="5">
    <w:abstractNumId w:val="0"/>
  </w:num>
  <w:num w:numId="6">
    <w:abstractNumId w:val="8"/>
  </w:num>
  <w:num w:numId="7">
    <w:abstractNumId w:val="3"/>
  </w:num>
  <w:num w:numId="8">
    <w:abstractNumId w:val="7"/>
  </w:num>
  <w:num w:numId="9">
    <w:abstractNumId w:val="7"/>
  </w:num>
  <w:num w:numId="10">
    <w:abstractNumId w:val="7"/>
  </w:num>
  <w:num w:numId="11">
    <w:abstractNumId w:val="7"/>
  </w:num>
  <w:num w:numId="12">
    <w:abstractNumId w:val="7"/>
  </w:num>
  <w:num w:numId="13">
    <w:abstractNumId w:val="4"/>
  </w:num>
  <w:num w:numId="14">
    <w:abstractNumId w:val="7"/>
  </w:num>
  <w:num w:numId="15">
    <w:abstractNumId w:val="9"/>
  </w:num>
  <w:num w:numId="16">
    <w:abstractNumId w:val="7"/>
  </w:num>
  <w:num w:numId="17">
    <w:abstractNumId w:val="1"/>
  </w:num>
  <w:num w:numId="18">
    <w:abstractNumId w:val="2"/>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cwszAwBzFMjcyMlXSUglOLizPz80AKLGoBQSswxSwAAAA="/>
  </w:docVars>
  <w:rsids>
    <w:rsidRoot w:val="00C836F2"/>
    <w:rsid w:val="00000EBD"/>
    <w:rsid w:val="0001127F"/>
    <w:rsid w:val="00011809"/>
    <w:rsid w:val="00017373"/>
    <w:rsid w:val="00027466"/>
    <w:rsid w:val="00030553"/>
    <w:rsid w:val="0003191F"/>
    <w:rsid w:val="00046089"/>
    <w:rsid w:val="000479A5"/>
    <w:rsid w:val="00060860"/>
    <w:rsid w:val="0006240A"/>
    <w:rsid w:val="00063FEF"/>
    <w:rsid w:val="0007171D"/>
    <w:rsid w:val="000719AD"/>
    <w:rsid w:val="00075E85"/>
    <w:rsid w:val="00082CE8"/>
    <w:rsid w:val="000832CA"/>
    <w:rsid w:val="00083B54"/>
    <w:rsid w:val="00093D53"/>
    <w:rsid w:val="000965EF"/>
    <w:rsid w:val="000A4832"/>
    <w:rsid w:val="000B2AA7"/>
    <w:rsid w:val="000B6D79"/>
    <w:rsid w:val="000C1D4D"/>
    <w:rsid w:val="000D3466"/>
    <w:rsid w:val="000E002D"/>
    <w:rsid w:val="000E43C1"/>
    <w:rsid w:val="000F536A"/>
    <w:rsid w:val="00103A23"/>
    <w:rsid w:val="001214E4"/>
    <w:rsid w:val="001243EE"/>
    <w:rsid w:val="00127F72"/>
    <w:rsid w:val="00141C03"/>
    <w:rsid w:val="001430B9"/>
    <w:rsid w:val="00151900"/>
    <w:rsid w:val="00154AEC"/>
    <w:rsid w:val="00162F25"/>
    <w:rsid w:val="00165B51"/>
    <w:rsid w:val="001705D4"/>
    <w:rsid w:val="00176FB0"/>
    <w:rsid w:val="00183CCC"/>
    <w:rsid w:val="00190C8C"/>
    <w:rsid w:val="00191655"/>
    <w:rsid w:val="00191A77"/>
    <w:rsid w:val="00191D64"/>
    <w:rsid w:val="00192F05"/>
    <w:rsid w:val="001940B0"/>
    <w:rsid w:val="0019595A"/>
    <w:rsid w:val="001A0F24"/>
    <w:rsid w:val="001A4EB0"/>
    <w:rsid w:val="001B04F8"/>
    <w:rsid w:val="001B0D00"/>
    <w:rsid w:val="001B1459"/>
    <w:rsid w:val="001C681A"/>
    <w:rsid w:val="001C6C9E"/>
    <w:rsid w:val="001D76C0"/>
    <w:rsid w:val="001E1F18"/>
    <w:rsid w:val="001E4E34"/>
    <w:rsid w:val="001F363A"/>
    <w:rsid w:val="00201E49"/>
    <w:rsid w:val="002067E5"/>
    <w:rsid w:val="00210893"/>
    <w:rsid w:val="00211D0B"/>
    <w:rsid w:val="002140CF"/>
    <w:rsid w:val="002156E6"/>
    <w:rsid w:val="00216708"/>
    <w:rsid w:val="0022042B"/>
    <w:rsid w:val="00221B9C"/>
    <w:rsid w:val="00225D0E"/>
    <w:rsid w:val="00226B6C"/>
    <w:rsid w:val="0023181B"/>
    <w:rsid w:val="00254D6B"/>
    <w:rsid w:val="002646C8"/>
    <w:rsid w:val="002674AA"/>
    <w:rsid w:val="00267B05"/>
    <w:rsid w:val="00272368"/>
    <w:rsid w:val="00274F7C"/>
    <w:rsid w:val="0028285C"/>
    <w:rsid w:val="002839B8"/>
    <w:rsid w:val="0028492F"/>
    <w:rsid w:val="0029073E"/>
    <w:rsid w:val="002A5B67"/>
    <w:rsid w:val="002B2BB8"/>
    <w:rsid w:val="002C4D2A"/>
    <w:rsid w:val="002C5CBF"/>
    <w:rsid w:val="002D012E"/>
    <w:rsid w:val="002E1E2D"/>
    <w:rsid w:val="002E2598"/>
    <w:rsid w:val="002E5F8B"/>
    <w:rsid w:val="002F6CAD"/>
    <w:rsid w:val="002F74C9"/>
    <w:rsid w:val="00304789"/>
    <w:rsid w:val="003127A0"/>
    <w:rsid w:val="003216BD"/>
    <w:rsid w:val="00327FBF"/>
    <w:rsid w:val="0033131B"/>
    <w:rsid w:val="003326BB"/>
    <w:rsid w:val="003374BC"/>
    <w:rsid w:val="00337569"/>
    <w:rsid w:val="00342DD9"/>
    <w:rsid w:val="00347FE3"/>
    <w:rsid w:val="00352403"/>
    <w:rsid w:val="00362023"/>
    <w:rsid w:val="00363A8F"/>
    <w:rsid w:val="0037584B"/>
    <w:rsid w:val="00385983"/>
    <w:rsid w:val="003A7DB2"/>
    <w:rsid w:val="003B3C30"/>
    <w:rsid w:val="003B441E"/>
    <w:rsid w:val="003B5BDF"/>
    <w:rsid w:val="003B6C15"/>
    <w:rsid w:val="003C5560"/>
    <w:rsid w:val="003D3C8D"/>
    <w:rsid w:val="003E0A77"/>
    <w:rsid w:val="003E1976"/>
    <w:rsid w:val="003E7772"/>
    <w:rsid w:val="003F7E23"/>
    <w:rsid w:val="00400517"/>
    <w:rsid w:val="00402FC9"/>
    <w:rsid w:val="004145DB"/>
    <w:rsid w:val="004178D0"/>
    <w:rsid w:val="00422701"/>
    <w:rsid w:val="00423794"/>
    <w:rsid w:val="004237A2"/>
    <w:rsid w:val="0042722F"/>
    <w:rsid w:val="00436A92"/>
    <w:rsid w:val="00447684"/>
    <w:rsid w:val="00450860"/>
    <w:rsid w:val="004512CC"/>
    <w:rsid w:val="00455EF6"/>
    <w:rsid w:val="00461A70"/>
    <w:rsid w:val="00477462"/>
    <w:rsid w:val="0048089B"/>
    <w:rsid w:val="00483C90"/>
    <w:rsid w:val="0049673D"/>
    <w:rsid w:val="004A0E59"/>
    <w:rsid w:val="004A430A"/>
    <w:rsid w:val="004A44EA"/>
    <w:rsid w:val="004A6021"/>
    <w:rsid w:val="004A6D6E"/>
    <w:rsid w:val="004A7B9F"/>
    <w:rsid w:val="004B2C04"/>
    <w:rsid w:val="004C0E8D"/>
    <w:rsid w:val="004C1E02"/>
    <w:rsid w:val="004C633A"/>
    <w:rsid w:val="004D653F"/>
    <w:rsid w:val="004E116B"/>
    <w:rsid w:val="004E1DA9"/>
    <w:rsid w:val="004E323F"/>
    <w:rsid w:val="004E3946"/>
    <w:rsid w:val="004F3FAF"/>
    <w:rsid w:val="005018B2"/>
    <w:rsid w:val="00506308"/>
    <w:rsid w:val="00510C10"/>
    <w:rsid w:val="00511FA0"/>
    <w:rsid w:val="00517952"/>
    <w:rsid w:val="00523941"/>
    <w:rsid w:val="005243E0"/>
    <w:rsid w:val="00531E9B"/>
    <w:rsid w:val="00532C75"/>
    <w:rsid w:val="005372CE"/>
    <w:rsid w:val="00537B39"/>
    <w:rsid w:val="005425B2"/>
    <w:rsid w:val="005429A2"/>
    <w:rsid w:val="005437E1"/>
    <w:rsid w:val="00544688"/>
    <w:rsid w:val="00544E28"/>
    <w:rsid w:val="00546D57"/>
    <w:rsid w:val="005541C4"/>
    <w:rsid w:val="005576C5"/>
    <w:rsid w:val="00565509"/>
    <w:rsid w:val="00566FA7"/>
    <w:rsid w:val="005706A9"/>
    <w:rsid w:val="005745C8"/>
    <w:rsid w:val="00574D6B"/>
    <w:rsid w:val="005754FB"/>
    <w:rsid w:val="005913C6"/>
    <w:rsid w:val="00593CF6"/>
    <w:rsid w:val="005A0D86"/>
    <w:rsid w:val="005A3A63"/>
    <w:rsid w:val="005A751A"/>
    <w:rsid w:val="005B5B55"/>
    <w:rsid w:val="005B5C43"/>
    <w:rsid w:val="005B61B4"/>
    <w:rsid w:val="005B722A"/>
    <w:rsid w:val="005C081C"/>
    <w:rsid w:val="005C4960"/>
    <w:rsid w:val="005C7353"/>
    <w:rsid w:val="005E013B"/>
    <w:rsid w:val="005F0A28"/>
    <w:rsid w:val="005F2024"/>
    <w:rsid w:val="005F3AB0"/>
    <w:rsid w:val="005F503B"/>
    <w:rsid w:val="005F6497"/>
    <w:rsid w:val="00604CE6"/>
    <w:rsid w:val="00606B26"/>
    <w:rsid w:val="00610438"/>
    <w:rsid w:val="006228ED"/>
    <w:rsid w:val="006235A1"/>
    <w:rsid w:val="006243CE"/>
    <w:rsid w:val="006325B5"/>
    <w:rsid w:val="0063409B"/>
    <w:rsid w:val="00637FF5"/>
    <w:rsid w:val="00641318"/>
    <w:rsid w:val="00645937"/>
    <w:rsid w:val="00650173"/>
    <w:rsid w:val="00652422"/>
    <w:rsid w:val="00655B4F"/>
    <w:rsid w:val="00663E57"/>
    <w:rsid w:val="00670154"/>
    <w:rsid w:val="00672BEC"/>
    <w:rsid w:val="00675C5E"/>
    <w:rsid w:val="00677BBA"/>
    <w:rsid w:val="00680A57"/>
    <w:rsid w:val="00681168"/>
    <w:rsid w:val="006824F4"/>
    <w:rsid w:val="00686074"/>
    <w:rsid w:val="00686538"/>
    <w:rsid w:val="006A32FD"/>
    <w:rsid w:val="006B3B6D"/>
    <w:rsid w:val="006B3F3A"/>
    <w:rsid w:val="006B5D3E"/>
    <w:rsid w:val="006C115F"/>
    <w:rsid w:val="006C13E1"/>
    <w:rsid w:val="006C29B2"/>
    <w:rsid w:val="006D14B4"/>
    <w:rsid w:val="006F2B76"/>
    <w:rsid w:val="006F5B88"/>
    <w:rsid w:val="0070273B"/>
    <w:rsid w:val="00706BD2"/>
    <w:rsid w:val="00707E06"/>
    <w:rsid w:val="00712730"/>
    <w:rsid w:val="00715192"/>
    <w:rsid w:val="0072035D"/>
    <w:rsid w:val="00731D02"/>
    <w:rsid w:val="0073217F"/>
    <w:rsid w:val="0073272C"/>
    <w:rsid w:val="0073717E"/>
    <w:rsid w:val="00740852"/>
    <w:rsid w:val="007410FE"/>
    <w:rsid w:val="0074365F"/>
    <w:rsid w:val="00752875"/>
    <w:rsid w:val="00766176"/>
    <w:rsid w:val="00773D7D"/>
    <w:rsid w:val="00775554"/>
    <w:rsid w:val="00776134"/>
    <w:rsid w:val="00790EF3"/>
    <w:rsid w:val="00796734"/>
    <w:rsid w:val="007A4FFB"/>
    <w:rsid w:val="007A7D9C"/>
    <w:rsid w:val="007B19C0"/>
    <w:rsid w:val="007B2183"/>
    <w:rsid w:val="007B279F"/>
    <w:rsid w:val="007B5275"/>
    <w:rsid w:val="007B757F"/>
    <w:rsid w:val="007C451F"/>
    <w:rsid w:val="007C5F07"/>
    <w:rsid w:val="007D26DB"/>
    <w:rsid w:val="007E0459"/>
    <w:rsid w:val="0080555A"/>
    <w:rsid w:val="0080630E"/>
    <w:rsid w:val="008071D2"/>
    <w:rsid w:val="00810C06"/>
    <w:rsid w:val="00811107"/>
    <w:rsid w:val="0081588C"/>
    <w:rsid w:val="00830C96"/>
    <w:rsid w:val="008316C8"/>
    <w:rsid w:val="00843CA9"/>
    <w:rsid w:val="00847CD6"/>
    <w:rsid w:val="00864A12"/>
    <w:rsid w:val="00866392"/>
    <w:rsid w:val="00872202"/>
    <w:rsid w:val="00875A7F"/>
    <w:rsid w:val="00880222"/>
    <w:rsid w:val="008816A8"/>
    <w:rsid w:val="00892210"/>
    <w:rsid w:val="00895EBF"/>
    <w:rsid w:val="008A2626"/>
    <w:rsid w:val="008A3180"/>
    <w:rsid w:val="008A5EB1"/>
    <w:rsid w:val="008B10BF"/>
    <w:rsid w:val="008B1839"/>
    <w:rsid w:val="008B66F5"/>
    <w:rsid w:val="008C10A4"/>
    <w:rsid w:val="008C2DFC"/>
    <w:rsid w:val="008C4B23"/>
    <w:rsid w:val="008C712B"/>
    <w:rsid w:val="008D074C"/>
    <w:rsid w:val="008D2379"/>
    <w:rsid w:val="008D3085"/>
    <w:rsid w:val="008D4F02"/>
    <w:rsid w:val="008D7AB0"/>
    <w:rsid w:val="008E0173"/>
    <w:rsid w:val="008E1652"/>
    <w:rsid w:val="008E2804"/>
    <w:rsid w:val="008E2F7D"/>
    <w:rsid w:val="008F1812"/>
    <w:rsid w:val="008F399E"/>
    <w:rsid w:val="00906F68"/>
    <w:rsid w:val="00920CF6"/>
    <w:rsid w:val="00956071"/>
    <w:rsid w:val="009602B8"/>
    <w:rsid w:val="00980531"/>
    <w:rsid w:val="00980A51"/>
    <w:rsid w:val="00986676"/>
    <w:rsid w:val="00993F5B"/>
    <w:rsid w:val="009A7B31"/>
    <w:rsid w:val="009B2C7D"/>
    <w:rsid w:val="009B3ECA"/>
    <w:rsid w:val="009B5CDF"/>
    <w:rsid w:val="009C2A56"/>
    <w:rsid w:val="009C4808"/>
    <w:rsid w:val="009D2B08"/>
    <w:rsid w:val="009D4C6F"/>
    <w:rsid w:val="009E4E56"/>
    <w:rsid w:val="009E4E87"/>
    <w:rsid w:val="009F6F05"/>
    <w:rsid w:val="00A01E8F"/>
    <w:rsid w:val="00A03559"/>
    <w:rsid w:val="00A24468"/>
    <w:rsid w:val="00A27A04"/>
    <w:rsid w:val="00A3070B"/>
    <w:rsid w:val="00A3381C"/>
    <w:rsid w:val="00A362CB"/>
    <w:rsid w:val="00A47F3E"/>
    <w:rsid w:val="00A50FE4"/>
    <w:rsid w:val="00A5390F"/>
    <w:rsid w:val="00A53EBD"/>
    <w:rsid w:val="00A56F18"/>
    <w:rsid w:val="00A611BB"/>
    <w:rsid w:val="00A63A1D"/>
    <w:rsid w:val="00A81661"/>
    <w:rsid w:val="00A8182F"/>
    <w:rsid w:val="00A90B14"/>
    <w:rsid w:val="00A92A79"/>
    <w:rsid w:val="00A94099"/>
    <w:rsid w:val="00A94128"/>
    <w:rsid w:val="00A95118"/>
    <w:rsid w:val="00A974CB"/>
    <w:rsid w:val="00AB297A"/>
    <w:rsid w:val="00AB5653"/>
    <w:rsid w:val="00AB6692"/>
    <w:rsid w:val="00AB7674"/>
    <w:rsid w:val="00AC1943"/>
    <w:rsid w:val="00AC238C"/>
    <w:rsid w:val="00AC2B11"/>
    <w:rsid w:val="00AD0D02"/>
    <w:rsid w:val="00AD16F0"/>
    <w:rsid w:val="00B0003A"/>
    <w:rsid w:val="00B03A3E"/>
    <w:rsid w:val="00B03B22"/>
    <w:rsid w:val="00B11CAE"/>
    <w:rsid w:val="00B13A02"/>
    <w:rsid w:val="00B14B6F"/>
    <w:rsid w:val="00B14C42"/>
    <w:rsid w:val="00B21C62"/>
    <w:rsid w:val="00B256A0"/>
    <w:rsid w:val="00B342AA"/>
    <w:rsid w:val="00B3623F"/>
    <w:rsid w:val="00B435A5"/>
    <w:rsid w:val="00B45C49"/>
    <w:rsid w:val="00B52DEF"/>
    <w:rsid w:val="00B61DDC"/>
    <w:rsid w:val="00B735AC"/>
    <w:rsid w:val="00B81782"/>
    <w:rsid w:val="00B87305"/>
    <w:rsid w:val="00B941CA"/>
    <w:rsid w:val="00B9685B"/>
    <w:rsid w:val="00B974CA"/>
    <w:rsid w:val="00B9754F"/>
    <w:rsid w:val="00BA0836"/>
    <w:rsid w:val="00BB5AA9"/>
    <w:rsid w:val="00BC3269"/>
    <w:rsid w:val="00BC5F2B"/>
    <w:rsid w:val="00BC6E31"/>
    <w:rsid w:val="00BD0B1A"/>
    <w:rsid w:val="00BD5FA3"/>
    <w:rsid w:val="00BE09A2"/>
    <w:rsid w:val="00BE33F0"/>
    <w:rsid w:val="00BE455A"/>
    <w:rsid w:val="00C01A3C"/>
    <w:rsid w:val="00C044CA"/>
    <w:rsid w:val="00C045BF"/>
    <w:rsid w:val="00C07A4E"/>
    <w:rsid w:val="00C101E5"/>
    <w:rsid w:val="00C2266A"/>
    <w:rsid w:val="00C25FEF"/>
    <w:rsid w:val="00C27337"/>
    <w:rsid w:val="00C3325E"/>
    <w:rsid w:val="00C346A5"/>
    <w:rsid w:val="00C350CD"/>
    <w:rsid w:val="00C36D04"/>
    <w:rsid w:val="00C4350E"/>
    <w:rsid w:val="00C50044"/>
    <w:rsid w:val="00C61506"/>
    <w:rsid w:val="00C6713E"/>
    <w:rsid w:val="00C7024C"/>
    <w:rsid w:val="00C729F1"/>
    <w:rsid w:val="00C759B2"/>
    <w:rsid w:val="00C81DBE"/>
    <w:rsid w:val="00C821F9"/>
    <w:rsid w:val="00C8234C"/>
    <w:rsid w:val="00C836F2"/>
    <w:rsid w:val="00C92BED"/>
    <w:rsid w:val="00C93A46"/>
    <w:rsid w:val="00C97F88"/>
    <w:rsid w:val="00CA2E6F"/>
    <w:rsid w:val="00CB3D40"/>
    <w:rsid w:val="00CB67D4"/>
    <w:rsid w:val="00CB6F15"/>
    <w:rsid w:val="00CC7E7B"/>
    <w:rsid w:val="00CD0360"/>
    <w:rsid w:val="00CF0E29"/>
    <w:rsid w:val="00CF48AB"/>
    <w:rsid w:val="00D017C0"/>
    <w:rsid w:val="00D03BE3"/>
    <w:rsid w:val="00D054BE"/>
    <w:rsid w:val="00D1227B"/>
    <w:rsid w:val="00D16C24"/>
    <w:rsid w:val="00D20DD3"/>
    <w:rsid w:val="00D23BC4"/>
    <w:rsid w:val="00D33B13"/>
    <w:rsid w:val="00D40E42"/>
    <w:rsid w:val="00D42B06"/>
    <w:rsid w:val="00D43486"/>
    <w:rsid w:val="00D53007"/>
    <w:rsid w:val="00D76F97"/>
    <w:rsid w:val="00D80001"/>
    <w:rsid w:val="00D91C1D"/>
    <w:rsid w:val="00DA051F"/>
    <w:rsid w:val="00DA17A8"/>
    <w:rsid w:val="00DA3C91"/>
    <w:rsid w:val="00DB00B1"/>
    <w:rsid w:val="00DB554E"/>
    <w:rsid w:val="00DB7352"/>
    <w:rsid w:val="00DB7767"/>
    <w:rsid w:val="00DD316E"/>
    <w:rsid w:val="00DE18DE"/>
    <w:rsid w:val="00DE7E6B"/>
    <w:rsid w:val="00E032F0"/>
    <w:rsid w:val="00E26DEA"/>
    <w:rsid w:val="00E3229F"/>
    <w:rsid w:val="00E37815"/>
    <w:rsid w:val="00E61F3B"/>
    <w:rsid w:val="00E65078"/>
    <w:rsid w:val="00E80042"/>
    <w:rsid w:val="00E8131D"/>
    <w:rsid w:val="00E83285"/>
    <w:rsid w:val="00E92EAB"/>
    <w:rsid w:val="00E94006"/>
    <w:rsid w:val="00E946D6"/>
    <w:rsid w:val="00E97C07"/>
    <w:rsid w:val="00EA15A9"/>
    <w:rsid w:val="00EA61B2"/>
    <w:rsid w:val="00EA7CDF"/>
    <w:rsid w:val="00EB7A41"/>
    <w:rsid w:val="00EC1BD8"/>
    <w:rsid w:val="00EC3764"/>
    <w:rsid w:val="00EC7D2C"/>
    <w:rsid w:val="00ED3471"/>
    <w:rsid w:val="00EF3698"/>
    <w:rsid w:val="00EF43FF"/>
    <w:rsid w:val="00EF7FA4"/>
    <w:rsid w:val="00F0212A"/>
    <w:rsid w:val="00F06E31"/>
    <w:rsid w:val="00F10262"/>
    <w:rsid w:val="00F11AF6"/>
    <w:rsid w:val="00F15B33"/>
    <w:rsid w:val="00F27B83"/>
    <w:rsid w:val="00F31251"/>
    <w:rsid w:val="00F3598B"/>
    <w:rsid w:val="00F4032A"/>
    <w:rsid w:val="00F425E9"/>
    <w:rsid w:val="00F501E3"/>
    <w:rsid w:val="00F50FD2"/>
    <w:rsid w:val="00F54AE6"/>
    <w:rsid w:val="00F55A33"/>
    <w:rsid w:val="00F64564"/>
    <w:rsid w:val="00F66BA3"/>
    <w:rsid w:val="00F70B86"/>
    <w:rsid w:val="00F71171"/>
    <w:rsid w:val="00F7193A"/>
    <w:rsid w:val="00F7273A"/>
    <w:rsid w:val="00F730D2"/>
    <w:rsid w:val="00F85D7E"/>
    <w:rsid w:val="00F9280F"/>
    <w:rsid w:val="00F9445E"/>
    <w:rsid w:val="00FA185D"/>
    <w:rsid w:val="00FA49F3"/>
    <w:rsid w:val="00FB7DAE"/>
    <w:rsid w:val="00FC20D6"/>
    <w:rsid w:val="00FC5B6F"/>
    <w:rsid w:val="00FC73F0"/>
    <w:rsid w:val="00FD222C"/>
    <w:rsid w:val="00FD2C2E"/>
    <w:rsid w:val="00FE04F8"/>
    <w:rsid w:val="00FF0315"/>
    <w:rsid w:val="00FF1511"/>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AA8DDC"/>
  <w15:chartTrackingRefBased/>
  <w15:docId w15:val="{48B46798-6300-49A4-BB89-3A6E24623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3C30"/>
    <w:pPr>
      <w:jc w:val="both"/>
    </w:pPr>
  </w:style>
  <w:style w:type="paragraph" w:styleId="Heading1">
    <w:name w:val="heading 1"/>
    <w:basedOn w:val="1stTitleWCCM"/>
    <w:next w:val="Normal"/>
    <w:link w:val="Heading1Char"/>
    <w:qFormat/>
    <w:rsid w:val="00400517"/>
    <w:pPr>
      <w:numPr>
        <w:numId w:val="2"/>
      </w:numPr>
      <w:tabs>
        <w:tab w:val="clear" w:pos="360"/>
        <w:tab w:val="left" w:pos="284"/>
      </w:tabs>
      <w:spacing w:before="0" w:after="0"/>
      <w:outlineLvl w:val="0"/>
    </w:pPr>
    <w:rPr>
      <w:rFonts w:asciiTheme="minorBidi" w:hAnsiTheme="minorBidi" w:cstheme="minorBidi"/>
      <w:szCs w:val="20"/>
    </w:rPr>
  </w:style>
  <w:style w:type="paragraph" w:styleId="Heading2">
    <w:name w:val="heading 2"/>
    <w:basedOn w:val="Normal"/>
    <w:next w:val="Normal"/>
    <w:link w:val="Heading2Char"/>
    <w:unhideWhenUsed/>
    <w:qFormat/>
    <w:rsid w:val="00DB554E"/>
    <w:pPr>
      <w:keepNext/>
      <w:keepLines/>
      <w:numPr>
        <w:ilvl w:val="1"/>
        <w:numId w:val="2"/>
      </w:numPr>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semiHidden/>
    <w:unhideWhenUsed/>
    <w:qFormat/>
    <w:rsid w:val="00DB554E"/>
    <w:pPr>
      <w:keepNext/>
      <w:keepLines/>
      <w:numPr>
        <w:ilvl w:val="2"/>
        <w:numId w:val="2"/>
      </w:numPr>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semiHidden/>
    <w:unhideWhenUsed/>
    <w:qFormat/>
    <w:rsid w:val="00DB554E"/>
    <w:pPr>
      <w:keepNext/>
      <w:keepLines/>
      <w:numPr>
        <w:ilvl w:val="3"/>
        <w:numId w:val="2"/>
      </w:numPr>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semiHidden/>
    <w:unhideWhenUsed/>
    <w:qFormat/>
    <w:rsid w:val="00DB554E"/>
    <w:pPr>
      <w:keepNext/>
      <w:keepLines/>
      <w:numPr>
        <w:ilvl w:val="4"/>
        <w:numId w:val="2"/>
      </w:numPr>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semiHidden/>
    <w:unhideWhenUsed/>
    <w:qFormat/>
    <w:rsid w:val="00DB554E"/>
    <w:pPr>
      <w:keepNext/>
      <w:keepLines/>
      <w:numPr>
        <w:ilvl w:val="5"/>
        <w:numId w:val="2"/>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semiHidden/>
    <w:unhideWhenUsed/>
    <w:qFormat/>
    <w:rsid w:val="00DB554E"/>
    <w:pPr>
      <w:keepNext/>
      <w:keepLines/>
      <w:numPr>
        <w:ilvl w:val="6"/>
        <w:numId w:val="2"/>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semiHidden/>
    <w:unhideWhenUsed/>
    <w:qFormat/>
    <w:rsid w:val="00DB554E"/>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DB554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602B8"/>
    <w:pPr>
      <w:tabs>
        <w:tab w:val="center" w:pos="4320"/>
        <w:tab w:val="right" w:pos="8640"/>
      </w:tabs>
    </w:pPr>
  </w:style>
  <w:style w:type="paragraph" w:styleId="Footer">
    <w:name w:val="footer"/>
    <w:basedOn w:val="Normal"/>
    <w:rsid w:val="009602B8"/>
    <w:pPr>
      <w:tabs>
        <w:tab w:val="center" w:pos="4320"/>
        <w:tab w:val="right" w:pos="8640"/>
      </w:tabs>
    </w:pPr>
  </w:style>
  <w:style w:type="character" w:styleId="PageNumber">
    <w:name w:val="page number"/>
    <w:basedOn w:val="DefaultParagraphFont"/>
    <w:rsid w:val="009602B8"/>
  </w:style>
  <w:style w:type="paragraph" w:customStyle="1" w:styleId="MainTitle">
    <w:name w:val="Main Title"/>
    <w:basedOn w:val="Normal"/>
    <w:rsid w:val="009602B8"/>
    <w:pPr>
      <w:keepNext/>
      <w:keepLines/>
      <w:spacing w:before="720" w:after="240"/>
    </w:pPr>
    <w:rPr>
      <w:b/>
      <w:sz w:val="28"/>
    </w:rPr>
  </w:style>
  <w:style w:type="paragraph" w:customStyle="1" w:styleId="Author">
    <w:name w:val="Author"/>
    <w:basedOn w:val="Normal"/>
    <w:rsid w:val="009602B8"/>
    <w:pPr>
      <w:keepLines/>
    </w:pPr>
  </w:style>
  <w:style w:type="paragraph" w:customStyle="1" w:styleId="Abstract">
    <w:name w:val="Abstract"/>
    <w:basedOn w:val="Normal"/>
    <w:rsid w:val="009602B8"/>
    <w:pPr>
      <w:spacing w:before="480" w:after="480"/>
    </w:pPr>
  </w:style>
  <w:style w:type="paragraph" w:customStyle="1" w:styleId="Subheading">
    <w:name w:val="Subheading"/>
    <w:basedOn w:val="Normal"/>
    <w:rsid w:val="009602B8"/>
    <w:pPr>
      <w:keepNext/>
      <w:keepLines/>
      <w:tabs>
        <w:tab w:val="left" w:pos="360"/>
      </w:tabs>
      <w:spacing w:before="480" w:after="240"/>
      <w:ind w:left="360" w:hanging="360"/>
    </w:pPr>
    <w:rPr>
      <w:b/>
    </w:rPr>
  </w:style>
  <w:style w:type="paragraph" w:customStyle="1" w:styleId="Paragraph">
    <w:name w:val="Paragraph"/>
    <w:basedOn w:val="Normal"/>
    <w:rsid w:val="009602B8"/>
    <w:pPr>
      <w:spacing w:before="240" w:after="240"/>
    </w:pPr>
  </w:style>
  <w:style w:type="paragraph" w:customStyle="1" w:styleId="Bullet">
    <w:name w:val="Bullet"/>
    <w:basedOn w:val="Normal"/>
    <w:rsid w:val="009602B8"/>
    <w:pPr>
      <w:numPr>
        <w:numId w:val="1"/>
      </w:numPr>
      <w:tabs>
        <w:tab w:val="clear" w:pos="1008"/>
        <w:tab w:val="left" w:pos="720"/>
      </w:tabs>
      <w:spacing w:before="240" w:after="240"/>
      <w:ind w:left="720"/>
    </w:pPr>
  </w:style>
  <w:style w:type="paragraph" w:customStyle="1" w:styleId="NumberedList">
    <w:name w:val="Numbered List"/>
    <w:basedOn w:val="Normal"/>
    <w:rsid w:val="009602B8"/>
    <w:pPr>
      <w:spacing w:before="240" w:after="240"/>
      <w:ind w:left="720" w:hanging="360"/>
    </w:pPr>
    <w:rPr>
      <w:lang w:val="en-US"/>
    </w:rPr>
  </w:style>
  <w:style w:type="paragraph" w:customStyle="1" w:styleId="FigureCaption">
    <w:name w:val="Figure Caption"/>
    <w:basedOn w:val="Normal"/>
    <w:rsid w:val="009602B8"/>
    <w:pPr>
      <w:spacing w:after="480"/>
      <w:jc w:val="center"/>
    </w:pPr>
  </w:style>
  <w:style w:type="paragraph" w:customStyle="1" w:styleId="Reference">
    <w:name w:val="Reference"/>
    <w:basedOn w:val="Normal"/>
    <w:rsid w:val="009602B8"/>
    <w:pPr>
      <w:ind w:left="360" w:hanging="360"/>
    </w:pPr>
  </w:style>
  <w:style w:type="paragraph" w:styleId="BalloonText">
    <w:name w:val="Balloon Text"/>
    <w:basedOn w:val="Normal"/>
    <w:link w:val="BalloonTextChar"/>
    <w:rsid w:val="00F64564"/>
    <w:rPr>
      <w:rFonts w:ascii="Tahoma" w:hAnsi="Tahoma" w:cs="Tahoma"/>
      <w:sz w:val="16"/>
      <w:szCs w:val="16"/>
    </w:rPr>
  </w:style>
  <w:style w:type="character" w:customStyle="1" w:styleId="BalloonTextChar">
    <w:name w:val="Balloon Text Char"/>
    <w:basedOn w:val="DefaultParagraphFont"/>
    <w:link w:val="BalloonText"/>
    <w:rsid w:val="00F64564"/>
    <w:rPr>
      <w:rFonts w:ascii="Tahoma" w:hAnsi="Tahoma" w:cs="Tahoma"/>
      <w:sz w:val="16"/>
      <w:szCs w:val="16"/>
      <w:lang w:eastAsia="en-US"/>
    </w:rPr>
  </w:style>
  <w:style w:type="character" w:customStyle="1" w:styleId="HeaderChar">
    <w:name w:val="Header Char"/>
    <w:link w:val="Header"/>
    <w:rsid w:val="00327FBF"/>
    <w:rPr>
      <w:rFonts w:ascii="Arial" w:hAnsi="Arial"/>
      <w:szCs w:val="24"/>
      <w:lang w:eastAsia="en-US"/>
    </w:rPr>
  </w:style>
  <w:style w:type="paragraph" w:styleId="Title">
    <w:name w:val="Title"/>
    <w:basedOn w:val="Normal"/>
    <w:next w:val="Normal"/>
    <w:link w:val="TitleChar"/>
    <w:qFormat/>
    <w:rsid w:val="003B3C3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B3C30"/>
    <w:rPr>
      <w:rFonts w:asciiTheme="majorHAnsi" w:eastAsiaTheme="majorEastAsia" w:hAnsiTheme="majorHAnsi" w:cstheme="majorBidi"/>
      <w:spacing w:val="-10"/>
      <w:kern w:val="28"/>
      <w:sz w:val="56"/>
      <w:szCs w:val="56"/>
      <w:lang w:eastAsia="en-US"/>
    </w:rPr>
  </w:style>
  <w:style w:type="character" w:styleId="Strong">
    <w:name w:val="Strong"/>
    <w:basedOn w:val="DefaultParagraphFont"/>
    <w:qFormat/>
    <w:rsid w:val="00D054BE"/>
    <w:rPr>
      <w:b/>
      <w:bCs/>
    </w:rPr>
  </w:style>
  <w:style w:type="paragraph" w:customStyle="1" w:styleId="1stTitleWCCM">
    <w:name w:val="1st Title WCCM"/>
    <w:basedOn w:val="Normal"/>
    <w:rsid w:val="003F7E23"/>
    <w:pPr>
      <w:keepNext/>
      <w:keepLines/>
      <w:widowControl w:val="0"/>
      <w:tabs>
        <w:tab w:val="left" w:pos="360"/>
      </w:tabs>
      <w:autoSpaceDE w:val="0"/>
      <w:autoSpaceDN w:val="0"/>
      <w:spacing w:before="240" w:after="120"/>
      <w:jc w:val="left"/>
    </w:pPr>
    <w:rPr>
      <w:rFonts w:ascii="Times New Roman" w:hAnsi="Times New Roman"/>
      <w:b/>
      <w:bCs/>
      <w:caps/>
      <w:szCs w:val="24"/>
      <w:lang w:val="en-US" w:eastAsia="es-ES"/>
    </w:rPr>
  </w:style>
  <w:style w:type="character" w:customStyle="1" w:styleId="Heading1Char">
    <w:name w:val="Heading 1 Char"/>
    <w:basedOn w:val="DefaultParagraphFont"/>
    <w:link w:val="Heading1"/>
    <w:rsid w:val="00400517"/>
    <w:rPr>
      <w:rFonts w:asciiTheme="minorBidi" w:hAnsiTheme="minorBidi" w:cstheme="minorBidi"/>
      <w:b/>
      <w:bCs/>
      <w:caps/>
      <w:lang w:val="en-US" w:eastAsia="es-ES"/>
    </w:rPr>
  </w:style>
  <w:style w:type="character" w:customStyle="1" w:styleId="Heading2Char">
    <w:name w:val="Heading 2 Char"/>
    <w:basedOn w:val="DefaultParagraphFont"/>
    <w:link w:val="Heading2"/>
    <w:rsid w:val="00DB554E"/>
    <w:rPr>
      <w:rFonts w:asciiTheme="majorHAnsi" w:eastAsiaTheme="majorEastAsia" w:hAnsiTheme="majorHAnsi" w:cstheme="majorBidi"/>
      <w:color w:val="0F4761" w:themeColor="accent1" w:themeShade="BF"/>
      <w:sz w:val="26"/>
      <w:szCs w:val="26"/>
      <w:lang w:eastAsia="en-US"/>
    </w:rPr>
  </w:style>
  <w:style w:type="character" w:customStyle="1" w:styleId="Heading3Char">
    <w:name w:val="Heading 3 Char"/>
    <w:basedOn w:val="DefaultParagraphFont"/>
    <w:link w:val="Heading3"/>
    <w:semiHidden/>
    <w:rsid w:val="00DB554E"/>
    <w:rPr>
      <w:rFonts w:asciiTheme="majorHAnsi" w:eastAsiaTheme="majorEastAsia" w:hAnsiTheme="majorHAnsi" w:cstheme="majorBidi"/>
      <w:color w:val="0A2F40" w:themeColor="accent1" w:themeShade="7F"/>
      <w:sz w:val="24"/>
      <w:szCs w:val="24"/>
      <w:lang w:eastAsia="en-US"/>
    </w:rPr>
  </w:style>
  <w:style w:type="character" w:customStyle="1" w:styleId="Heading4Char">
    <w:name w:val="Heading 4 Char"/>
    <w:basedOn w:val="DefaultParagraphFont"/>
    <w:link w:val="Heading4"/>
    <w:semiHidden/>
    <w:rsid w:val="00DB554E"/>
    <w:rPr>
      <w:rFonts w:asciiTheme="majorHAnsi" w:eastAsiaTheme="majorEastAsia" w:hAnsiTheme="majorHAnsi" w:cstheme="majorBidi"/>
      <w:i/>
      <w:iCs/>
      <w:color w:val="0F4761" w:themeColor="accent1" w:themeShade="BF"/>
      <w:lang w:eastAsia="en-US"/>
    </w:rPr>
  </w:style>
  <w:style w:type="character" w:customStyle="1" w:styleId="Heading5Char">
    <w:name w:val="Heading 5 Char"/>
    <w:basedOn w:val="DefaultParagraphFont"/>
    <w:link w:val="Heading5"/>
    <w:semiHidden/>
    <w:rsid w:val="00DB554E"/>
    <w:rPr>
      <w:rFonts w:asciiTheme="majorHAnsi" w:eastAsiaTheme="majorEastAsia" w:hAnsiTheme="majorHAnsi" w:cstheme="majorBidi"/>
      <w:color w:val="0F4761" w:themeColor="accent1" w:themeShade="BF"/>
      <w:lang w:eastAsia="en-US"/>
    </w:rPr>
  </w:style>
  <w:style w:type="character" w:customStyle="1" w:styleId="Heading6Char">
    <w:name w:val="Heading 6 Char"/>
    <w:basedOn w:val="DefaultParagraphFont"/>
    <w:link w:val="Heading6"/>
    <w:semiHidden/>
    <w:rsid w:val="00DB554E"/>
    <w:rPr>
      <w:rFonts w:asciiTheme="majorHAnsi" w:eastAsiaTheme="majorEastAsia" w:hAnsiTheme="majorHAnsi" w:cstheme="majorBidi"/>
      <w:color w:val="0A2F40" w:themeColor="accent1" w:themeShade="7F"/>
      <w:lang w:eastAsia="en-US"/>
    </w:rPr>
  </w:style>
  <w:style w:type="character" w:customStyle="1" w:styleId="Heading7Char">
    <w:name w:val="Heading 7 Char"/>
    <w:basedOn w:val="DefaultParagraphFont"/>
    <w:link w:val="Heading7"/>
    <w:semiHidden/>
    <w:rsid w:val="00DB554E"/>
    <w:rPr>
      <w:rFonts w:asciiTheme="majorHAnsi" w:eastAsiaTheme="majorEastAsia" w:hAnsiTheme="majorHAnsi" w:cstheme="majorBidi"/>
      <w:i/>
      <w:iCs/>
      <w:color w:val="0A2F40" w:themeColor="accent1" w:themeShade="7F"/>
      <w:lang w:eastAsia="en-US"/>
    </w:rPr>
  </w:style>
  <w:style w:type="character" w:customStyle="1" w:styleId="Heading8Char">
    <w:name w:val="Heading 8 Char"/>
    <w:basedOn w:val="DefaultParagraphFont"/>
    <w:link w:val="Heading8"/>
    <w:semiHidden/>
    <w:rsid w:val="00DB554E"/>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DB554E"/>
    <w:rPr>
      <w:rFonts w:asciiTheme="majorHAnsi" w:eastAsiaTheme="majorEastAsia" w:hAnsiTheme="majorHAnsi" w:cstheme="majorBidi"/>
      <w:i/>
      <w:iCs/>
      <w:color w:val="272727" w:themeColor="text1" w:themeTint="D8"/>
      <w:sz w:val="21"/>
      <w:szCs w:val="21"/>
      <w:lang w:eastAsia="en-US"/>
    </w:rPr>
  </w:style>
  <w:style w:type="paragraph" w:styleId="ListParagraph">
    <w:name w:val="List Paragraph"/>
    <w:basedOn w:val="Normal"/>
    <w:uiPriority w:val="34"/>
    <w:qFormat/>
    <w:rsid w:val="00993F5B"/>
    <w:pPr>
      <w:numPr>
        <w:numId w:val="18"/>
      </w:numPr>
    </w:pPr>
    <w:rPr>
      <w:rFonts w:asciiTheme="minorBidi" w:eastAsia="Calibri" w:hAnsiTheme="minorBidi" w:cstheme="minorBidi"/>
    </w:rPr>
  </w:style>
  <w:style w:type="paragraph" w:styleId="BodyText">
    <w:name w:val="Body Text"/>
    <w:basedOn w:val="Normal"/>
    <w:link w:val="BodyTextChar"/>
    <w:rsid w:val="00FC20D6"/>
    <w:rPr>
      <w:rFonts w:ascii="Times New Roman" w:hAnsi="Times New Roman" w:cs="Times New Roman"/>
      <w:sz w:val="24"/>
      <w:szCs w:val="24"/>
      <w:lang w:val="en-GB" w:eastAsia="en-US"/>
    </w:rPr>
  </w:style>
  <w:style w:type="character" w:customStyle="1" w:styleId="BodyTextChar">
    <w:name w:val="Body Text Char"/>
    <w:basedOn w:val="DefaultParagraphFont"/>
    <w:link w:val="BodyText"/>
    <w:rsid w:val="00FC20D6"/>
    <w:rPr>
      <w:rFonts w:ascii="Times New Roman" w:hAnsi="Times New Roman" w:cs="Times New Roman"/>
      <w:sz w:val="24"/>
      <w:szCs w:val="24"/>
      <w:lang w:val="en-GB" w:eastAsia="en-US"/>
    </w:rPr>
  </w:style>
  <w:style w:type="paragraph" w:customStyle="1" w:styleId="NormalWCCM">
    <w:name w:val="Normal WCCM"/>
    <w:rsid w:val="005429A2"/>
    <w:pPr>
      <w:widowControl w:val="0"/>
      <w:autoSpaceDE w:val="0"/>
      <w:autoSpaceDN w:val="0"/>
      <w:ind w:firstLine="284"/>
      <w:jc w:val="both"/>
    </w:pPr>
    <w:rPr>
      <w:rFonts w:ascii="Times New Roman" w:hAnsi="Times New Roman" w:cs="Times New Roman"/>
      <w:szCs w:val="24"/>
      <w:lang w:val="en-US" w:eastAsia="es-ES"/>
    </w:rPr>
  </w:style>
  <w:style w:type="character" w:styleId="Hyperlink">
    <w:name w:val="Hyperlink"/>
    <w:rsid w:val="00AC1943"/>
    <w:rPr>
      <w:color w:val="0000FF"/>
      <w:u w:val="single"/>
    </w:rPr>
  </w:style>
  <w:style w:type="character" w:customStyle="1" w:styleId="UnresolvedMention1">
    <w:name w:val="Unresolved Mention1"/>
    <w:basedOn w:val="DefaultParagraphFont"/>
    <w:uiPriority w:val="99"/>
    <w:semiHidden/>
    <w:unhideWhenUsed/>
    <w:rsid w:val="00D23BC4"/>
    <w:rPr>
      <w:color w:val="605E5C"/>
      <w:shd w:val="clear" w:color="auto" w:fill="E1DFDD"/>
    </w:rPr>
  </w:style>
  <w:style w:type="paragraph" w:customStyle="1" w:styleId="RefTitleWCCM">
    <w:name w:val="Ref Title WCCM"/>
    <w:basedOn w:val="1stTitleWCCM"/>
    <w:rsid w:val="0080555A"/>
    <w:pPr>
      <w:tabs>
        <w:tab w:val="clear" w:pos="360"/>
      </w:tabs>
    </w:pPr>
    <w:rPr>
      <w:rFonts w:cs="Times New Roman"/>
    </w:rPr>
  </w:style>
  <w:style w:type="character" w:styleId="FollowedHyperlink">
    <w:name w:val="FollowedHyperlink"/>
    <w:basedOn w:val="DefaultParagraphFont"/>
    <w:rsid w:val="00FA49F3"/>
    <w:rPr>
      <w:color w:val="96607D" w:themeColor="followedHyperlink"/>
      <w:u w:val="single"/>
    </w:rPr>
  </w:style>
  <w:style w:type="paragraph" w:styleId="NormalWeb">
    <w:name w:val="Normal (Web)"/>
    <w:basedOn w:val="Normal"/>
    <w:rsid w:val="00D40E42"/>
    <w:rPr>
      <w:rFonts w:ascii="Times New Roman" w:hAnsi="Times New Roman" w:cs="Times New Roman"/>
      <w:sz w:val="24"/>
      <w:szCs w:val="24"/>
    </w:rPr>
  </w:style>
  <w:style w:type="paragraph" w:styleId="HTMLPreformatted">
    <w:name w:val="HTML Preformatted"/>
    <w:basedOn w:val="Normal"/>
    <w:link w:val="HTMLPreformattedChar"/>
    <w:rsid w:val="00D017C0"/>
    <w:rPr>
      <w:rFonts w:ascii="Consolas" w:hAnsi="Consolas"/>
    </w:rPr>
  </w:style>
  <w:style w:type="character" w:customStyle="1" w:styleId="HTMLPreformattedChar">
    <w:name w:val="HTML Preformatted Char"/>
    <w:basedOn w:val="DefaultParagraphFont"/>
    <w:link w:val="HTMLPreformatted"/>
    <w:rsid w:val="00D017C0"/>
    <w:rPr>
      <w:rFonts w:ascii="Consolas" w:hAnsi="Consolas"/>
    </w:rPr>
  </w:style>
  <w:style w:type="character" w:styleId="CommentReference">
    <w:name w:val="annotation reference"/>
    <w:basedOn w:val="DefaultParagraphFont"/>
    <w:rsid w:val="00060860"/>
    <w:rPr>
      <w:sz w:val="16"/>
      <w:szCs w:val="16"/>
    </w:rPr>
  </w:style>
  <w:style w:type="paragraph" w:styleId="CommentText">
    <w:name w:val="annotation text"/>
    <w:basedOn w:val="Normal"/>
    <w:link w:val="CommentTextChar"/>
    <w:rsid w:val="00060860"/>
  </w:style>
  <w:style w:type="character" w:customStyle="1" w:styleId="CommentTextChar">
    <w:name w:val="Comment Text Char"/>
    <w:basedOn w:val="DefaultParagraphFont"/>
    <w:link w:val="CommentText"/>
    <w:rsid w:val="00060860"/>
  </w:style>
  <w:style w:type="paragraph" w:styleId="CommentSubject">
    <w:name w:val="annotation subject"/>
    <w:basedOn w:val="CommentText"/>
    <w:next w:val="CommentText"/>
    <w:link w:val="CommentSubjectChar"/>
    <w:rsid w:val="00060860"/>
    <w:rPr>
      <w:b/>
      <w:bCs/>
    </w:rPr>
  </w:style>
  <w:style w:type="character" w:customStyle="1" w:styleId="CommentSubjectChar">
    <w:name w:val="Comment Subject Char"/>
    <w:basedOn w:val="CommentTextChar"/>
    <w:link w:val="CommentSubject"/>
    <w:rsid w:val="00060860"/>
    <w:rPr>
      <w:b/>
      <w:bCs/>
    </w:rPr>
  </w:style>
  <w:style w:type="paragraph" w:customStyle="1" w:styleId="gmail-msobodytext">
    <w:name w:val="gmail-msobodytext"/>
    <w:basedOn w:val="Normal"/>
    <w:rsid w:val="00D91C1D"/>
    <w:pPr>
      <w:spacing w:before="100" w:beforeAutospacing="1" w:after="100" w:afterAutospacing="1"/>
      <w:jc w:val="left"/>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7176">
      <w:bodyDiv w:val="1"/>
      <w:marLeft w:val="0"/>
      <w:marRight w:val="0"/>
      <w:marTop w:val="0"/>
      <w:marBottom w:val="0"/>
      <w:divBdr>
        <w:top w:val="none" w:sz="0" w:space="0" w:color="auto"/>
        <w:left w:val="none" w:sz="0" w:space="0" w:color="auto"/>
        <w:bottom w:val="none" w:sz="0" w:space="0" w:color="auto"/>
        <w:right w:val="none" w:sz="0" w:space="0" w:color="auto"/>
      </w:divBdr>
    </w:div>
    <w:div w:id="93601718">
      <w:bodyDiv w:val="1"/>
      <w:marLeft w:val="0"/>
      <w:marRight w:val="0"/>
      <w:marTop w:val="0"/>
      <w:marBottom w:val="0"/>
      <w:divBdr>
        <w:top w:val="none" w:sz="0" w:space="0" w:color="auto"/>
        <w:left w:val="none" w:sz="0" w:space="0" w:color="auto"/>
        <w:bottom w:val="none" w:sz="0" w:space="0" w:color="auto"/>
        <w:right w:val="none" w:sz="0" w:space="0" w:color="auto"/>
      </w:divBdr>
    </w:div>
    <w:div w:id="127357484">
      <w:bodyDiv w:val="1"/>
      <w:marLeft w:val="0"/>
      <w:marRight w:val="0"/>
      <w:marTop w:val="0"/>
      <w:marBottom w:val="0"/>
      <w:divBdr>
        <w:top w:val="none" w:sz="0" w:space="0" w:color="auto"/>
        <w:left w:val="none" w:sz="0" w:space="0" w:color="auto"/>
        <w:bottom w:val="none" w:sz="0" w:space="0" w:color="auto"/>
        <w:right w:val="none" w:sz="0" w:space="0" w:color="auto"/>
      </w:divBdr>
    </w:div>
    <w:div w:id="142086482">
      <w:bodyDiv w:val="1"/>
      <w:marLeft w:val="0"/>
      <w:marRight w:val="0"/>
      <w:marTop w:val="0"/>
      <w:marBottom w:val="0"/>
      <w:divBdr>
        <w:top w:val="none" w:sz="0" w:space="0" w:color="auto"/>
        <w:left w:val="none" w:sz="0" w:space="0" w:color="auto"/>
        <w:bottom w:val="none" w:sz="0" w:space="0" w:color="auto"/>
        <w:right w:val="none" w:sz="0" w:space="0" w:color="auto"/>
      </w:divBdr>
    </w:div>
    <w:div w:id="190538681">
      <w:bodyDiv w:val="1"/>
      <w:marLeft w:val="0"/>
      <w:marRight w:val="0"/>
      <w:marTop w:val="0"/>
      <w:marBottom w:val="0"/>
      <w:divBdr>
        <w:top w:val="none" w:sz="0" w:space="0" w:color="auto"/>
        <w:left w:val="none" w:sz="0" w:space="0" w:color="auto"/>
        <w:bottom w:val="none" w:sz="0" w:space="0" w:color="auto"/>
        <w:right w:val="none" w:sz="0" w:space="0" w:color="auto"/>
      </w:divBdr>
    </w:div>
    <w:div w:id="196163937">
      <w:bodyDiv w:val="1"/>
      <w:marLeft w:val="0"/>
      <w:marRight w:val="0"/>
      <w:marTop w:val="0"/>
      <w:marBottom w:val="0"/>
      <w:divBdr>
        <w:top w:val="none" w:sz="0" w:space="0" w:color="auto"/>
        <w:left w:val="none" w:sz="0" w:space="0" w:color="auto"/>
        <w:bottom w:val="none" w:sz="0" w:space="0" w:color="auto"/>
        <w:right w:val="none" w:sz="0" w:space="0" w:color="auto"/>
      </w:divBdr>
    </w:div>
    <w:div w:id="223686017">
      <w:bodyDiv w:val="1"/>
      <w:marLeft w:val="0"/>
      <w:marRight w:val="0"/>
      <w:marTop w:val="0"/>
      <w:marBottom w:val="0"/>
      <w:divBdr>
        <w:top w:val="none" w:sz="0" w:space="0" w:color="auto"/>
        <w:left w:val="none" w:sz="0" w:space="0" w:color="auto"/>
        <w:bottom w:val="none" w:sz="0" w:space="0" w:color="auto"/>
        <w:right w:val="none" w:sz="0" w:space="0" w:color="auto"/>
      </w:divBdr>
    </w:div>
    <w:div w:id="296378378">
      <w:bodyDiv w:val="1"/>
      <w:marLeft w:val="0"/>
      <w:marRight w:val="0"/>
      <w:marTop w:val="0"/>
      <w:marBottom w:val="0"/>
      <w:divBdr>
        <w:top w:val="none" w:sz="0" w:space="0" w:color="auto"/>
        <w:left w:val="none" w:sz="0" w:space="0" w:color="auto"/>
        <w:bottom w:val="none" w:sz="0" w:space="0" w:color="auto"/>
        <w:right w:val="none" w:sz="0" w:space="0" w:color="auto"/>
      </w:divBdr>
    </w:div>
    <w:div w:id="316349861">
      <w:bodyDiv w:val="1"/>
      <w:marLeft w:val="0"/>
      <w:marRight w:val="0"/>
      <w:marTop w:val="0"/>
      <w:marBottom w:val="0"/>
      <w:divBdr>
        <w:top w:val="none" w:sz="0" w:space="0" w:color="auto"/>
        <w:left w:val="none" w:sz="0" w:space="0" w:color="auto"/>
        <w:bottom w:val="none" w:sz="0" w:space="0" w:color="auto"/>
        <w:right w:val="none" w:sz="0" w:space="0" w:color="auto"/>
      </w:divBdr>
      <w:divsChild>
        <w:div w:id="26370989">
          <w:marLeft w:val="0"/>
          <w:marRight w:val="0"/>
          <w:marTop w:val="0"/>
          <w:marBottom w:val="0"/>
          <w:divBdr>
            <w:top w:val="none" w:sz="0" w:space="0" w:color="auto"/>
            <w:left w:val="none" w:sz="0" w:space="0" w:color="auto"/>
            <w:bottom w:val="none" w:sz="0" w:space="0" w:color="auto"/>
            <w:right w:val="none" w:sz="0" w:space="0" w:color="auto"/>
          </w:divBdr>
          <w:divsChild>
            <w:div w:id="1525316283">
              <w:marLeft w:val="0"/>
              <w:marRight w:val="0"/>
              <w:marTop w:val="0"/>
              <w:marBottom w:val="0"/>
              <w:divBdr>
                <w:top w:val="none" w:sz="0" w:space="0" w:color="auto"/>
                <w:left w:val="none" w:sz="0" w:space="0" w:color="auto"/>
                <w:bottom w:val="none" w:sz="0" w:space="0" w:color="auto"/>
                <w:right w:val="none" w:sz="0" w:space="0" w:color="auto"/>
              </w:divBdr>
              <w:divsChild>
                <w:div w:id="1996106921">
                  <w:marLeft w:val="0"/>
                  <w:marRight w:val="0"/>
                  <w:marTop w:val="0"/>
                  <w:marBottom w:val="0"/>
                  <w:divBdr>
                    <w:top w:val="none" w:sz="0" w:space="0" w:color="auto"/>
                    <w:left w:val="none" w:sz="0" w:space="0" w:color="auto"/>
                    <w:bottom w:val="none" w:sz="0" w:space="0" w:color="auto"/>
                    <w:right w:val="none" w:sz="0" w:space="0" w:color="auto"/>
                  </w:divBdr>
                  <w:divsChild>
                    <w:div w:id="146684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371968">
      <w:bodyDiv w:val="1"/>
      <w:marLeft w:val="0"/>
      <w:marRight w:val="0"/>
      <w:marTop w:val="0"/>
      <w:marBottom w:val="0"/>
      <w:divBdr>
        <w:top w:val="none" w:sz="0" w:space="0" w:color="auto"/>
        <w:left w:val="none" w:sz="0" w:space="0" w:color="auto"/>
        <w:bottom w:val="none" w:sz="0" w:space="0" w:color="auto"/>
        <w:right w:val="none" w:sz="0" w:space="0" w:color="auto"/>
      </w:divBdr>
    </w:div>
    <w:div w:id="339819701">
      <w:bodyDiv w:val="1"/>
      <w:marLeft w:val="0"/>
      <w:marRight w:val="0"/>
      <w:marTop w:val="0"/>
      <w:marBottom w:val="0"/>
      <w:divBdr>
        <w:top w:val="none" w:sz="0" w:space="0" w:color="auto"/>
        <w:left w:val="none" w:sz="0" w:space="0" w:color="auto"/>
        <w:bottom w:val="none" w:sz="0" w:space="0" w:color="auto"/>
        <w:right w:val="none" w:sz="0" w:space="0" w:color="auto"/>
      </w:divBdr>
    </w:div>
    <w:div w:id="344357982">
      <w:bodyDiv w:val="1"/>
      <w:marLeft w:val="0"/>
      <w:marRight w:val="0"/>
      <w:marTop w:val="0"/>
      <w:marBottom w:val="0"/>
      <w:divBdr>
        <w:top w:val="none" w:sz="0" w:space="0" w:color="auto"/>
        <w:left w:val="none" w:sz="0" w:space="0" w:color="auto"/>
        <w:bottom w:val="none" w:sz="0" w:space="0" w:color="auto"/>
        <w:right w:val="none" w:sz="0" w:space="0" w:color="auto"/>
      </w:divBdr>
    </w:div>
    <w:div w:id="378821671">
      <w:bodyDiv w:val="1"/>
      <w:marLeft w:val="0"/>
      <w:marRight w:val="0"/>
      <w:marTop w:val="0"/>
      <w:marBottom w:val="0"/>
      <w:divBdr>
        <w:top w:val="none" w:sz="0" w:space="0" w:color="auto"/>
        <w:left w:val="none" w:sz="0" w:space="0" w:color="auto"/>
        <w:bottom w:val="none" w:sz="0" w:space="0" w:color="auto"/>
        <w:right w:val="none" w:sz="0" w:space="0" w:color="auto"/>
      </w:divBdr>
      <w:divsChild>
        <w:div w:id="47846856">
          <w:marLeft w:val="0"/>
          <w:marRight w:val="0"/>
          <w:marTop w:val="0"/>
          <w:marBottom w:val="0"/>
          <w:divBdr>
            <w:top w:val="none" w:sz="0" w:space="0" w:color="auto"/>
            <w:left w:val="none" w:sz="0" w:space="0" w:color="auto"/>
            <w:bottom w:val="none" w:sz="0" w:space="0" w:color="auto"/>
            <w:right w:val="none" w:sz="0" w:space="0" w:color="auto"/>
          </w:divBdr>
          <w:divsChild>
            <w:div w:id="1408335204">
              <w:marLeft w:val="0"/>
              <w:marRight w:val="0"/>
              <w:marTop w:val="0"/>
              <w:marBottom w:val="0"/>
              <w:divBdr>
                <w:top w:val="none" w:sz="0" w:space="0" w:color="auto"/>
                <w:left w:val="none" w:sz="0" w:space="0" w:color="auto"/>
                <w:bottom w:val="none" w:sz="0" w:space="0" w:color="auto"/>
                <w:right w:val="none" w:sz="0" w:space="0" w:color="auto"/>
              </w:divBdr>
              <w:divsChild>
                <w:div w:id="838303518">
                  <w:marLeft w:val="0"/>
                  <w:marRight w:val="0"/>
                  <w:marTop w:val="0"/>
                  <w:marBottom w:val="0"/>
                  <w:divBdr>
                    <w:top w:val="none" w:sz="0" w:space="0" w:color="auto"/>
                    <w:left w:val="none" w:sz="0" w:space="0" w:color="auto"/>
                    <w:bottom w:val="none" w:sz="0" w:space="0" w:color="auto"/>
                    <w:right w:val="none" w:sz="0" w:space="0" w:color="auto"/>
                  </w:divBdr>
                  <w:divsChild>
                    <w:div w:id="144044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522446">
      <w:bodyDiv w:val="1"/>
      <w:marLeft w:val="0"/>
      <w:marRight w:val="0"/>
      <w:marTop w:val="0"/>
      <w:marBottom w:val="0"/>
      <w:divBdr>
        <w:top w:val="none" w:sz="0" w:space="0" w:color="auto"/>
        <w:left w:val="none" w:sz="0" w:space="0" w:color="auto"/>
        <w:bottom w:val="none" w:sz="0" w:space="0" w:color="auto"/>
        <w:right w:val="none" w:sz="0" w:space="0" w:color="auto"/>
      </w:divBdr>
    </w:div>
    <w:div w:id="383412218">
      <w:bodyDiv w:val="1"/>
      <w:marLeft w:val="0"/>
      <w:marRight w:val="0"/>
      <w:marTop w:val="0"/>
      <w:marBottom w:val="0"/>
      <w:divBdr>
        <w:top w:val="none" w:sz="0" w:space="0" w:color="auto"/>
        <w:left w:val="none" w:sz="0" w:space="0" w:color="auto"/>
        <w:bottom w:val="none" w:sz="0" w:space="0" w:color="auto"/>
        <w:right w:val="none" w:sz="0" w:space="0" w:color="auto"/>
      </w:divBdr>
    </w:div>
    <w:div w:id="402333978">
      <w:bodyDiv w:val="1"/>
      <w:marLeft w:val="0"/>
      <w:marRight w:val="0"/>
      <w:marTop w:val="0"/>
      <w:marBottom w:val="0"/>
      <w:divBdr>
        <w:top w:val="none" w:sz="0" w:space="0" w:color="auto"/>
        <w:left w:val="none" w:sz="0" w:space="0" w:color="auto"/>
        <w:bottom w:val="none" w:sz="0" w:space="0" w:color="auto"/>
        <w:right w:val="none" w:sz="0" w:space="0" w:color="auto"/>
      </w:divBdr>
      <w:divsChild>
        <w:div w:id="493761333">
          <w:marLeft w:val="0"/>
          <w:marRight w:val="0"/>
          <w:marTop w:val="0"/>
          <w:marBottom w:val="0"/>
          <w:divBdr>
            <w:top w:val="none" w:sz="0" w:space="0" w:color="auto"/>
            <w:left w:val="none" w:sz="0" w:space="0" w:color="auto"/>
            <w:bottom w:val="none" w:sz="0" w:space="0" w:color="auto"/>
            <w:right w:val="none" w:sz="0" w:space="0" w:color="auto"/>
          </w:divBdr>
        </w:div>
      </w:divsChild>
    </w:div>
    <w:div w:id="409083832">
      <w:bodyDiv w:val="1"/>
      <w:marLeft w:val="0"/>
      <w:marRight w:val="0"/>
      <w:marTop w:val="0"/>
      <w:marBottom w:val="0"/>
      <w:divBdr>
        <w:top w:val="none" w:sz="0" w:space="0" w:color="auto"/>
        <w:left w:val="none" w:sz="0" w:space="0" w:color="auto"/>
        <w:bottom w:val="none" w:sz="0" w:space="0" w:color="auto"/>
        <w:right w:val="none" w:sz="0" w:space="0" w:color="auto"/>
      </w:divBdr>
    </w:div>
    <w:div w:id="422923584">
      <w:bodyDiv w:val="1"/>
      <w:marLeft w:val="0"/>
      <w:marRight w:val="0"/>
      <w:marTop w:val="0"/>
      <w:marBottom w:val="0"/>
      <w:divBdr>
        <w:top w:val="none" w:sz="0" w:space="0" w:color="auto"/>
        <w:left w:val="none" w:sz="0" w:space="0" w:color="auto"/>
        <w:bottom w:val="none" w:sz="0" w:space="0" w:color="auto"/>
        <w:right w:val="none" w:sz="0" w:space="0" w:color="auto"/>
      </w:divBdr>
    </w:div>
    <w:div w:id="427195379">
      <w:bodyDiv w:val="1"/>
      <w:marLeft w:val="0"/>
      <w:marRight w:val="0"/>
      <w:marTop w:val="0"/>
      <w:marBottom w:val="0"/>
      <w:divBdr>
        <w:top w:val="none" w:sz="0" w:space="0" w:color="auto"/>
        <w:left w:val="none" w:sz="0" w:space="0" w:color="auto"/>
        <w:bottom w:val="none" w:sz="0" w:space="0" w:color="auto"/>
        <w:right w:val="none" w:sz="0" w:space="0" w:color="auto"/>
      </w:divBdr>
    </w:div>
    <w:div w:id="447237235">
      <w:bodyDiv w:val="1"/>
      <w:marLeft w:val="0"/>
      <w:marRight w:val="0"/>
      <w:marTop w:val="0"/>
      <w:marBottom w:val="0"/>
      <w:divBdr>
        <w:top w:val="none" w:sz="0" w:space="0" w:color="auto"/>
        <w:left w:val="none" w:sz="0" w:space="0" w:color="auto"/>
        <w:bottom w:val="none" w:sz="0" w:space="0" w:color="auto"/>
        <w:right w:val="none" w:sz="0" w:space="0" w:color="auto"/>
      </w:divBdr>
      <w:divsChild>
        <w:div w:id="1370909808">
          <w:marLeft w:val="0"/>
          <w:marRight w:val="0"/>
          <w:marTop w:val="0"/>
          <w:marBottom w:val="0"/>
          <w:divBdr>
            <w:top w:val="none" w:sz="0" w:space="0" w:color="auto"/>
            <w:left w:val="none" w:sz="0" w:space="0" w:color="auto"/>
            <w:bottom w:val="none" w:sz="0" w:space="0" w:color="auto"/>
            <w:right w:val="none" w:sz="0" w:space="0" w:color="auto"/>
          </w:divBdr>
        </w:div>
      </w:divsChild>
    </w:div>
    <w:div w:id="465054111">
      <w:bodyDiv w:val="1"/>
      <w:marLeft w:val="0"/>
      <w:marRight w:val="0"/>
      <w:marTop w:val="0"/>
      <w:marBottom w:val="0"/>
      <w:divBdr>
        <w:top w:val="none" w:sz="0" w:space="0" w:color="auto"/>
        <w:left w:val="none" w:sz="0" w:space="0" w:color="auto"/>
        <w:bottom w:val="none" w:sz="0" w:space="0" w:color="auto"/>
        <w:right w:val="none" w:sz="0" w:space="0" w:color="auto"/>
      </w:divBdr>
    </w:div>
    <w:div w:id="500512746">
      <w:bodyDiv w:val="1"/>
      <w:marLeft w:val="0"/>
      <w:marRight w:val="0"/>
      <w:marTop w:val="0"/>
      <w:marBottom w:val="0"/>
      <w:divBdr>
        <w:top w:val="none" w:sz="0" w:space="0" w:color="auto"/>
        <w:left w:val="none" w:sz="0" w:space="0" w:color="auto"/>
        <w:bottom w:val="none" w:sz="0" w:space="0" w:color="auto"/>
        <w:right w:val="none" w:sz="0" w:space="0" w:color="auto"/>
      </w:divBdr>
    </w:div>
    <w:div w:id="546334134">
      <w:bodyDiv w:val="1"/>
      <w:marLeft w:val="0"/>
      <w:marRight w:val="0"/>
      <w:marTop w:val="0"/>
      <w:marBottom w:val="0"/>
      <w:divBdr>
        <w:top w:val="none" w:sz="0" w:space="0" w:color="auto"/>
        <w:left w:val="none" w:sz="0" w:space="0" w:color="auto"/>
        <w:bottom w:val="none" w:sz="0" w:space="0" w:color="auto"/>
        <w:right w:val="none" w:sz="0" w:space="0" w:color="auto"/>
      </w:divBdr>
    </w:div>
    <w:div w:id="588345600">
      <w:bodyDiv w:val="1"/>
      <w:marLeft w:val="0"/>
      <w:marRight w:val="0"/>
      <w:marTop w:val="0"/>
      <w:marBottom w:val="0"/>
      <w:divBdr>
        <w:top w:val="none" w:sz="0" w:space="0" w:color="auto"/>
        <w:left w:val="none" w:sz="0" w:space="0" w:color="auto"/>
        <w:bottom w:val="none" w:sz="0" w:space="0" w:color="auto"/>
        <w:right w:val="none" w:sz="0" w:space="0" w:color="auto"/>
      </w:divBdr>
    </w:div>
    <w:div w:id="602032462">
      <w:bodyDiv w:val="1"/>
      <w:marLeft w:val="0"/>
      <w:marRight w:val="0"/>
      <w:marTop w:val="0"/>
      <w:marBottom w:val="0"/>
      <w:divBdr>
        <w:top w:val="none" w:sz="0" w:space="0" w:color="auto"/>
        <w:left w:val="none" w:sz="0" w:space="0" w:color="auto"/>
        <w:bottom w:val="none" w:sz="0" w:space="0" w:color="auto"/>
        <w:right w:val="none" w:sz="0" w:space="0" w:color="auto"/>
      </w:divBdr>
    </w:div>
    <w:div w:id="626083950">
      <w:bodyDiv w:val="1"/>
      <w:marLeft w:val="0"/>
      <w:marRight w:val="0"/>
      <w:marTop w:val="0"/>
      <w:marBottom w:val="0"/>
      <w:divBdr>
        <w:top w:val="none" w:sz="0" w:space="0" w:color="auto"/>
        <w:left w:val="none" w:sz="0" w:space="0" w:color="auto"/>
        <w:bottom w:val="none" w:sz="0" w:space="0" w:color="auto"/>
        <w:right w:val="none" w:sz="0" w:space="0" w:color="auto"/>
      </w:divBdr>
      <w:divsChild>
        <w:div w:id="326791600">
          <w:marLeft w:val="0"/>
          <w:marRight w:val="0"/>
          <w:marTop w:val="0"/>
          <w:marBottom w:val="0"/>
          <w:divBdr>
            <w:top w:val="none" w:sz="0" w:space="0" w:color="auto"/>
            <w:left w:val="none" w:sz="0" w:space="0" w:color="auto"/>
            <w:bottom w:val="none" w:sz="0" w:space="0" w:color="auto"/>
            <w:right w:val="none" w:sz="0" w:space="0" w:color="auto"/>
          </w:divBdr>
          <w:divsChild>
            <w:div w:id="1284534687">
              <w:marLeft w:val="0"/>
              <w:marRight w:val="0"/>
              <w:marTop w:val="0"/>
              <w:marBottom w:val="0"/>
              <w:divBdr>
                <w:top w:val="none" w:sz="0" w:space="0" w:color="auto"/>
                <w:left w:val="none" w:sz="0" w:space="0" w:color="auto"/>
                <w:bottom w:val="none" w:sz="0" w:space="0" w:color="auto"/>
                <w:right w:val="none" w:sz="0" w:space="0" w:color="auto"/>
              </w:divBdr>
              <w:divsChild>
                <w:div w:id="2082024660">
                  <w:marLeft w:val="0"/>
                  <w:marRight w:val="0"/>
                  <w:marTop w:val="0"/>
                  <w:marBottom w:val="0"/>
                  <w:divBdr>
                    <w:top w:val="none" w:sz="0" w:space="0" w:color="auto"/>
                    <w:left w:val="none" w:sz="0" w:space="0" w:color="auto"/>
                    <w:bottom w:val="none" w:sz="0" w:space="0" w:color="auto"/>
                    <w:right w:val="none" w:sz="0" w:space="0" w:color="auto"/>
                  </w:divBdr>
                  <w:divsChild>
                    <w:div w:id="5825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863126">
      <w:bodyDiv w:val="1"/>
      <w:marLeft w:val="0"/>
      <w:marRight w:val="0"/>
      <w:marTop w:val="0"/>
      <w:marBottom w:val="0"/>
      <w:divBdr>
        <w:top w:val="none" w:sz="0" w:space="0" w:color="auto"/>
        <w:left w:val="none" w:sz="0" w:space="0" w:color="auto"/>
        <w:bottom w:val="none" w:sz="0" w:space="0" w:color="auto"/>
        <w:right w:val="none" w:sz="0" w:space="0" w:color="auto"/>
      </w:divBdr>
    </w:div>
    <w:div w:id="640040187">
      <w:bodyDiv w:val="1"/>
      <w:marLeft w:val="0"/>
      <w:marRight w:val="0"/>
      <w:marTop w:val="0"/>
      <w:marBottom w:val="0"/>
      <w:divBdr>
        <w:top w:val="none" w:sz="0" w:space="0" w:color="auto"/>
        <w:left w:val="none" w:sz="0" w:space="0" w:color="auto"/>
        <w:bottom w:val="none" w:sz="0" w:space="0" w:color="auto"/>
        <w:right w:val="none" w:sz="0" w:space="0" w:color="auto"/>
      </w:divBdr>
    </w:div>
    <w:div w:id="702678356">
      <w:bodyDiv w:val="1"/>
      <w:marLeft w:val="0"/>
      <w:marRight w:val="0"/>
      <w:marTop w:val="0"/>
      <w:marBottom w:val="0"/>
      <w:divBdr>
        <w:top w:val="none" w:sz="0" w:space="0" w:color="auto"/>
        <w:left w:val="none" w:sz="0" w:space="0" w:color="auto"/>
        <w:bottom w:val="none" w:sz="0" w:space="0" w:color="auto"/>
        <w:right w:val="none" w:sz="0" w:space="0" w:color="auto"/>
      </w:divBdr>
    </w:div>
    <w:div w:id="718045003">
      <w:bodyDiv w:val="1"/>
      <w:marLeft w:val="0"/>
      <w:marRight w:val="0"/>
      <w:marTop w:val="0"/>
      <w:marBottom w:val="0"/>
      <w:divBdr>
        <w:top w:val="none" w:sz="0" w:space="0" w:color="auto"/>
        <w:left w:val="none" w:sz="0" w:space="0" w:color="auto"/>
        <w:bottom w:val="none" w:sz="0" w:space="0" w:color="auto"/>
        <w:right w:val="none" w:sz="0" w:space="0" w:color="auto"/>
      </w:divBdr>
    </w:div>
    <w:div w:id="722950854">
      <w:bodyDiv w:val="1"/>
      <w:marLeft w:val="0"/>
      <w:marRight w:val="0"/>
      <w:marTop w:val="0"/>
      <w:marBottom w:val="0"/>
      <w:divBdr>
        <w:top w:val="none" w:sz="0" w:space="0" w:color="auto"/>
        <w:left w:val="none" w:sz="0" w:space="0" w:color="auto"/>
        <w:bottom w:val="none" w:sz="0" w:space="0" w:color="auto"/>
        <w:right w:val="none" w:sz="0" w:space="0" w:color="auto"/>
      </w:divBdr>
    </w:div>
    <w:div w:id="724842353">
      <w:bodyDiv w:val="1"/>
      <w:marLeft w:val="0"/>
      <w:marRight w:val="0"/>
      <w:marTop w:val="0"/>
      <w:marBottom w:val="0"/>
      <w:divBdr>
        <w:top w:val="none" w:sz="0" w:space="0" w:color="auto"/>
        <w:left w:val="none" w:sz="0" w:space="0" w:color="auto"/>
        <w:bottom w:val="none" w:sz="0" w:space="0" w:color="auto"/>
        <w:right w:val="none" w:sz="0" w:space="0" w:color="auto"/>
      </w:divBdr>
    </w:div>
    <w:div w:id="738596158">
      <w:bodyDiv w:val="1"/>
      <w:marLeft w:val="0"/>
      <w:marRight w:val="0"/>
      <w:marTop w:val="0"/>
      <w:marBottom w:val="0"/>
      <w:divBdr>
        <w:top w:val="none" w:sz="0" w:space="0" w:color="auto"/>
        <w:left w:val="none" w:sz="0" w:space="0" w:color="auto"/>
        <w:bottom w:val="none" w:sz="0" w:space="0" w:color="auto"/>
        <w:right w:val="none" w:sz="0" w:space="0" w:color="auto"/>
      </w:divBdr>
    </w:div>
    <w:div w:id="787090824">
      <w:bodyDiv w:val="1"/>
      <w:marLeft w:val="0"/>
      <w:marRight w:val="0"/>
      <w:marTop w:val="0"/>
      <w:marBottom w:val="0"/>
      <w:divBdr>
        <w:top w:val="none" w:sz="0" w:space="0" w:color="auto"/>
        <w:left w:val="none" w:sz="0" w:space="0" w:color="auto"/>
        <w:bottom w:val="none" w:sz="0" w:space="0" w:color="auto"/>
        <w:right w:val="none" w:sz="0" w:space="0" w:color="auto"/>
      </w:divBdr>
    </w:div>
    <w:div w:id="849873483">
      <w:bodyDiv w:val="1"/>
      <w:marLeft w:val="0"/>
      <w:marRight w:val="0"/>
      <w:marTop w:val="0"/>
      <w:marBottom w:val="0"/>
      <w:divBdr>
        <w:top w:val="none" w:sz="0" w:space="0" w:color="auto"/>
        <w:left w:val="none" w:sz="0" w:space="0" w:color="auto"/>
        <w:bottom w:val="none" w:sz="0" w:space="0" w:color="auto"/>
        <w:right w:val="none" w:sz="0" w:space="0" w:color="auto"/>
      </w:divBdr>
    </w:div>
    <w:div w:id="856652169">
      <w:bodyDiv w:val="1"/>
      <w:marLeft w:val="0"/>
      <w:marRight w:val="0"/>
      <w:marTop w:val="0"/>
      <w:marBottom w:val="0"/>
      <w:divBdr>
        <w:top w:val="none" w:sz="0" w:space="0" w:color="auto"/>
        <w:left w:val="none" w:sz="0" w:space="0" w:color="auto"/>
        <w:bottom w:val="none" w:sz="0" w:space="0" w:color="auto"/>
        <w:right w:val="none" w:sz="0" w:space="0" w:color="auto"/>
      </w:divBdr>
    </w:div>
    <w:div w:id="865605223">
      <w:bodyDiv w:val="1"/>
      <w:marLeft w:val="0"/>
      <w:marRight w:val="0"/>
      <w:marTop w:val="0"/>
      <w:marBottom w:val="0"/>
      <w:divBdr>
        <w:top w:val="none" w:sz="0" w:space="0" w:color="auto"/>
        <w:left w:val="none" w:sz="0" w:space="0" w:color="auto"/>
        <w:bottom w:val="none" w:sz="0" w:space="0" w:color="auto"/>
        <w:right w:val="none" w:sz="0" w:space="0" w:color="auto"/>
      </w:divBdr>
      <w:divsChild>
        <w:div w:id="117844192">
          <w:marLeft w:val="0"/>
          <w:marRight w:val="0"/>
          <w:marTop w:val="0"/>
          <w:marBottom w:val="0"/>
          <w:divBdr>
            <w:top w:val="none" w:sz="0" w:space="0" w:color="auto"/>
            <w:left w:val="none" w:sz="0" w:space="0" w:color="auto"/>
            <w:bottom w:val="none" w:sz="0" w:space="0" w:color="auto"/>
            <w:right w:val="none" w:sz="0" w:space="0" w:color="auto"/>
          </w:divBdr>
          <w:divsChild>
            <w:div w:id="1575314763">
              <w:marLeft w:val="0"/>
              <w:marRight w:val="0"/>
              <w:marTop w:val="0"/>
              <w:marBottom w:val="0"/>
              <w:divBdr>
                <w:top w:val="none" w:sz="0" w:space="0" w:color="auto"/>
                <w:left w:val="none" w:sz="0" w:space="0" w:color="auto"/>
                <w:bottom w:val="none" w:sz="0" w:space="0" w:color="auto"/>
                <w:right w:val="none" w:sz="0" w:space="0" w:color="auto"/>
              </w:divBdr>
              <w:divsChild>
                <w:div w:id="48195070">
                  <w:marLeft w:val="0"/>
                  <w:marRight w:val="0"/>
                  <w:marTop w:val="0"/>
                  <w:marBottom w:val="0"/>
                  <w:divBdr>
                    <w:top w:val="none" w:sz="0" w:space="0" w:color="auto"/>
                    <w:left w:val="none" w:sz="0" w:space="0" w:color="auto"/>
                    <w:bottom w:val="none" w:sz="0" w:space="0" w:color="auto"/>
                    <w:right w:val="none" w:sz="0" w:space="0" w:color="auto"/>
                  </w:divBdr>
                  <w:divsChild>
                    <w:div w:id="207777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853914">
      <w:bodyDiv w:val="1"/>
      <w:marLeft w:val="0"/>
      <w:marRight w:val="0"/>
      <w:marTop w:val="0"/>
      <w:marBottom w:val="0"/>
      <w:divBdr>
        <w:top w:val="none" w:sz="0" w:space="0" w:color="auto"/>
        <w:left w:val="none" w:sz="0" w:space="0" w:color="auto"/>
        <w:bottom w:val="none" w:sz="0" w:space="0" w:color="auto"/>
        <w:right w:val="none" w:sz="0" w:space="0" w:color="auto"/>
      </w:divBdr>
    </w:div>
    <w:div w:id="876896592">
      <w:bodyDiv w:val="1"/>
      <w:marLeft w:val="0"/>
      <w:marRight w:val="0"/>
      <w:marTop w:val="0"/>
      <w:marBottom w:val="0"/>
      <w:divBdr>
        <w:top w:val="none" w:sz="0" w:space="0" w:color="auto"/>
        <w:left w:val="none" w:sz="0" w:space="0" w:color="auto"/>
        <w:bottom w:val="none" w:sz="0" w:space="0" w:color="auto"/>
        <w:right w:val="none" w:sz="0" w:space="0" w:color="auto"/>
      </w:divBdr>
    </w:div>
    <w:div w:id="884411301">
      <w:bodyDiv w:val="1"/>
      <w:marLeft w:val="0"/>
      <w:marRight w:val="0"/>
      <w:marTop w:val="0"/>
      <w:marBottom w:val="0"/>
      <w:divBdr>
        <w:top w:val="none" w:sz="0" w:space="0" w:color="auto"/>
        <w:left w:val="none" w:sz="0" w:space="0" w:color="auto"/>
        <w:bottom w:val="none" w:sz="0" w:space="0" w:color="auto"/>
        <w:right w:val="none" w:sz="0" w:space="0" w:color="auto"/>
      </w:divBdr>
    </w:div>
    <w:div w:id="904025887">
      <w:bodyDiv w:val="1"/>
      <w:marLeft w:val="0"/>
      <w:marRight w:val="0"/>
      <w:marTop w:val="0"/>
      <w:marBottom w:val="0"/>
      <w:divBdr>
        <w:top w:val="none" w:sz="0" w:space="0" w:color="auto"/>
        <w:left w:val="none" w:sz="0" w:space="0" w:color="auto"/>
        <w:bottom w:val="none" w:sz="0" w:space="0" w:color="auto"/>
        <w:right w:val="none" w:sz="0" w:space="0" w:color="auto"/>
      </w:divBdr>
    </w:div>
    <w:div w:id="1027679578">
      <w:bodyDiv w:val="1"/>
      <w:marLeft w:val="0"/>
      <w:marRight w:val="0"/>
      <w:marTop w:val="0"/>
      <w:marBottom w:val="0"/>
      <w:divBdr>
        <w:top w:val="none" w:sz="0" w:space="0" w:color="auto"/>
        <w:left w:val="none" w:sz="0" w:space="0" w:color="auto"/>
        <w:bottom w:val="none" w:sz="0" w:space="0" w:color="auto"/>
        <w:right w:val="none" w:sz="0" w:space="0" w:color="auto"/>
      </w:divBdr>
    </w:div>
    <w:div w:id="1070536732">
      <w:bodyDiv w:val="1"/>
      <w:marLeft w:val="0"/>
      <w:marRight w:val="0"/>
      <w:marTop w:val="0"/>
      <w:marBottom w:val="0"/>
      <w:divBdr>
        <w:top w:val="none" w:sz="0" w:space="0" w:color="auto"/>
        <w:left w:val="none" w:sz="0" w:space="0" w:color="auto"/>
        <w:bottom w:val="none" w:sz="0" w:space="0" w:color="auto"/>
        <w:right w:val="none" w:sz="0" w:space="0" w:color="auto"/>
      </w:divBdr>
    </w:div>
    <w:div w:id="1102651300">
      <w:bodyDiv w:val="1"/>
      <w:marLeft w:val="0"/>
      <w:marRight w:val="0"/>
      <w:marTop w:val="0"/>
      <w:marBottom w:val="0"/>
      <w:divBdr>
        <w:top w:val="none" w:sz="0" w:space="0" w:color="auto"/>
        <w:left w:val="none" w:sz="0" w:space="0" w:color="auto"/>
        <w:bottom w:val="none" w:sz="0" w:space="0" w:color="auto"/>
        <w:right w:val="none" w:sz="0" w:space="0" w:color="auto"/>
      </w:divBdr>
    </w:div>
    <w:div w:id="1114443646">
      <w:bodyDiv w:val="1"/>
      <w:marLeft w:val="0"/>
      <w:marRight w:val="0"/>
      <w:marTop w:val="0"/>
      <w:marBottom w:val="0"/>
      <w:divBdr>
        <w:top w:val="none" w:sz="0" w:space="0" w:color="auto"/>
        <w:left w:val="none" w:sz="0" w:space="0" w:color="auto"/>
        <w:bottom w:val="none" w:sz="0" w:space="0" w:color="auto"/>
        <w:right w:val="none" w:sz="0" w:space="0" w:color="auto"/>
      </w:divBdr>
    </w:div>
    <w:div w:id="1126314873">
      <w:bodyDiv w:val="1"/>
      <w:marLeft w:val="0"/>
      <w:marRight w:val="0"/>
      <w:marTop w:val="0"/>
      <w:marBottom w:val="0"/>
      <w:divBdr>
        <w:top w:val="none" w:sz="0" w:space="0" w:color="auto"/>
        <w:left w:val="none" w:sz="0" w:space="0" w:color="auto"/>
        <w:bottom w:val="none" w:sz="0" w:space="0" w:color="auto"/>
        <w:right w:val="none" w:sz="0" w:space="0" w:color="auto"/>
      </w:divBdr>
    </w:div>
    <w:div w:id="1194152028">
      <w:bodyDiv w:val="1"/>
      <w:marLeft w:val="0"/>
      <w:marRight w:val="0"/>
      <w:marTop w:val="0"/>
      <w:marBottom w:val="0"/>
      <w:divBdr>
        <w:top w:val="none" w:sz="0" w:space="0" w:color="auto"/>
        <w:left w:val="none" w:sz="0" w:space="0" w:color="auto"/>
        <w:bottom w:val="none" w:sz="0" w:space="0" w:color="auto"/>
        <w:right w:val="none" w:sz="0" w:space="0" w:color="auto"/>
      </w:divBdr>
      <w:divsChild>
        <w:div w:id="760377017">
          <w:marLeft w:val="0"/>
          <w:marRight w:val="0"/>
          <w:marTop w:val="0"/>
          <w:marBottom w:val="0"/>
          <w:divBdr>
            <w:top w:val="none" w:sz="0" w:space="0" w:color="auto"/>
            <w:left w:val="none" w:sz="0" w:space="0" w:color="auto"/>
            <w:bottom w:val="none" w:sz="0" w:space="0" w:color="auto"/>
            <w:right w:val="none" w:sz="0" w:space="0" w:color="auto"/>
          </w:divBdr>
        </w:div>
      </w:divsChild>
    </w:div>
    <w:div w:id="1194348391">
      <w:bodyDiv w:val="1"/>
      <w:marLeft w:val="0"/>
      <w:marRight w:val="0"/>
      <w:marTop w:val="0"/>
      <w:marBottom w:val="0"/>
      <w:divBdr>
        <w:top w:val="none" w:sz="0" w:space="0" w:color="auto"/>
        <w:left w:val="none" w:sz="0" w:space="0" w:color="auto"/>
        <w:bottom w:val="none" w:sz="0" w:space="0" w:color="auto"/>
        <w:right w:val="none" w:sz="0" w:space="0" w:color="auto"/>
      </w:divBdr>
    </w:div>
    <w:div w:id="1195732855">
      <w:bodyDiv w:val="1"/>
      <w:marLeft w:val="0"/>
      <w:marRight w:val="0"/>
      <w:marTop w:val="0"/>
      <w:marBottom w:val="0"/>
      <w:divBdr>
        <w:top w:val="none" w:sz="0" w:space="0" w:color="auto"/>
        <w:left w:val="none" w:sz="0" w:space="0" w:color="auto"/>
        <w:bottom w:val="none" w:sz="0" w:space="0" w:color="auto"/>
        <w:right w:val="none" w:sz="0" w:space="0" w:color="auto"/>
      </w:divBdr>
    </w:div>
    <w:div w:id="1261599097">
      <w:bodyDiv w:val="1"/>
      <w:marLeft w:val="0"/>
      <w:marRight w:val="0"/>
      <w:marTop w:val="0"/>
      <w:marBottom w:val="0"/>
      <w:divBdr>
        <w:top w:val="none" w:sz="0" w:space="0" w:color="auto"/>
        <w:left w:val="none" w:sz="0" w:space="0" w:color="auto"/>
        <w:bottom w:val="none" w:sz="0" w:space="0" w:color="auto"/>
        <w:right w:val="none" w:sz="0" w:space="0" w:color="auto"/>
      </w:divBdr>
    </w:div>
    <w:div w:id="1276717812">
      <w:bodyDiv w:val="1"/>
      <w:marLeft w:val="0"/>
      <w:marRight w:val="0"/>
      <w:marTop w:val="0"/>
      <w:marBottom w:val="0"/>
      <w:divBdr>
        <w:top w:val="none" w:sz="0" w:space="0" w:color="auto"/>
        <w:left w:val="none" w:sz="0" w:space="0" w:color="auto"/>
        <w:bottom w:val="none" w:sz="0" w:space="0" w:color="auto"/>
        <w:right w:val="none" w:sz="0" w:space="0" w:color="auto"/>
      </w:divBdr>
      <w:divsChild>
        <w:div w:id="697199592">
          <w:marLeft w:val="0"/>
          <w:marRight w:val="0"/>
          <w:marTop w:val="0"/>
          <w:marBottom w:val="0"/>
          <w:divBdr>
            <w:top w:val="none" w:sz="0" w:space="0" w:color="auto"/>
            <w:left w:val="none" w:sz="0" w:space="0" w:color="auto"/>
            <w:bottom w:val="none" w:sz="0" w:space="0" w:color="auto"/>
            <w:right w:val="none" w:sz="0" w:space="0" w:color="auto"/>
          </w:divBdr>
        </w:div>
      </w:divsChild>
    </w:div>
    <w:div w:id="1315794047">
      <w:bodyDiv w:val="1"/>
      <w:marLeft w:val="0"/>
      <w:marRight w:val="0"/>
      <w:marTop w:val="0"/>
      <w:marBottom w:val="0"/>
      <w:divBdr>
        <w:top w:val="none" w:sz="0" w:space="0" w:color="auto"/>
        <w:left w:val="none" w:sz="0" w:space="0" w:color="auto"/>
        <w:bottom w:val="none" w:sz="0" w:space="0" w:color="auto"/>
        <w:right w:val="none" w:sz="0" w:space="0" w:color="auto"/>
      </w:divBdr>
    </w:div>
    <w:div w:id="1323045902">
      <w:bodyDiv w:val="1"/>
      <w:marLeft w:val="0"/>
      <w:marRight w:val="0"/>
      <w:marTop w:val="0"/>
      <w:marBottom w:val="0"/>
      <w:divBdr>
        <w:top w:val="none" w:sz="0" w:space="0" w:color="auto"/>
        <w:left w:val="none" w:sz="0" w:space="0" w:color="auto"/>
        <w:bottom w:val="none" w:sz="0" w:space="0" w:color="auto"/>
        <w:right w:val="none" w:sz="0" w:space="0" w:color="auto"/>
      </w:divBdr>
    </w:div>
    <w:div w:id="1384989750">
      <w:bodyDiv w:val="1"/>
      <w:marLeft w:val="0"/>
      <w:marRight w:val="0"/>
      <w:marTop w:val="0"/>
      <w:marBottom w:val="0"/>
      <w:divBdr>
        <w:top w:val="none" w:sz="0" w:space="0" w:color="auto"/>
        <w:left w:val="none" w:sz="0" w:space="0" w:color="auto"/>
        <w:bottom w:val="none" w:sz="0" w:space="0" w:color="auto"/>
        <w:right w:val="none" w:sz="0" w:space="0" w:color="auto"/>
      </w:divBdr>
    </w:div>
    <w:div w:id="1435398428">
      <w:bodyDiv w:val="1"/>
      <w:marLeft w:val="0"/>
      <w:marRight w:val="0"/>
      <w:marTop w:val="0"/>
      <w:marBottom w:val="0"/>
      <w:divBdr>
        <w:top w:val="none" w:sz="0" w:space="0" w:color="auto"/>
        <w:left w:val="none" w:sz="0" w:space="0" w:color="auto"/>
        <w:bottom w:val="none" w:sz="0" w:space="0" w:color="auto"/>
        <w:right w:val="none" w:sz="0" w:space="0" w:color="auto"/>
      </w:divBdr>
    </w:div>
    <w:div w:id="1547057812">
      <w:bodyDiv w:val="1"/>
      <w:marLeft w:val="0"/>
      <w:marRight w:val="0"/>
      <w:marTop w:val="0"/>
      <w:marBottom w:val="0"/>
      <w:divBdr>
        <w:top w:val="none" w:sz="0" w:space="0" w:color="auto"/>
        <w:left w:val="none" w:sz="0" w:space="0" w:color="auto"/>
        <w:bottom w:val="none" w:sz="0" w:space="0" w:color="auto"/>
        <w:right w:val="none" w:sz="0" w:space="0" w:color="auto"/>
      </w:divBdr>
    </w:div>
    <w:div w:id="1553930369">
      <w:bodyDiv w:val="1"/>
      <w:marLeft w:val="0"/>
      <w:marRight w:val="0"/>
      <w:marTop w:val="0"/>
      <w:marBottom w:val="0"/>
      <w:divBdr>
        <w:top w:val="none" w:sz="0" w:space="0" w:color="auto"/>
        <w:left w:val="none" w:sz="0" w:space="0" w:color="auto"/>
        <w:bottom w:val="none" w:sz="0" w:space="0" w:color="auto"/>
        <w:right w:val="none" w:sz="0" w:space="0" w:color="auto"/>
      </w:divBdr>
    </w:div>
    <w:div w:id="1645544793">
      <w:bodyDiv w:val="1"/>
      <w:marLeft w:val="0"/>
      <w:marRight w:val="0"/>
      <w:marTop w:val="0"/>
      <w:marBottom w:val="0"/>
      <w:divBdr>
        <w:top w:val="none" w:sz="0" w:space="0" w:color="auto"/>
        <w:left w:val="none" w:sz="0" w:space="0" w:color="auto"/>
        <w:bottom w:val="none" w:sz="0" w:space="0" w:color="auto"/>
        <w:right w:val="none" w:sz="0" w:space="0" w:color="auto"/>
      </w:divBdr>
    </w:div>
    <w:div w:id="1657568581">
      <w:bodyDiv w:val="1"/>
      <w:marLeft w:val="0"/>
      <w:marRight w:val="0"/>
      <w:marTop w:val="0"/>
      <w:marBottom w:val="0"/>
      <w:divBdr>
        <w:top w:val="none" w:sz="0" w:space="0" w:color="auto"/>
        <w:left w:val="none" w:sz="0" w:space="0" w:color="auto"/>
        <w:bottom w:val="none" w:sz="0" w:space="0" w:color="auto"/>
        <w:right w:val="none" w:sz="0" w:space="0" w:color="auto"/>
      </w:divBdr>
    </w:div>
    <w:div w:id="1735009370">
      <w:bodyDiv w:val="1"/>
      <w:marLeft w:val="0"/>
      <w:marRight w:val="0"/>
      <w:marTop w:val="0"/>
      <w:marBottom w:val="0"/>
      <w:divBdr>
        <w:top w:val="none" w:sz="0" w:space="0" w:color="auto"/>
        <w:left w:val="none" w:sz="0" w:space="0" w:color="auto"/>
        <w:bottom w:val="none" w:sz="0" w:space="0" w:color="auto"/>
        <w:right w:val="none" w:sz="0" w:space="0" w:color="auto"/>
      </w:divBdr>
    </w:div>
    <w:div w:id="1770663918">
      <w:bodyDiv w:val="1"/>
      <w:marLeft w:val="0"/>
      <w:marRight w:val="0"/>
      <w:marTop w:val="0"/>
      <w:marBottom w:val="0"/>
      <w:divBdr>
        <w:top w:val="none" w:sz="0" w:space="0" w:color="auto"/>
        <w:left w:val="none" w:sz="0" w:space="0" w:color="auto"/>
        <w:bottom w:val="none" w:sz="0" w:space="0" w:color="auto"/>
        <w:right w:val="none" w:sz="0" w:space="0" w:color="auto"/>
      </w:divBdr>
    </w:div>
    <w:div w:id="1789858922">
      <w:bodyDiv w:val="1"/>
      <w:marLeft w:val="0"/>
      <w:marRight w:val="0"/>
      <w:marTop w:val="0"/>
      <w:marBottom w:val="0"/>
      <w:divBdr>
        <w:top w:val="none" w:sz="0" w:space="0" w:color="auto"/>
        <w:left w:val="none" w:sz="0" w:space="0" w:color="auto"/>
        <w:bottom w:val="none" w:sz="0" w:space="0" w:color="auto"/>
        <w:right w:val="none" w:sz="0" w:space="0" w:color="auto"/>
      </w:divBdr>
    </w:div>
    <w:div w:id="1867252033">
      <w:bodyDiv w:val="1"/>
      <w:marLeft w:val="0"/>
      <w:marRight w:val="0"/>
      <w:marTop w:val="0"/>
      <w:marBottom w:val="0"/>
      <w:divBdr>
        <w:top w:val="none" w:sz="0" w:space="0" w:color="auto"/>
        <w:left w:val="none" w:sz="0" w:space="0" w:color="auto"/>
        <w:bottom w:val="none" w:sz="0" w:space="0" w:color="auto"/>
        <w:right w:val="none" w:sz="0" w:space="0" w:color="auto"/>
      </w:divBdr>
    </w:div>
    <w:div w:id="2036349570">
      <w:bodyDiv w:val="1"/>
      <w:marLeft w:val="0"/>
      <w:marRight w:val="0"/>
      <w:marTop w:val="0"/>
      <w:marBottom w:val="0"/>
      <w:divBdr>
        <w:top w:val="none" w:sz="0" w:space="0" w:color="auto"/>
        <w:left w:val="none" w:sz="0" w:space="0" w:color="auto"/>
        <w:bottom w:val="none" w:sz="0" w:space="0" w:color="auto"/>
        <w:right w:val="none" w:sz="0" w:space="0" w:color="auto"/>
      </w:divBdr>
    </w:div>
    <w:div w:id="2046519529">
      <w:bodyDiv w:val="1"/>
      <w:marLeft w:val="0"/>
      <w:marRight w:val="0"/>
      <w:marTop w:val="0"/>
      <w:marBottom w:val="0"/>
      <w:divBdr>
        <w:top w:val="none" w:sz="0" w:space="0" w:color="auto"/>
        <w:left w:val="none" w:sz="0" w:space="0" w:color="auto"/>
        <w:bottom w:val="none" w:sz="0" w:space="0" w:color="auto"/>
        <w:right w:val="none" w:sz="0" w:space="0" w:color="auto"/>
      </w:divBdr>
    </w:div>
    <w:div w:id="2067364957">
      <w:bodyDiv w:val="1"/>
      <w:marLeft w:val="0"/>
      <w:marRight w:val="0"/>
      <w:marTop w:val="0"/>
      <w:marBottom w:val="0"/>
      <w:divBdr>
        <w:top w:val="none" w:sz="0" w:space="0" w:color="auto"/>
        <w:left w:val="none" w:sz="0" w:space="0" w:color="auto"/>
        <w:bottom w:val="none" w:sz="0" w:space="0" w:color="auto"/>
        <w:right w:val="none" w:sz="0" w:space="0" w:color="auto"/>
      </w:divBdr>
    </w:div>
    <w:div w:id="2069303139">
      <w:bodyDiv w:val="1"/>
      <w:marLeft w:val="0"/>
      <w:marRight w:val="0"/>
      <w:marTop w:val="0"/>
      <w:marBottom w:val="0"/>
      <w:divBdr>
        <w:top w:val="none" w:sz="0" w:space="0" w:color="auto"/>
        <w:left w:val="none" w:sz="0" w:space="0" w:color="auto"/>
        <w:bottom w:val="none" w:sz="0" w:space="0" w:color="auto"/>
        <w:right w:val="none" w:sz="0" w:space="0" w:color="auto"/>
      </w:divBdr>
    </w:div>
    <w:div w:id="209381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CSCE%202010\2010-Templates%20and%20instructions\CSCE%202010-Structures%20Specialty%20Conference%20Template-20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BF1C7-FA81-4814-A6CF-D54C4DD9A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CSCE 2010-Structures Specialty Conference Template-2003</Template>
  <TotalTime>1</TotalTime>
  <Pages>4</Pages>
  <Words>1928</Words>
  <Characters>47955</Characters>
  <Application>Microsoft Office Word</Application>
  <DocSecurity>0</DocSecurity>
  <Lines>399</Lines>
  <Paragraphs>99</Paragraphs>
  <ScaleCrop>false</ScaleCrop>
  <HeadingPairs>
    <vt:vector size="2" baseType="variant">
      <vt:variant>
        <vt:lpstr>Title</vt:lpstr>
      </vt:variant>
      <vt:variant>
        <vt:i4>1</vt:i4>
      </vt:variant>
    </vt:vector>
  </HeadingPairs>
  <TitlesOfParts>
    <vt:vector size="1" baseType="lpstr">
      <vt:lpstr>Vulnerability Assessment of Arizona's Critical Infrastructure</vt:lpstr>
    </vt:vector>
  </TitlesOfParts>
  <Company>CCC</Company>
  <LinksUpToDate>false</LinksUpToDate>
  <CharactersWithSpaces>49784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Vulnerability Assessment of Arizona's Critical Infrastructure</dc:title>
  <dc:subject/>
  <dc:creator>Alam</dc:creator>
  <cp:keywords/>
  <cp:lastModifiedBy>Alam, Shahria</cp:lastModifiedBy>
  <cp:revision>4</cp:revision>
  <cp:lastPrinted>2006-09-27T18:19:00Z</cp:lastPrinted>
  <dcterms:created xsi:type="dcterms:W3CDTF">2026-07-01T07:32:00Z</dcterms:created>
  <dcterms:modified xsi:type="dcterms:W3CDTF">2026-07-26T00:38:00Z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7635a5c7-70f9-4fed-83ea-6a35d7f446b8</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6th/7th edition</vt:lpwstr>
  </property>
  <property fmtid="{D5CDD505-2E9C-101B-9397-08002B2CF9AE}" pid="9" name="Mendeley Recent Style Id 3_1">
    <vt:lpwstr>https://csl.mendeley.com/styles/526730671/american-sociological-association-20251113</vt:lpwstr>
  </property>
  <property fmtid="{D5CDD505-2E9C-101B-9397-08002B2CF9AE}" pid="10" name="Mendeley Recent Style Name 3_1">
    <vt:lpwstr>American Sociological Association 6th/7th edition - Ibrahim TIjani</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http://www.zotero.org/styles/springer-basic-brackets</vt:lpwstr>
  </property>
  <property fmtid="{D5CDD505-2E9C-101B-9397-08002B2CF9AE}" pid="18" name="Mendeley Recent Style Name 7_1">
    <vt:lpwstr>Springer - Basic (numeric, brackets)</vt:lpwstr>
  </property>
  <property fmtid="{D5CDD505-2E9C-101B-9397-08002B2CF9AE}" pid="19" name="Mendeley Recent Style Id 8_1">
    <vt:lpwstr>http://www.zotero.org/styles/structures</vt:lpwstr>
  </property>
  <property fmtid="{D5CDD505-2E9C-101B-9397-08002B2CF9AE}" pid="20" name="Mendeley Recent Style Name 8_1">
    <vt:lpwstr>Structures</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7b68c55d-6017-3791-8a7f-824f6634bd2a</vt:lpwstr>
  </property>
  <property fmtid="{D5CDD505-2E9C-101B-9397-08002B2CF9AE}" pid="25" name="Mendeley Citation Style_1">
    <vt:lpwstr>https://csl.mendeley.com/styles/526730671/american-sociological-association-20251113</vt:lpwstr>
  </property>
</Properties>
</file>