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176EA" w14:textId="77777777" w:rsidR="004128FC" w:rsidRDefault="004128FC">
      <w:pPr>
        <w:jc w:val="center"/>
      </w:pPr>
    </w:p>
    <w:p w14:paraId="778BD090" w14:textId="77777777" w:rsidR="004128FC" w:rsidRDefault="004128FC">
      <w:pPr>
        <w:jc w:val="center"/>
      </w:pPr>
    </w:p>
    <w:p w14:paraId="49CD112F" w14:textId="77777777" w:rsidR="004128FC" w:rsidRDefault="004128FC">
      <w:pPr>
        <w:jc w:val="center"/>
      </w:pPr>
    </w:p>
    <w:p w14:paraId="5B190F11" w14:textId="77777777" w:rsidR="004128FC" w:rsidRDefault="006429D5">
      <w:pPr>
        <w:jc w:val="center"/>
        <w:rPr>
          <w:b/>
          <w:bCs/>
          <w:sz w:val="28"/>
          <w:szCs w:val="28"/>
        </w:rPr>
      </w:pPr>
      <w:r>
        <w:rPr>
          <w:b/>
          <w:bCs/>
          <w:sz w:val="28"/>
          <w:szCs w:val="28"/>
        </w:rPr>
        <w:t xml:space="preserve">Seismic Performance and Modeling of RC Frames Infilled with Sustainable </w:t>
      </w:r>
      <w:proofErr w:type="spellStart"/>
      <w:r>
        <w:rPr>
          <w:b/>
          <w:bCs/>
          <w:sz w:val="28"/>
          <w:szCs w:val="28"/>
        </w:rPr>
        <w:t>Sandcrete</w:t>
      </w:r>
      <w:proofErr w:type="spellEnd"/>
      <w:r>
        <w:rPr>
          <w:b/>
          <w:bCs/>
          <w:sz w:val="28"/>
          <w:szCs w:val="28"/>
        </w:rPr>
        <w:t xml:space="preserve"> and AAC Masonry Systems: Experimental Investigation </w:t>
      </w:r>
    </w:p>
    <w:p w14:paraId="6B63D497" w14:textId="77777777" w:rsidR="004128FC" w:rsidRDefault="004128FC"/>
    <w:p w14:paraId="6FDFA7C1" w14:textId="77777777" w:rsidR="004128FC" w:rsidRDefault="004128FC"/>
    <w:p w14:paraId="72337D8A" w14:textId="77777777" w:rsidR="004128FC" w:rsidRDefault="006429D5">
      <w:pPr>
        <w:jc w:val="center"/>
        <w:rPr>
          <w:b/>
          <w:bCs/>
        </w:rPr>
      </w:pPr>
      <w:r>
        <w:t>M. R. Mukhlis</w:t>
      </w:r>
      <w:r>
        <w:rPr>
          <w:vertAlign w:val="superscript"/>
        </w:rPr>
        <w:t>1</w:t>
      </w:r>
      <w:r>
        <w:t xml:space="preserve"> and A. R. Bhuiyan</w:t>
      </w:r>
      <w:r>
        <w:rPr>
          <w:vertAlign w:val="superscript"/>
        </w:rPr>
        <w:t>2*</w:t>
      </w:r>
    </w:p>
    <w:p w14:paraId="3C63FCA9" w14:textId="77777777" w:rsidR="004128FC" w:rsidRDefault="004128FC"/>
    <w:p w14:paraId="62E0BE07" w14:textId="77777777" w:rsidR="004128FC" w:rsidRDefault="006429D5">
      <w:pPr>
        <w:jc w:val="center"/>
      </w:pPr>
      <w:r>
        <w:rPr>
          <w:vertAlign w:val="superscript"/>
        </w:rPr>
        <w:t>1</w:t>
      </w:r>
      <w:r>
        <w:t xml:space="preserve">PhD Candidate, Department of Civil Engineering and Assistant Professor, Institute of Earthquake Engineering Research, Chittagong University of Engineering &amp; Technology, Chattogram-4349, Bangladesh </w:t>
      </w:r>
    </w:p>
    <w:p w14:paraId="62E6FC31" w14:textId="77777777" w:rsidR="004128FC" w:rsidRDefault="006429D5">
      <w:pPr>
        <w:jc w:val="center"/>
      </w:pPr>
      <w:r>
        <w:rPr>
          <w:vertAlign w:val="superscript"/>
        </w:rPr>
        <w:t>2</w:t>
      </w:r>
      <w:r>
        <w:t xml:space="preserve"> Professor, Department of Civil Engineering, Chittagong University of Engineering &amp; Technology, Chattogram-4349, </w:t>
      </w:r>
      <w:proofErr w:type="gramStart"/>
      <w:r>
        <w:t>Bangladesh,*</w:t>
      </w:r>
      <w:proofErr w:type="gramEnd"/>
      <w:r>
        <w:t xml:space="preserve"> Corresponding Author</w:t>
      </w:r>
    </w:p>
    <w:p w14:paraId="5265C1FC" w14:textId="77777777" w:rsidR="004128FC" w:rsidRDefault="004128FC"/>
    <w:p w14:paraId="5208844C" w14:textId="77777777" w:rsidR="004128FC" w:rsidRDefault="006429D5">
      <w:r>
        <w:rPr>
          <w:b/>
          <w:bCs/>
        </w:rPr>
        <w:t xml:space="preserve">ABSTRACT: </w:t>
      </w:r>
      <w:r>
        <w:t xml:space="preserve">Bangladesh’s rapid urbanization and increasing seismic vulnerability necessitate resilient and sustainable construction systems. </w:t>
      </w:r>
      <w:proofErr w:type="spellStart"/>
      <w:r>
        <w:t>Sandcrete</w:t>
      </w:r>
      <w:proofErr w:type="spellEnd"/>
      <w:r>
        <w:t xml:space="preserve"> (SC) and autoclaved aerated concrete (AAC) blocks are emerging alternatives to conventional masonry due to their reduced weight and environmental benefits. However, their structural interaction within reinforced concrete (RC) frames under cyclic and dynamic loading remains inadequately understood. This study evaluates the seismic performance of RC frames infilled with SC and AAC masonry through integrated experimental and analytical approaches. Material characterization, pseudo-static cyclic tests, and shake-table experiments are conducted to assess strength, stiffness degradation, energy dissipation, and failure mechanisms. A simplified nonlinear rheology-based model is developed and calibrated using experimental data. Results demonstrate distinct behavioral differences between SC and AAC systems and highlight the importance of incorporating material-specific properties in design. The study provides performance-based recommendations for safe and sustainable application of masonry infill systems.</w:t>
      </w:r>
    </w:p>
    <w:p w14:paraId="3BA1E8FE" w14:textId="77777777" w:rsidR="004128FC" w:rsidRDefault="004128FC"/>
    <w:p w14:paraId="4D741E68" w14:textId="77777777" w:rsidR="004128FC" w:rsidRDefault="006429D5">
      <w:pPr>
        <w:pStyle w:val="Heading1"/>
        <w:numPr>
          <w:ilvl w:val="0"/>
          <w:numId w:val="1"/>
        </w:numPr>
        <w:rPr>
          <w:rFonts w:ascii="Arial" w:eastAsia="Arial" w:hAnsi="Arial" w:cs="Arial"/>
        </w:rPr>
      </w:pPr>
      <w:r>
        <w:rPr>
          <w:rFonts w:ascii="Arial" w:eastAsia="Arial" w:hAnsi="Arial" w:cs="Arial"/>
        </w:rPr>
        <w:t xml:space="preserve">Introduction </w:t>
      </w:r>
    </w:p>
    <w:p w14:paraId="7ABF5637" w14:textId="77777777" w:rsidR="004128FC" w:rsidRDefault="004128FC"/>
    <w:p w14:paraId="195B8567" w14:textId="1FF28F3B" w:rsidR="004128FC" w:rsidRDefault="006429D5">
      <w:pPr>
        <w:pBdr>
          <w:top w:val="nil"/>
          <w:left w:val="nil"/>
          <w:bottom w:val="nil"/>
          <w:right w:val="nil"/>
          <w:between w:val="nil"/>
        </w:pBdr>
        <w:rPr>
          <w:color w:val="000000"/>
        </w:rPr>
      </w:pPr>
      <w:r>
        <w:rPr>
          <w:color w:val="000000"/>
        </w:rPr>
        <w:t>Bangladesh’s rapid urbanization and increasing seismic vulnerability demand structurally resilient, resource-efficient, and scientifically validated construction systems. Sustainable construction materials are increasingly adopted in reinforced concrete (RC) frame buildings to reduce environmental impact and construction costs (</w:t>
      </w:r>
      <w:r>
        <w:rPr>
          <w:sz w:val="19"/>
          <w:szCs w:val="19"/>
        </w:rPr>
        <w:t>El-</w:t>
      </w:r>
      <w:proofErr w:type="spellStart"/>
      <w:r>
        <w:rPr>
          <w:sz w:val="19"/>
          <w:szCs w:val="19"/>
        </w:rPr>
        <w:t>Kholy</w:t>
      </w:r>
      <w:proofErr w:type="spellEnd"/>
      <w:r>
        <w:rPr>
          <w:sz w:val="19"/>
          <w:szCs w:val="19"/>
        </w:rPr>
        <w:t xml:space="preserve"> et al., 2026</w:t>
      </w:r>
      <w:r w:rsidR="00F851BA">
        <w:rPr>
          <w:sz w:val="19"/>
          <w:szCs w:val="19"/>
        </w:rPr>
        <w:t>;</w:t>
      </w:r>
      <w:r>
        <w:rPr>
          <w:sz w:val="19"/>
          <w:szCs w:val="19"/>
        </w:rPr>
        <w:t xml:space="preserve"> </w:t>
      </w:r>
      <w:proofErr w:type="spellStart"/>
      <w:r>
        <w:t>Mukhlis</w:t>
      </w:r>
      <w:proofErr w:type="spellEnd"/>
      <w:r>
        <w:t xml:space="preserve"> et al., 2024</w:t>
      </w:r>
      <w:r>
        <w:rPr>
          <w:color w:val="000000"/>
        </w:rPr>
        <w:t xml:space="preserve">). </w:t>
      </w:r>
      <w:proofErr w:type="spellStart"/>
      <w:r>
        <w:rPr>
          <w:color w:val="000000"/>
        </w:rPr>
        <w:t>Sandcrete</w:t>
      </w:r>
      <w:proofErr w:type="spellEnd"/>
      <w:r>
        <w:rPr>
          <w:color w:val="000000"/>
        </w:rPr>
        <w:t xml:space="preserve"> (SC) and autoclaved aerated concrete (AAC) blocks represent promising alternatives to conventional burnt clay masonry due to their lower embodied energy, reduced weight, and improved thermal performance (</w:t>
      </w:r>
      <w:r>
        <w:rPr>
          <w:sz w:val="19"/>
          <w:szCs w:val="19"/>
        </w:rPr>
        <w:t xml:space="preserve">Gupta et al., 2022, </w:t>
      </w:r>
      <w:proofErr w:type="spellStart"/>
      <w:r>
        <w:rPr>
          <w:color w:val="000000"/>
        </w:rPr>
        <w:t>Mukhlis</w:t>
      </w:r>
      <w:proofErr w:type="spellEnd"/>
      <w:r>
        <w:rPr>
          <w:color w:val="000000"/>
        </w:rPr>
        <w:t xml:space="preserve"> et al., 2024). However, their structural interaction within RC frame systems under cyclic and dynamic loading remains inadequately quantified, limiting their safe and performance-based application in civil infrastructure (</w:t>
      </w:r>
      <w:proofErr w:type="spellStart"/>
      <w:r>
        <w:rPr>
          <w:color w:val="000000"/>
        </w:rPr>
        <w:t>Mukhlis</w:t>
      </w:r>
      <w:proofErr w:type="spellEnd"/>
      <w:r>
        <w:rPr>
          <w:color w:val="000000"/>
        </w:rPr>
        <w:t xml:space="preserve"> et al., 2024</w:t>
      </w:r>
      <w:r w:rsidR="00F851BA">
        <w:rPr>
          <w:color w:val="000000"/>
        </w:rPr>
        <w:t>;</w:t>
      </w:r>
      <w:r>
        <w:rPr>
          <w:color w:val="000000"/>
        </w:rPr>
        <w:t xml:space="preserve"> </w:t>
      </w:r>
      <w:proofErr w:type="spellStart"/>
      <w:r>
        <w:rPr>
          <w:color w:val="000000"/>
        </w:rPr>
        <w:t>Mainstone</w:t>
      </w:r>
      <w:proofErr w:type="spellEnd"/>
      <w:r>
        <w:rPr>
          <w:color w:val="000000"/>
        </w:rPr>
        <w:t>, 1971</w:t>
      </w:r>
      <w:r w:rsidR="00F851BA">
        <w:rPr>
          <w:color w:val="000000"/>
        </w:rPr>
        <w:t xml:space="preserve">; </w:t>
      </w:r>
      <w:r>
        <w:rPr>
          <w:color w:val="000000"/>
        </w:rPr>
        <w:t>Smith 1966). Moreover, most existing analytical models for masonry infilled RC frames are based on either simplified equivalent strut concepts or complex multi-strut macro-models (</w:t>
      </w:r>
      <w:proofErr w:type="spellStart"/>
      <w:r>
        <w:rPr>
          <w:color w:val="000000"/>
        </w:rPr>
        <w:t>Asteris</w:t>
      </w:r>
      <w:proofErr w:type="spellEnd"/>
      <w:r>
        <w:rPr>
          <w:color w:val="000000"/>
        </w:rPr>
        <w:t xml:space="preserve"> et al., 20</w:t>
      </w:r>
      <w:r>
        <w:t>17</w:t>
      </w:r>
      <w:r w:rsidR="00F851BA">
        <w:rPr>
          <w:color w:val="000000"/>
        </w:rPr>
        <w:t>;</w:t>
      </w:r>
      <w:r>
        <w:rPr>
          <w:color w:val="000000"/>
        </w:rPr>
        <w:t xml:space="preserve"> Smith 1966). While such models can reproduce certain aspects of hysteretic behavior, many rely heavily on empirically calibrated parameters and are rarely grounded in experimentally measured material properties (</w:t>
      </w:r>
      <w:proofErr w:type="spellStart"/>
      <w:r>
        <w:rPr>
          <w:color w:val="000000"/>
        </w:rPr>
        <w:t>Crisafulli</w:t>
      </w:r>
      <w:proofErr w:type="spellEnd"/>
      <w:r>
        <w:rPr>
          <w:color w:val="000000"/>
        </w:rPr>
        <w:t xml:space="preserve"> 1997,</w:t>
      </w:r>
      <w:r w:rsidR="00F851BA">
        <w:rPr>
          <w:color w:val="000000"/>
        </w:rPr>
        <w:t xml:space="preserve"> </w:t>
      </w:r>
      <w:r>
        <w:rPr>
          <w:color w:val="000000"/>
        </w:rPr>
        <w:t xml:space="preserve">Smith 1966). Furthermore, international guidelines increasingly emphasize performance-based seismic assessment of civil infrastructure (ASCE/SEI 41-17, 2017). The study aims to: i) experimentally characterize the mechanical, physical, and constitutive properties of </w:t>
      </w:r>
      <w:proofErr w:type="spellStart"/>
      <w:r>
        <w:rPr>
          <w:color w:val="000000"/>
        </w:rPr>
        <w:t>sandcrete</w:t>
      </w:r>
      <w:proofErr w:type="spellEnd"/>
      <w:r>
        <w:rPr>
          <w:color w:val="000000"/>
        </w:rPr>
        <w:t xml:space="preserve"> (SC) and AAC masonry systems and associated materials to establish reliable engineering parameters; ii) develop and validate nonlinear constitutive and rheological models incorporating material nonlinearity and foundation flexibility; iii) experimentally evaluate the structural performance of RC frames infilled with SC and AAC under pseudo-static cyclic and dynamic loading; and iv) calibrate and validate analytical models using experimental data for predictive structural assessment. This study evaluates the structural performance of RC frames infilled with SC and AAC through integrated experimental and analytical approaches. </w:t>
      </w:r>
      <w:r>
        <w:rPr>
          <w:color w:val="000000"/>
        </w:rPr>
        <w:lastRenderedPageBreak/>
        <w:t>Material characterization (Phase I) and pseudo-static cyclic testing (Phase II) have been completed, while nonlinear modeling (Phase III) and model validation (Phase IV) are ongoing. This paper presents some</w:t>
      </w:r>
      <w:r>
        <w:t xml:space="preserve"> </w:t>
      </w:r>
      <w:r>
        <w:rPr>
          <w:color w:val="000000"/>
        </w:rPr>
        <w:t xml:space="preserve">experimental results </w:t>
      </w:r>
      <w:r>
        <w:t>from Phase II (pseudo-static cyclic testing), supported by material characterization (Phase I).</w:t>
      </w:r>
    </w:p>
    <w:p w14:paraId="671978D6" w14:textId="77777777" w:rsidR="004128FC" w:rsidRDefault="004128FC"/>
    <w:p w14:paraId="7262E975" w14:textId="77777777" w:rsidR="004128FC" w:rsidRDefault="006429D5">
      <w:pPr>
        <w:pStyle w:val="Heading1"/>
        <w:numPr>
          <w:ilvl w:val="0"/>
          <w:numId w:val="1"/>
        </w:numPr>
        <w:rPr>
          <w:rFonts w:ascii="Arial" w:eastAsia="Arial" w:hAnsi="Arial" w:cs="Arial"/>
        </w:rPr>
      </w:pPr>
      <w:r>
        <w:rPr>
          <w:rFonts w:ascii="Arial" w:eastAsia="Arial" w:hAnsi="Arial" w:cs="Arial"/>
        </w:rPr>
        <w:t xml:space="preserve">Materials and Methods </w:t>
      </w:r>
    </w:p>
    <w:p w14:paraId="57A31474" w14:textId="77777777" w:rsidR="004128FC" w:rsidRDefault="004128FC"/>
    <w:p w14:paraId="26549603" w14:textId="77777777" w:rsidR="004128FC" w:rsidRDefault="006429D5">
      <w:pPr>
        <w:pStyle w:val="Heading2"/>
        <w:numPr>
          <w:ilvl w:val="1"/>
          <w:numId w:val="1"/>
        </w:numPr>
        <w:rPr>
          <w:rFonts w:ascii="Arial" w:eastAsia="Arial" w:hAnsi="Arial" w:cs="Arial"/>
          <w:b/>
          <w:bCs/>
          <w:color w:val="000000"/>
          <w:sz w:val="20"/>
          <w:szCs w:val="20"/>
        </w:rPr>
      </w:pPr>
      <w:r>
        <w:rPr>
          <w:rFonts w:ascii="Arial" w:eastAsia="Arial" w:hAnsi="Arial" w:cs="Arial"/>
          <w:b/>
          <w:bCs/>
          <w:color w:val="000000"/>
          <w:sz w:val="20"/>
          <w:szCs w:val="20"/>
        </w:rPr>
        <w:t xml:space="preserve">Material Characterization </w:t>
      </w:r>
    </w:p>
    <w:p w14:paraId="58CBF3CD" w14:textId="77777777" w:rsidR="004128FC" w:rsidRDefault="006429D5">
      <w:r>
        <w:t>Mechanical properties of SC and AAC masonry systems were determined through experimental testing. The tests included compression, tensile splitting, and diagonal shear tests on masonry units and prisms. Key parameters obtained include compressive strength, elastic modulus, shear bond strength, and strain characteristics. AAC masonry exhibited lower density and stiffness compared to SC masonry, while SC systems demonstrated higher strength but greater variability in material properties.</w:t>
      </w:r>
    </w:p>
    <w:p w14:paraId="2354EF1E" w14:textId="77777777" w:rsidR="004128FC" w:rsidRDefault="004128FC"/>
    <w:p w14:paraId="0C661E1B" w14:textId="77777777" w:rsidR="004128FC" w:rsidRDefault="004128FC"/>
    <w:p w14:paraId="449D9ADF" w14:textId="77777777" w:rsidR="004128FC" w:rsidRDefault="006429D5">
      <w:pPr>
        <w:rPr>
          <w:b/>
          <w:bCs/>
        </w:rPr>
      </w:pPr>
      <w:r>
        <w:rPr>
          <w:b/>
          <w:bCs/>
        </w:rPr>
        <w:t>2.2 Experimental Program</w:t>
      </w:r>
    </w:p>
    <w:p w14:paraId="76DDB963" w14:textId="77777777" w:rsidR="004128FC" w:rsidRDefault="006429D5">
      <w:r>
        <w:t>The experimental study was carried out for several 1:3 scale two-story two-bay RC frame specimens as shown in Fig. 1, bare/ partially infilled with SC and AAC blocks. Pseudo-static cyclic tests were conducted using displacement-controlled loading protocols to capture hysteresis behavior. Instrumentation included load cells, displacement transducers, strain gauges, and accelerometers.</w:t>
      </w:r>
      <w:r>
        <w:rPr>
          <w:rFonts w:ascii="Times New Roman" w:eastAsia="Times New Roman" w:hAnsi="Times New Roman" w:cs="Times New Roman"/>
        </w:rPr>
        <w:t xml:space="preserve"> </w:t>
      </w:r>
      <w:r>
        <w:t>The fully bare RC frame was used as a reference frame to study the effect of burnt and unburnt masonry infills on the structural behavior of the RC frame.</w:t>
      </w:r>
      <w:r>
        <w:rPr>
          <w:rFonts w:ascii="Times New Roman" w:eastAsia="Times New Roman" w:hAnsi="Times New Roman" w:cs="Times New Roman"/>
        </w:rPr>
        <w:t xml:space="preserve"> </w:t>
      </w:r>
      <w:r>
        <w:t>On the other hand, the infilled test specimens were fully infilled on the left panels and remaining bare on the right panels of both stories. Table 1 shows the details of structural members of the test specimens.</w:t>
      </w:r>
    </w:p>
    <w:p w14:paraId="331DF1D8" w14:textId="77777777" w:rsidR="004128FC" w:rsidRDefault="004128FC"/>
    <w:p w14:paraId="1ED3AE15" w14:textId="77777777" w:rsidR="004128FC" w:rsidRDefault="006429D5">
      <w:pPr>
        <w:spacing w:line="276" w:lineRule="auto"/>
        <w:jc w:val="left"/>
      </w:pPr>
      <w:r>
        <w:t>Table 1: Geometric details of structural components of test specimens (All dimensions are in mm)</w:t>
      </w:r>
    </w:p>
    <w:tbl>
      <w:tblPr>
        <w:tblStyle w:val="a4"/>
        <w:tblW w:w="964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52"/>
        <w:gridCol w:w="3054"/>
        <w:gridCol w:w="2790"/>
        <w:gridCol w:w="2250"/>
      </w:tblGrid>
      <w:tr w:rsidR="004128FC" w14:paraId="6B2C9E24" w14:textId="77777777">
        <w:tc>
          <w:tcPr>
            <w:tcW w:w="1552" w:type="dxa"/>
            <w:tcBorders>
              <w:top w:val="single" w:sz="4" w:space="0" w:color="000000"/>
              <w:bottom w:val="single" w:sz="4" w:space="0" w:color="000000"/>
            </w:tcBorders>
          </w:tcPr>
          <w:p w14:paraId="39CA2176" w14:textId="77777777" w:rsidR="004128FC" w:rsidRDefault="006429D5">
            <w:pPr>
              <w:spacing w:line="276" w:lineRule="auto"/>
              <w:ind w:left="-468" w:right="-50"/>
              <w:jc w:val="center"/>
            </w:pPr>
            <w:r>
              <w:t>Components</w:t>
            </w:r>
          </w:p>
        </w:tc>
        <w:tc>
          <w:tcPr>
            <w:tcW w:w="3054" w:type="dxa"/>
            <w:tcBorders>
              <w:top w:val="single" w:sz="4" w:space="0" w:color="000000"/>
              <w:bottom w:val="single" w:sz="4" w:space="0" w:color="000000"/>
            </w:tcBorders>
          </w:tcPr>
          <w:p w14:paraId="1A7290CC" w14:textId="77777777" w:rsidR="004128FC" w:rsidRDefault="006429D5">
            <w:pPr>
              <w:spacing w:line="276" w:lineRule="auto"/>
              <w:ind w:left="-468" w:right="-108"/>
              <w:jc w:val="center"/>
            </w:pPr>
            <w:r>
              <w:t>Sectional dimension (mm)</w:t>
            </w:r>
          </w:p>
        </w:tc>
        <w:tc>
          <w:tcPr>
            <w:tcW w:w="2790" w:type="dxa"/>
            <w:tcBorders>
              <w:top w:val="single" w:sz="4" w:space="0" w:color="000000"/>
              <w:bottom w:val="single" w:sz="4" w:space="0" w:color="000000"/>
            </w:tcBorders>
          </w:tcPr>
          <w:p w14:paraId="3829AF49" w14:textId="77777777" w:rsidR="004128FC" w:rsidRDefault="006429D5">
            <w:pPr>
              <w:spacing w:line="276" w:lineRule="auto"/>
              <w:ind w:left="-468" w:right="-108"/>
              <w:jc w:val="center"/>
            </w:pPr>
            <w:r>
              <w:t>Longitudinal rebar (mm)</w:t>
            </w:r>
          </w:p>
        </w:tc>
        <w:tc>
          <w:tcPr>
            <w:tcW w:w="2250" w:type="dxa"/>
            <w:tcBorders>
              <w:top w:val="single" w:sz="4" w:space="0" w:color="000000"/>
              <w:bottom w:val="single" w:sz="4" w:space="0" w:color="000000"/>
            </w:tcBorders>
          </w:tcPr>
          <w:p w14:paraId="323660CE" w14:textId="77777777" w:rsidR="004128FC" w:rsidRDefault="006429D5">
            <w:pPr>
              <w:spacing w:line="276" w:lineRule="auto"/>
              <w:ind w:left="-468" w:right="-108"/>
              <w:jc w:val="center"/>
            </w:pPr>
            <w:r>
              <w:t>Transverse rebar(mm)</w:t>
            </w:r>
          </w:p>
        </w:tc>
      </w:tr>
      <w:tr w:rsidR="004128FC" w14:paraId="30CFBD8A" w14:textId="77777777">
        <w:tc>
          <w:tcPr>
            <w:tcW w:w="1552" w:type="dxa"/>
            <w:tcBorders>
              <w:top w:val="single" w:sz="4" w:space="0" w:color="000000"/>
            </w:tcBorders>
          </w:tcPr>
          <w:p w14:paraId="29BBCD15" w14:textId="77777777" w:rsidR="004128FC" w:rsidRDefault="006429D5">
            <w:pPr>
              <w:spacing w:line="276" w:lineRule="auto"/>
              <w:ind w:left="-360"/>
              <w:jc w:val="center"/>
            </w:pPr>
            <w:r>
              <w:t>Column</w:t>
            </w:r>
          </w:p>
        </w:tc>
        <w:tc>
          <w:tcPr>
            <w:tcW w:w="3054" w:type="dxa"/>
            <w:tcBorders>
              <w:top w:val="single" w:sz="4" w:space="0" w:color="000000"/>
            </w:tcBorders>
          </w:tcPr>
          <w:p w14:paraId="24B757CD" w14:textId="77777777" w:rsidR="004128FC" w:rsidRDefault="006429D5">
            <w:pPr>
              <w:spacing w:line="276" w:lineRule="auto"/>
              <w:ind w:left="-360"/>
              <w:jc w:val="center"/>
            </w:pPr>
            <w:r>
              <w:t>150×150</w:t>
            </w:r>
          </w:p>
        </w:tc>
        <w:tc>
          <w:tcPr>
            <w:tcW w:w="2790" w:type="dxa"/>
            <w:tcBorders>
              <w:top w:val="single" w:sz="4" w:space="0" w:color="000000"/>
            </w:tcBorders>
          </w:tcPr>
          <w:p w14:paraId="28B01DA7" w14:textId="77777777" w:rsidR="004128FC" w:rsidRDefault="006429D5">
            <w:pPr>
              <w:spacing w:line="276" w:lineRule="auto"/>
              <w:ind w:left="-360"/>
              <w:jc w:val="center"/>
            </w:pPr>
            <w:r>
              <w:t>4-10ϕ</w:t>
            </w:r>
          </w:p>
        </w:tc>
        <w:tc>
          <w:tcPr>
            <w:tcW w:w="2250" w:type="dxa"/>
            <w:tcBorders>
              <w:top w:val="single" w:sz="4" w:space="0" w:color="000000"/>
            </w:tcBorders>
          </w:tcPr>
          <w:p w14:paraId="076E62C4" w14:textId="77777777" w:rsidR="004128FC" w:rsidRDefault="006429D5">
            <w:pPr>
              <w:spacing w:line="276" w:lineRule="auto"/>
              <w:ind w:left="-360"/>
              <w:jc w:val="center"/>
            </w:pPr>
            <w:r>
              <w:t>ϕ8@100c/c</w:t>
            </w:r>
          </w:p>
        </w:tc>
      </w:tr>
      <w:tr w:rsidR="004128FC" w14:paraId="3E93680A" w14:textId="77777777">
        <w:tc>
          <w:tcPr>
            <w:tcW w:w="1552" w:type="dxa"/>
          </w:tcPr>
          <w:p w14:paraId="2CA723C9" w14:textId="77777777" w:rsidR="004128FC" w:rsidRDefault="006429D5">
            <w:pPr>
              <w:spacing w:line="276" w:lineRule="auto"/>
              <w:ind w:left="-360"/>
              <w:jc w:val="center"/>
            </w:pPr>
            <w:r>
              <w:t>Beam</w:t>
            </w:r>
          </w:p>
        </w:tc>
        <w:tc>
          <w:tcPr>
            <w:tcW w:w="3054" w:type="dxa"/>
          </w:tcPr>
          <w:p w14:paraId="2314A8E4" w14:textId="77777777" w:rsidR="004128FC" w:rsidRDefault="006429D5">
            <w:pPr>
              <w:spacing w:line="276" w:lineRule="auto"/>
              <w:ind w:left="-360"/>
              <w:jc w:val="center"/>
            </w:pPr>
            <w:r>
              <w:t>150×250</w:t>
            </w:r>
          </w:p>
        </w:tc>
        <w:tc>
          <w:tcPr>
            <w:tcW w:w="2790" w:type="dxa"/>
          </w:tcPr>
          <w:p w14:paraId="6AA0089E" w14:textId="77777777" w:rsidR="004128FC" w:rsidRDefault="006429D5">
            <w:pPr>
              <w:spacing w:line="276" w:lineRule="auto"/>
              <w:ind w:left="-360"/>
              <w:jc w:val="center"/>
            </w:pPr>
            <w:r>
              <w:t>6-12ϕ</w:t>
            </w:r>
          </w:p>
        </w:tc>
        <w:tc>
          <w:tcPr>
            <w:tcW w:w="2250" w:type="dxa"/>
          </w:tcPr>
          <w:p w14:paraId="187794C7" w14:textId="77777777" w:rsidR="004128FC" w:rsidRDefault="006429D5">
            <w:pPr>
              <w:spacing w:line="276" w:lineRule="auto"/>
              <w:ind w:left="-360"/>
              <w:jc w:val="center"/>
            </w:pPr>
            <w:r>
              <w:t>ϕ8@100c/c</w:t>
            </w:r>
          </w:p>
        </w:tc>
      </w:tr>
      <w:tr w:rsidR="004128FC" w14:paraId="602B8295" w14:textId="77777777">
        <w:tc>
          <w:tcPr>
            <w:tcW w:w="1552" w:type="dxa"/>
            <w:tcBorders>
              <w:bottom w:val="single" w:sz="4" w:space="0" w:color="000000"/>
            </w:tcBorders>
          </w:tcPr>
          <w:p w14:paraId="380B27FE" w14:textId="77777777" w:rsidR="004128FC" w:rsidRDefault="006429D5">
            <w:pPr>
              <w:spacing w:line="276" w:lineRule="auto"/>
              <w:ind w:left="-360"/>
              <w:jc w:val="center"/>
            </w:pPr>
            <w:r>
              <w:t>Base</w:t>
            </w:r>
          </w:p>
        </w:tc>
        <w:tc>
          <w:tcPr>
            <w:tcW w:w="3054" w:type="dxa"/>
            <w:tcBorders>
              <w:bottom w:val="single" w:sz="4" w:space="0" w:color="000000"/>
            </w:tcBorders>
          </w:tcPr>
          <w:p w14:paraId="1F0A0561" w14:textId="77777777" w:rsidR="004128FC" w:rsidRDefault="006429D5">
            <w:pPr>
              <w:spacing w:line="276" w:lineRule="auto"/>
              <w:ind w:left="-360"/>
              <w:jc w:val="center"/>
            </w:pPr>
            <w:r>
              <w:t>450×400</w:t>
            </w:r>
          </w:p>
        </w:tc>
        <w:tc>
          <w:tcPr>
            <w:tcW w:w="2790" w:type="dxa"/>
            <w:tcBorders>
              <w:bottom w:val="single" w:sz="4" w:space="0" w:color="000000"/>
            </w:tcBorders>
          </w:tcPr>
          <w:p w14:paraId="5E7D265D" w14:textId="77777777" w:rsidR="004128FC" w:rsidRDefault="006429D5">
            <w:pPr>
              <w:spacing w:line="276" w:lineRule="auto"/>
              <w:ind w:left="-360"/>
              <w:jc w:val="center"/>
            </w:pPr>
            <w:r>
              <w:t>12-12ϕ</w:t>
            </w:r>
          </w:p>
        </w:tc>
        <w:tc>
          <w:tcPr>
            <w:tcW w:w="2250" w:type="dxa"/>
            <w:tcBorders>
              <w:bottom w:val="single" w:sz="4" w:space="0" w:color="000000"/>
            </w:tcBorders>
          </w:tcPr>
          <w:p w14:paraId="0235AC9C" w14:textId="77777777" w:rsidR="004128FC" w:rsidRDefault="006429D5">
            <w:pPr>
              <w:spacing w:line="276" w:lineRule="auto"/>
              <w:ind w:left="-360"/>
              <w:jc w:val="center"/>
            </w:pPr>
            <w:r>
              <w:t>ϕ6@75c/c</w:t>
            </w:r>
          </w:p>
        </w:tc>
      </w:tr>
    </w:tbl>
    <w:p w14:paraId="003D8AE4" w14:textId="77777777" w:rsidR="004128FC" w:rsidRDefault="004128FC"/>
    <w:p w14:paraId="54060180" w14:textId="77777777" w:rsidR="004128FC" w:rsidRDefault="006429D5">
      <w:r>
        <w:rPr>
          <w:noProof/>
        </w:rPr>
        <w:drawing>
          <wp:inline distT="0" distB="0" distL="0" distR="0" wp14:anchorId="76BD27B6" wp14:editId="51A9651B">
            <wp:extent cx="2533073" cy="1169731"/>
            <wp:effectExtent l="0" t="0" r="0" b="0"/>
            <wp:docPr id="10" name="image4.png" descr="H:\Raihan's Office PC-24.09.24\Updated files\Publication 21 (to be published)\Publication Work\Drawings\JF_2.bmp"/>
            <wp:cNvGraphicFramePr/>
            <a:graphic xmlns:a="http://schemas.openxmlformats.org/drawingml/2006/main">
              <a:graphicData uri="http://schemas.openxmlformats.org/drawingml/2006/picture">
                <pic:pic xmlns:pic="http://schemas.openxmlformats.org/drawingml/2006/picture">
                  <pic:nvPicPr>
                    <pic:cNvPr id="0" name="image4.png" descr="H:\Raihan's Office PC-24.09.24\Updated files\Publication 21 (to be published)\Publication Work\Drawings\JF_2.bmp"/>
                    <pic:cNvPicPr preferRelativeResize="0"/>
                  </pic:nvPicPr>
                  <pic:blipFill>
                    <a:blip r:embed="rId8"/>
                    <a:srcRect/>
                    <a:stretch>
                      <a:fillRect/>
                    </a:stretch>
                  </pic:blipFill>
                  <pic:spPr>
                    <a:xfrm>
                      <a:off x="0" y="0"/>
                      <a:ext cx="2533073" cy="1169731"/>
                    </a:xfrm>
                    <a:prstGeom prst="rect">
                      <a:avLst/>
                    </a:prstGeom>
                    <a:ln/>
                  </pic:spPr>
                </pic:pic>
              </a:graphicData>
            </a:graphic>
          </wp:inline>
        </w:drawing>
      </w:r>
      <w:r>
        <w:rPr>
          <w:noProof/>
        </w:rPr>
        <w:drawing>
          <wp:inline distT="0" distB="0" distL="0" distR="0" wp14:anchorId="6A989D8A" wp14:editId="7BE0A413">
            <wp:extent cx="1382707" cy="1054402"/>
            <wp:effectExtent l="0" t="0" r="0" b="0"/>
            <wp:docPr id="13" name="image2.png" descr="F:\Updated files\Publication 21 (to be published)\Publication Work\Drawings\JF_3.png"/>
            <wp:cNvGraphicFramePr/>
            <a:graphic xmlns:a="http://schemas.openxmlformats.org/drawingml/2006/main">
              <a:graphicData uri="http://schemas.openxmlformats.org/drawingml/2006/picture">
                <pic:pic xmlns:pic="http://schemas.openxmlformats.org/drawingml/2006/picture">
                  <pic:nvPicPr>
                    <pic:cNvPr id="0" name="image2.png" descr="F:\Updated files\Publication 21 (to be published)\Publication Work\Drawings\JF_3.png"/>
                    <pic:cNvPicPr preferRelativeResize="0"/>
                  </pic:nvPicPr>
                  <pic:blipFill>
                    <a:blip r:embed="rId9"/>
                    <a:srcRect/>
                    <a:stretch>
                      <a:fillRect/>
                    </a:stretch>
                  </pic:blipFill>
                  <pic:spPr>
                    <a:xfrm>
                      <a:off x="0" y="0"/>
                      <a:ext cx="1382707" cy="1054402"/>
                    </a:xfrm>
                    <a:prstGeom prst="rect">
                      <a:avLst/>
                    </a:prstGeom>
                    <a:ln/>
                  </pic:spPr>
                </pic:pic>
              </a:graphicData>
            </a:graphic>
          </wp:inline>
        </w:drawing>
      </w:r>
      <w:r>
        <w:rPr>
          <w:noProof/>
        </w:rPr>
        <w:drawing>
          <wp:inline distT="0" distB="0" distL="0" distR="0" wp14:anchorId="74037126" wp14:editId="4318AF92">
            <wp:extent cx="1393411" cy="1094424"/>
            <wp:effectExtent l="0" t="0" r="0" b="0"/>
            <wp:docPr id="11" name="image7.png" descr="H:\Raihan's Office PC-26.07.24\Updated files\Publication 19 (to be published)\ICACE 2024\Research Work\Drawings\Steel strain gauge locations_2S2B-SBIRCF.bmp"/>
            <wp:cNvGraphicFramePr/>
            <a:graphic xmlns:a="http://schemas.openxmlformats.org/drawingml/2006/main">
              <a:graphicData uri="http://schemas.openxmlformats.org/drawingml/2006/picture">
                <pic:pic xmlns:pic="http://schemas.openxmlformats.org/drawingml/2006/picture">
                  <pic:nvPicPr>
                    <pic:cNvPr id="0" name="image7.png" descr="H:\Raihan's Office PC-26.07.24\Updated files\Publication 19 (to be published)\ICACE 2024\Research Work\Drawings\Steel strain gauge locations_2S2B-SBIRCF.bmp"/>
                    <pic:cNvPicPr preferRelativeResize="0"/>
                  </pic:nvPicPr>
                  <pic:blipFill>
                    <a:blip r:embed="rId10"/>
                    <a:srcRect/>
                    <a:stretch>
                      <a:fillRect/>
                    </a:stretch>
                  </pic:blipFill>
                  <pic:spPr>
                    <a:xfrm>
                      <a:off x="0" y="0"/>
                      <a:ext cx="1393411" cy="1094424"/>
                    </a:xfrm>
                    <a:prstGeom prst="rect">
                      <a:avLst/>
                    </a:prstGeom>
                    <a:ln/>
                  </pic:spPr>
                </pic:pic>
              </a:graphicData>
            </a:graphic>
          </wp:inline>
        </w:drawing>
      </w:r>
    </w:p>
    <w:p w14:paraId="05747FF2" w14:textId="77777777" w:rsidR="004128FC" w:rsidRDefault="006429D5">
      <w:pPr>
        <w:numPr>
          <w:ilvl w:val="0"/>
          <w:numId w:val="2"/>
        </w:numPr>
        <w:pBdr>
          <w:top w:val="nil"/>
          <w:left w:val="nil"/>
          <w:bottom w:val="nil"/>
          <w:right w:val="nil"/>
          <w:between w:val="nil"/>
        </w:pBdr>
        <w:tabs>
          <w:tab w:val="left" w:pos="1050"/>
        </w:tabs>
        <w:rPr>
          <w:color w:val="000000"/>
        </w:rPr>
      </w:pPr>
      <w:r>
        <w:rPr>
          <w:color w:val="000000"/>
        </w:rPr>
        <w:t xml:space="preserve">Bare frame            </w:t>
      </w:r>
      <w:proofErr w:type="gramStart"/>
      <w:r>
        <w:rPr>
          <w:color w:val="000000"/>
        </w:rPr>
        <w:t xml:space="preserve">   (</w:t>
      </w:r>
      <w:proofErr w:type="gramEnd"/>
      <w:r>
        <w:rPr>
          <w:color w:val="000000"/>
        </w:rPr>
        <w:t>b) Infilled frame                 (a) Experimental setup      (b) Strain gauge locations</w:t>
      </w:r>
    </w:p>
    <w:p w14:paraId="615D0CC0" w14:textId="77777777" w:rsidR="004128FC" w:rsidRDefault="004128FC">
      <w:pPr>
        <w:tabs>
          <w:tab w:val="left" w:pos="1050"/>
        </w:tabs>
        <w:ind w:left="360"/>
      </w:pPr>
    </w:p>
    <w:p w14:paraId="49BF1789" w14:textId="77777777" w:rsidR="004128FC" w:rsidRDefault="006429D5">
      <w:pPr>
        <w:spacing w:line="276" w:lineRule="auto"/>
        <w:jc w:val="left"/>
        <w:rPr>
          <w:rFonts w:ascii="Times New Roman" w:eastAsia="Times New Roman" w:hAnsi="Times New Roman" w:cs="Times New Roman"/>
          <w:color w:val="000000"/>
        </w:rPr>
      </w:pPr>
      <w:r>
        <w:rPr>
          <w:color w:val="000000"/>
        </w:rPr>
        <w:t>Figure 1: Geometry of t</w:t>
      </w:r>
      <w:r>
        <w:t xml:space="preserve">est specimens                         </w:t>
      </w:r>
      <w:r>
        <w:rPr>
          <w:color w:val="000000"/>
        </w:rPr>
        <w:t>Figure 2: Experimental setup and instrumentation layout</w:t>
      </w:r>
    </w:p>
    <w:p w14:paraId="42F6D14A" w14:textId="77777777" w:rsidR="004128FC" w:rsidRDefault="004128FC">
      <w:pPr>
        <w:spacing w:line="276" w:lineRule="auto"/>
        <w:jc w:val="left"/>
      </w:pPr>
    </w:p>
    <w:p w14:paraId="11C7DAA7" w14:textId="77777777" w:rsidR="004128FC" w:rsidRDefault="004128FC">
      <w:pPr>
        <w:rPr>
          <w:color w:val="000000"/>
        </w:rPr>
      </w:pPr>
    </w:p>
    <w:p w14:paraId="3B1BF92F" w14:textId="77777777" w:rsidR="004128FC" w:rsidRDefault="006429D5">
      <w:pPr>
        <w:rPr>
          <w:b/>
          <w:bCs/>
        </w:rPr>
      </w:pPr>
      <w:r>
        <w:rPr>
          <w:b/>
          <w:bCs/>
        </w:rPr>
        <w:t>3. RESULTS AND DISCUSSION</w:t>
      </w:r>
    </w:p>
    <w:p w14:paraId="3B33429C" w14:textId="77777777" w:rsidR="004128FC" w:rsidRDefault="004128FC"/>
    <w:p w14:paraId="388F3FE7" w14:textId="77777777" w:rsidR="004128FC" w:rsidRDefault="006429D5">
      <w:pPr>
        <w:rPr>
          <w:b/>
          <w:bCs/>
        </w:rPr>
      </w:pPr>
      <w:r>
        <w:rPr>
          <w:b/>
          <w:bCs/>
        </w:rPr>
        <w:t>3.1 Structural Response</w:t>
      </w:r>
    </w:p>
    <w:p w14:paraId="2E955E1D" w14:textId="77777777" w:rsidR="004128FC" w:rsidRDefault="006429D5">
      <w:r>
        <w:t xml:space="preserve">Both SC and AAC infill systems significantly increased the lateral stiffness and strength of RC frames compared to the bare frame. SC infilled frames exhibited higher initial stiffness and peak strength, while AAC infilled frames showed greater deformability. The bare frame specimen (2S2B_BRCF) demonstrated low lateral resistance (62.7 </w:t>
      </w:r>
      <w:proofErr w:type="spellStart"/>
      <w:r>
        <w:t>kN</w:t>
      </w:r>
      <w:proofErr w:type="spellEnd"/>
      <w:r>
        <w:t xml:space="preserve"> at 1.44% drift) with stable hysteretic behavior up to 3% drift, indicating ductile response. In contrast, the burnt brick infilled frame (2S2B_BCB_IRCF) showed significantly higher strength (116.7 </w:t>
      </w:r>
      <w:proofErr w:type="spellStart"/>
      <w:r>
        <w:t>kN</w:t>
      </w:r>
      <w:proofErr w:type="spellEnd"/>
      <w:r>
        <w:t xml:space="preserve">) but failed in a brittle manner at about 1.65% drift. The unburnt block infilled frame (2S2B_USB_IRCF) exhibited intermediate strength (105 </w:t>
      </w:r>
      <w:proofErr w:type="spellStart"/>
      <w:r>
        <w:t>kN</w:t>
      </w:r>
      <w:proofErr w:type="spellEnd"/>
      <w:r>
        <w:t>) with improved displacement capacity compared to the burnt brick system. Although a strength drop occurred after peak loading, the specimen maintained better deformability due to higher compressive capacity observed in material tests.</w:t>
      </w:r>
    </w:p>
    <w:p w14:paraId="5541800F" w14:textId="77777777" w:rsidR="004128FC" w:rsidRDefault="006429D5">
      <w:pPr>
        <w:rPr>
          <w:b/>
          <w:bCs/>
        </w:rPr>
      </w:pPr>
      <w:r>
        <w:rPr>
          <w:b/>
          <w:bCs/>
        </w:rPr>
        <w:lastRenderedPageBreak/>
        <w:t>3.2 Stiffness Degradation and Energy Dissipation</w:t>
      </w:r>
    </w:p>
    <w:p w14:paraId="7CB29576" w14:textId="77777777" w:rsidR="004128FC" w:rsidRDefault="006429D5">
      <w:pPr>
        <w:rPr>
          <w:color w:val="000000"/>
        </w:rPr>
      </w:pPr>
      <w:r>
        <w:rPr>
          <w:color w:val="000000"/>
        </w:rPr>
        <w:t xml:space="preserve">Cyclic test results showed progressive stiffness degradation in both systems. SC infills exhibited higher energy dissipation due to stronger bonding, while AAC systems showed pinching behavior and reduced hysteretic energy. Hysteretic responses (Figure 2) were used to evaluate stiffness degradation (Figure 3), energy dissipation (Figure 4) and equivalent viscous damping </w:t>
      </w:r>
      <w:proofErr w:type="gramStart"/>
      <w:r>
        <w:t>ratio</w:t>
      </w:r>
      <w:r>
        <w:rPr>
          <w:color w:val="000000"/>
        </w:rPr>
        <w:t>,  based</w:t>
      </w:r>
      <w:proofErr w:type="gramEnd"/>
      <w:r>
        <w:rPr>
          <w:color w:val="000000"/>
        </w:rPr>
        <w:t xml:space="preserve"> on mean values from both loading directions. The burnt brick infilled specimen showed brittle post-peak degradation and failed at an ultimate drift of about 1.65%. In contrast, the SC infilled specimen demonstrated significantly higher ductility </w:t>
      </w:r>
      <w:proofErr w:type="gramStart"/>
      <w:r>
        <w:rPr>
          <w:color w:val="000000"/>
        </w:rPr>
        <w:t>( about</w:t>
      </w:r>
      <w:proofErr w:type="gramEnd"/>
      <w:r>
        <w:rPr>
          <w:color w:val="000000"/>
        </w:rPr>
        <w:t xml:space="preserve"> 1.6 times) (Figure 2) and reached an ultimate drift of 3.0%, indicating superior displacement capacity and improved seismic performance.</w:t>
      </w:r>
    </w:p>
    <w:p w14:paraId="6A1CC414" w14:textId="77777777" w:rsidR="004128FC" w:rsidRDefault="004128FC"/>
    <w:tbl>
      <w:tblPr>
        <w:tblStyle w:val="a5"/>
        <w:tblpPr w:leftFromText="180" w:rightFromText="180" w:vertAnchor="text" w:tblpY="120"/>
        <w:tblW w:w="98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18"/>
        <w:gridCol w:w="5310"/>
      </w:tblGrid>
      <w:tr w:rsidR="004128FC" w14:paraId="20B5A567" w14:textId="77777777">
        <w:tc>
          <w:tcPr>
            <w:tcW w:w="4518" w:type="dxa"/>
          </w:tcPr>
          <w:p w14:paraId="6C9B28FA" w14:textId="77777777" w:rsidR="004128FC" w:rsidRDefault="006429D5">
            <w:pPr>
              <w:spacing w:line="276" w:lineRule="auto"/>
              <w:jc w:val="left"/>
              <w:rPr>
                <w:rFonts w:ascii="Aptos" w:eastAsia="Aptos" w:hAnsi="Aptos" w:cs="Aptos"/>
                <w:b/>
                <w:bCs/>
                <w:color w:val="000000"/>
              </w:rPr>
            </w:pPr>
            <w:r>
              <w:rPr>
                <w:rFonts w:ascii="Aptos" w:eastAsia="Aptos" w:hAnsi="Aptos" w:cs="Aptos"/>
                <w:b/>
                <w:bCs/>
                <w:noProof/>
                <w:color w:val="000000"/>
              </w:rPr>
              <w:drawing>
                <wp:inline distT="0" distB="0" distL="0" distR="0" wp14:anchorId="25145C1E" wp14:editId="191EA9D7">
                  <wp:extent cx="2381250" cy="2006777"/>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381250" cy="2006777"/>
                          </a:xfrm>
                          <a:prstGeom prst="rect">
                            <a:avLst/>
                          </a:prstGeom>
                          <a:ln/>
                        </pic:spPr>
                      </pic:pic>
                    </a:graphicData>
                  </a:graphic>
                </wp:inline>
              </w:drawing>
            </w:r>
          </w:p>
        </w:tc>
        <w:tc>
          <w:tcPr>
            <w:tcW w:w="5310" w:type="dxa"/>
          </w:tcPr>
          <w:p w14:paraId="177FE660" w14:textId="77777777" w:rsidR="004128FC" w:rsidRDefault="006429D5">
            <w:pPr>
              <w:spacing w:line="276" w:lineRule="auto"/>
              <w:jc w:val="left"/>
              <w:rPr>
                <w:rFonts w:ascii="Aptos" w:eastAsia="Aptos" w:hAnsi="Aptos" w:cs="Aptos"/>
                <w:b/>
                <w:bCs/>
                <w:color w:val="000000"/>
              </w:rPr>
            </w:pPr>
            <w:r>
              <w:rPr>
                <w:rFonts w:ascii="Aptos" w:eastAsia="Aptos" w:hAnsi="Aptos" w:cs="Aptos"/>
                <w:b/>
                <w:bCs/>
                <w:noProof/>
                <w:color w:val="000000"/>
              </w:rPr>
              <w:drawing>
                <wp:inline distT="0" distB="0" distL="0" distR="0" wp14:anchorId="486666C3" wp14:editId="1B810F86">
                  <wp:extent cx="2838450" cy="184785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838450" cy="1847850"/>
                          </a:xfrm>
                          <a:prstGeom prst="rect">
                            <a:avLst/>
                          </a:prstGeom>
                          <a:ln/>
                        </pic:spPr>
                      </pic:pic>
                    </a:graphicData>
                  </a:graphic>
                </wp:inline>
              </w:drawing>
            </w:r>
          </w:p>
        </w:tc>
      </w:tr>
      <w:tr w:rsidR="004128FC" w14:paraId="3E7A2446" w14:textId="77777777">
        <w:tc>
          <w:tcPr>
            <w:tcW w:w="4518" w:type="dxa"/>
          </w:tcPr>
          <w:p w14:paraId="7397208E" w14:textId="77777777" w:rsidR="004128FC" w:rsidRDefault="006429D5">
            <w:pPr>
              <w:spacing w:line="276" w:lineRule="auto"/>
              <w:jc w:val="left"/>
              <w:rPr>
                <w:rFonts w:ascii="Arial" w:eastAsia="Arial" w:hAnsi="Arial" w:cs="Arial"/>
                <w:b/>
                <w:bCs/>
                <w:color w:val="000000"/>
              </w:rPr>
            </w:pPr>
            <w:proofErr w:type="gramStart"/>
            <w:r>
              <w:rPr>
                <w:rFonts w:ascii="Arial" w:eastAsia="Arial" w:hAnsi="Arial" w:cs="Arial"/>
                <w:color w:val="000000"/>
              </w:rPr>
              <w:t>Figure  2</w:t>
            </w:r>
            <w:proofErr w:type="gramEnd"/>
            <w:r>
              <w:rPr>
                <w:rFonts w:ascii="Arial" w:eastAsia="Arial" w:hAnsi="Arial" w:cs="Arial"/>
                <w:color w:val="000000"/>
              </w:rPr>
              <w:t>: Lateral force- story drift curves of  three specimens</w:t>
            </w:r>
          </w:p>
        </w:tc>
        <w:tc>
          <w:tcPr>
            <w:tcW w:w="5310" w:type="dxa"/>
          </w:tcPr>
          <w:p w14:paraId="07C8D403" w14:textId="77777777" w:rsidR="004128FC" w:rsidRDefault="006429D5">
            <w:pPr>
              <w:spacing w:line="276" w:lineRule="auto"/>
              <w:jc w:val="center"/>
              <w:rPr>
                <w:rFonts w:ascii="Arial" w:eastAsia="Arial" w:hAnsi="Arial" w:cs="Arial"/>
              </w:rPr>
            </w:pPr>
            <w:r>
              <w:rPr>
                <w:rFonts w:ascii="Arial" w:eastAsia="Arial" w:hAnsi="Arial" w:cs="Arial"/>
              </w:rPr>
              <w:t>Figure 3:</w:t>
            </w:r>
            <w:r>
              <w:rPr>
                <w:rFonts w:ascii="Arial" w:eastAsia="Arial" w:hAnsi="Arial" w:cs="Arial"/>
                <w:b/>
                <w:bCs/>
              </w:rPr>
              <w:t xml:space="preserve"> </w:t>
            </w:r>
            <w:r>
              <w:rPr>
                <w:rFonts w:ascii="Arial" w:eastAsia="Arial" w:hAnsi="Arial" w:cs="Arial"/>
              </w:rPr>
              <w:t>Stiffness degradation of three specimens</w:t>
            </w:r>
          </w:p>
        </w:tc>
      </w:tr>
    </w:tbl>
    <w:p w14:paraId="6ECE5935" w14:textId="77777777" w:rsidR="004128FC" w:rsidRDefault="004128FC"/>
    <w:tbl>
      <w:tblPr>
        <w:tblStyle w:val="a6"/>
        <w:tblW w:w="979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896"/>
        <w:gridCol w:w="4896"/>
      </w:tblGrid>
      <w:tr w:rsidR="004128FC" w14:paraId="4F0D9B07" w14:textId="77777777">
        <w:tc>
          <w:tcPr>
            <w:tcW w:w="4896" w:type="dxa"/>
          </w:tcPr>
          <w:p w14:paraId="7D4146E7" w14:textId="77777777" w:rsidR="004128FC" w:rsidRDefault="006429D5">
            <w:pPr>
              <w:spacing w:line="276" w:lineRule="auto"/>
            </w:pPr>
            <w:r>
              <w:rPr>
                <w:noProof/>
              </w:rPr>
              <w:drawing>
                <wp:inline distT="0" distB="0" distL="0" distR="0" wp14:anchorId="413D4280" wp14:editId="662CF287">
                  <wp:extent cx="2819400" cy="178117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819400" cy="1781175"/>
                          </a:xfrm>
                          <a:prstGeom prst="rect">
                            <a:avLst/>
                          </a:prstGeom>
                          <a:ln/>
                        </pic:spPr>
                      </pic:pic>
                    </a:graphicData>
                  </a:graphic>
                </wp:inline>
              </w:drawing>
            </w:r>
          </w:p>
        </w:tc>
        <w:tc>
          <w:tcPr>
            <w:tcW w:w="4896" w:type="dxa"/>
          </w:tcPr>
          <w:p w14:paraId="4C4A0779" w14:textId="77777777" w:rsidR="004128FC" w:rsidRDefault="006429D5">
            <w:pPr>
              <w:spacing w:line="276" w:lineRule="auto"/>
            </w:pPr>
            <w:r>
              <w:rPr>
                <w:noProof/>
              </w:rPr>
              <w:drawing>
                <wp:inline distT="0" distB="0" distL="0" distR="0" wp14:anchorId="65611090" wp14:editId="57C55740">
                  <wp:extent cx="2590800" cy="169545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590800" cy="1695450"/>
                          </a:xfrm>
                          <a:prstGeom prst="rect">
                            <a:avLst/>
                          </a:prstGeom>
                          <a:ln/>
                        </pic:spPr>
                      </pic:pic>
                    </a:graphicData>
                  </a:graphic>
                </wp:inline>
              </w:drawing>
            </w:r>
          </w:p>
        </w:tc>
      </w:tr>
      <w:tr w:rsidR="004128FC" w14:paraId="1760D456" w14:textId="77777777">
        <w:tc>
          <w:tcPr>
            <w:tcW w:w="4896" w:type="dxa"/>
          </w:tcPr>
          <w:p w14:paraId="58012EDD" w14:textId="77777777" w:rsidR="004128FC" w:rsidRDefault="006429D5">
            <w:pPr>
              <w:spacing w:line="276" w:lineRule="auto"/>
              <w:jc w:val="center"/>
              <w:rPr>
                <w:rFonts w:ascii="Arial" w:eastAsia="Arial" w:hAnsi="Arial" w:cs="Arial"/>
                <w:vertAlign w:val="subscript"/>
              </w:rPr>
            </w:pPr>
            <w:r>
              <w:rPr>
                <w:rFonts w:ascii="Arial" w:eastAsia="Arial" w:hAnsi="Arial" w:cs="Arial"/>
              </w:rPr>
              <w:t>Figure 4:</w:t>
            </w:r>
            <w:r>
              <w:rPr>
                <w:rFonts w:ascii="Arial" w:eastAsia="Arial" w:hAnsi="Arial" w:cs="Arial"/>
                <w:b/>
                <w:bCs/>
              </w:rPr>
              <w:t xml:space="preserve"> </w:t>
            </w:r>
            <w:r>
              <w:rPr>
                <w:rFonts w:ascii="Arial" w:eastAsia="Arial" w:hAnsi="Arial" w:cs="Arial"/>
              </w:rPr>
              <w:t xml:space="preserve">Cumulative energy dissipation </w:t>
            </w:r>
            <w:proofErr w:type="gramStart"/>
            <w:r>
              <w:rPr>
                <w:rFonts w:ascii="Arial" w:eastAsia="Arial" w:hAnsi="Arial" w:cs="Arial"/>
                <w:color w:val="000000"/>
              </w:rPr>
              <w:t>of  three</w:t>
            </w:r>
            <w:proofErr w:type="gramEnd"/>
            <w:r>
              <w:rPr>
                <w:rFonts w:ascii="Arial" w:eastAsia="Arial" w:hAnsi="Arial" w:cs="Arial"/>
                <w:color w:val="000000"/>
              </w:rPr>
              <w:t xml:space="preserve"> </w:t>
            </w:r>
            <w:r>
              <w:rPr>
                <w:rFonts w:ascii="Arial" w:eastAsia="Arial" w:hAnsi="Arial" w:cs="Arial"/>
              </w:rPr>
              <w:t>specimens</w:t>
            </w:r>
          </w:p>
        </w:tc>
        <w:tc>
          <w:tcPr>
            <w:tcW w:w="4896" w:type="dxa"/>
          </w:tcPr>
          <w:p w14:paraId="406FAD86" w14:textId="77777777" w:rsidR="004128FC" w:rsidRDefault="006429D5">
            <w:pPr>
              <w:spacing w:line="276" w:lineRule="auto"/>
              <w:jc w:val="center"/>
              <w:rPr>
                <w:rFonts w:ascii="Arial" w:eastAsia="Arial" w:hAnsi="Arial" w:cs="Arial"/>
              </w:rPr>
            </w:pPr>
            <w:r>
              <w:rPr>
                <w:rFonts w:ascii="Arial" w:eastAsia="Arial" w:hAnsi="Arial" w:cs="Arial"/>
              </w:rPr>
              <w:t>Figure 5:</w:t>
            </w:r>
            <w:r>
              <w:rPr>
                <w:rFonts w:ascii="Arial" w:eastAsia="Arial" w:hAnsi="Arial" w:cs="Arial"/>
                <w:b/>
                <w:bCs/>
              </w:rPr>
              <w:t xml:space="preserve"> </w:t>
            </w:r>
            <w:r>
              <w:rPr>
                <w:rFonts w:ascii="Arial" w:eastAsia="Arial" w:hAnsi="Arial" w:cs="Arial"/>
              </w:rPr>
              <w:t xml:space="preserve">Equivalent viscous damping ratio </w:t>
            </w:r>
            <w:proofErr w:type="gramStart"/>
            <w:r>
              <w:rPr>
                <w:rFonts w:ascii="Arial" w:eastAsia="Arial" w:hAnsi="Arial" w:cs="Arial"/>
                <w:color w:val="000000"/>
              </w:rPr>
              <w:t>of  three</w:t>
            </w:r>
            <w:proofErr w:type="gramEnd"/>
            <w:r>
              <w:rPr>
                <w:rFonts w:ascii="Arial" w:eastAsia="Arial" w:hAnsi="Arial" w:cs="Arial"/>
                <w:color w:val="000000"/>
              </w:rPr>
              <w:t xml:space="preserve"> </w:t>
            </w:r>
            <w:r>
              <w:rPr>
                <w:rFonts w:ascii="Arial" w:eastAsia="Arial" w:hAnsi="Arial" w:cs="Arial"/>
              </w:rPr>
              <w:t>specimens</w:t>
            </w:r>
          </w:p>
        </w:tc>
      </w:tr>
    </w:tbl>
    <w:p w14:paraId="78BE94DF" w14:textId="77777777" w:rsidR="004128FC" w:rsidRDefault="004128FC">
      <w:pPr>
        <w:rPr>
          <w:b/>
          <w:bCs/>
        </w:rPr>
      </w:pPr>
    </w:p>
    <w:p w14:paraId="4262209A" w14:textId="77777777" w:rsidR="004128FC" w:rsidRDefault="006429D5">
      <w:pPr>
        <w:rPr>
          <w:b/>
          <w:bCs/>
        </w:rPr>
      </w:pPr>
      <w:r>
        <w:rPr>
          <w:b/>
          <w:bCs/>
        </w:rPr>
        <w:t>3.3 Failure Mechanism</w:t>
      </w:r>
    </w:p>
    <w:p w14:paraId="3F2D9161" w14:textId="77777777" w:rsidR="004128FC" w:rsidRDefault="006429D5">
      <w:r>
        <w:t xml:space="preserve">Typical failure modes included diagonal cracking, corner crushing, and frame–infill separation. AAC panels exhibited earlier cracking and more brittle behavior, whereas SC panels showed more distributed cracking and improved ductility. Crack initiation and propagation reflected the relative stiffness and strength of the infill-frame system. As observed from the experiments, diagonal joint cracks were observed in all specimens, while beam-infill interface cracks appeared earlier in the SC infilled frame. The burnt brick infilled specimen exhibited earlier cracking and failure compared to the bare and SC infilled frames. Failure patterns indicate that the bare frame was governed by a flexural ductile mechanism with plastic hinges at beam ends, the burnt brick infilled frame showed brittle behavior due to the formation of diagonal compression struts, leading to premature failure </w:t>
      </w:r>
      <w:proofErr w:type="gramStart"/>
      <w:r>
        <w:t>and  the</w:t>
      </w:r>
      <w:proofErr w:type="gramEnd"/>
      <w:r>
        <w:t xml:space="preserve"> SC infilled frame exhibited a flexural-dominated ductile response with distributed cracking and higher deformation capacity, attributed to its higher compressive strength. Key differences in cracking behavior, failure mode, and drift capacity are summarized in Table 3.</w:t>
      </w:r>
    </w:p>
    <w:p w14:paraId="522F0822" w14:textId="0539F703" w:rsidR="004128FC" w:rsidRDefault="004128FC"/>
    <w:p w14:paraId="1BC5E397" w14:textId="77777777" w:rsidR="00F851BA" w:rsidRDefault="00F851BA"/>
    <w:p w14:paraId="7157EEA5" w14:textId="77777777" w:rsidR="004128FC" w:rsidRDefault="006429D5">
      <w:pPr>
        <w:spacing w:line="276" w:lineRule="auto"/>
        <w:rPr>
          <w:rFonts w:ascii="Times New Roman" w:eastAsia="Times New Roman" w:hAnsi="Times New Roman" w:cs="Times New Roman"/>
        </w:rPr>
      </w:pPr>
      <w:r>
        <w:rPr>
          <w:rFonts w:ascii="Aptos" w:eastAsia="Aptos" w:hAnsi="Aptos" w:cs="Aptos"/>
        </w:rPr>
        <w:lastRenderedPageBreak/>
        <w:t>Table3:</w:t>
      </w:r>
      <w:r>
        <w:rPr>
          <w:rFonts w:ascii="Aptos" w:eastAsia="Aptos" w:hAnsi="Aptos" w:cs="Aptos"/>
          <w:b/>
          <w:bCs/>
        </w:rPr>
        <w:t xml:space="preserve"> </w:t>
      </w:r>
      <w:r>
        <w:rPr>
          <w:rFonts w:ascii="Times New Roman" w:eastAsia="Times New Roman" w:hAnsi="Times New Roman" w:cs="Times New Roman"/>
        </w:rPr>
        <w:t>Difference in first crack drift, governing failure mode, ultimate drift and failure mechanism of all test specimens</w:t>
      </w:r>
    </w:p>
    <w:tbl>
      <w:tblPr>
        <w:tblStyle w:val="a7"/>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2220"/>
        <w:gridCol w:w="2715"/>
        <w:gridCol w:w="2655"/>
      </w:tblGrid>
      <w:tr w:rsidR="004128FC" w14:paraId="46949A07" w14:textId="77777777">
        <w:trPr>
          <w:trHeight w:val="300"/>
        </w:trPr>
        <w:tc>
          <w:tcPr>
            <w:tcW w:w="2550" w:type="dxa"/>
            <w:tcBorders>
              <w:top w:val="single" w:sz="4" w:space="0" w:color="000000"/>
              <w:left w:val="nil"/>
              <w:bottom w:val="single" w:sz="4" w:space="0" w:color="000000"/>
              <w:right w:val="nil"/>
            </w:tcBorders>
            <w:vAlign w:val="center"/>
          </w:tcPr>
          <w:p w14:paraId="556B182A" w14:textId="77777777" w:rsidR="004128FC" w:rsidRDefault="006429D5">
            <w:pPr>
              <w:spacing w:line="276" w:lineRule="auto"/>
              <w:ind w:left="-360"/>
              <w:jc w:val="center"/>
            </w:pPr>
            <w:r>
              <w:t>Parameters</w:t>
            </w:r>
          </w:p>
        </w:tc>
        <w:tc>
          <w:tcPr>
            <w:tcW w:w="2220" w:type="dxa"/>
            <w:tcBorders>
              <w:top w:val="single" w:sz="4" w:space="0" w:color="000000"/>
              <w:left w:val="nil"/>
              <w:bottom w:val="single" w:sz="4" w:space="0" w:color="000000"/>
              <w:right w:val="nil"/>
            </w:tcBorders>
            <w:vAlign w:val="center"/>
          </w:tcPr>
          <w:p w14:paraId="088AF693" w14:textId="77777777" w:rsidR="004128FC" w:rsidRDefault="006429D5">
            <w:pPr>
              <w:spacing w:line="276" w:lineRule="auto"/>
              <w:ind w:left="-360"/>
              <w:jc w:val="center"/>
            </w:pPr>
            <w:r>
              <w:t>2S2B_BRCF</w:t>
            </w:r>
          </w:p>
        </w:tc>
        <w:tc>
          <w:tcPr>
            <w:tcW w:w="2715" w:type="dxa"/>
            <w:tcBorders>
              <w:top w:val="single" w:sz="4" w:space="0" w:color="000000"/>
              <w:left w:val="nil"/>
              <w:bottom w:val="single" w:sz="4" w:space="0" w:color="000000"/>
              <w:right w:val="nil"/>
            </w:tcBorders>
            <w:vAlign w:val="center"/>
          </w:tcPr>
          <w:p w14:paraId="56222DC8" w14:textId="77777777" w:rsidR="004128FC" w:rsidRDefault="006429D5">
            <w:pPr>
              <w:spacing w:line="276" w:lineRule="auto"/>
              <w:ind w:left="-360"/>
              <w:jc w:val="center"/>
            </w:pPr>
            <w:r>
              <w:t>2S2B_BCB_IRCF</w:t>
            </w:r>
          </w:p>
        </w:tc>
        <w:tc>
          <w:tcPr>
            <w:tcW w:w="2655" w:type="dxa"/>
            <w:tcBorders>
              <w:top w:val="single" w:sz="4" w:space="0" w:color="000000"/>
              <w:left w:val="nil"/>
              <w:bottom w:val="single" w:sz="4" w:space="0" w:color="000000"/>
              <w:right w:val="nil"/>
            </w:tcBorders>
            <w:vAlign w:val="center"/>
          </w:tcPr>
          <w:p w14:paraId="78433D53" w14:textId="77777777" w:rsidR="004128FC" w:rsidRDefault="006429D5">
            <w:pPr>
              <w:spacing w:line="276" w:lineRule="auto"/>
              <w:ind w:left="-360"/>
              <w:jc w:val="center"/>
            </w:pPr>
            <w:r>
              <w:t>2S2B_USB_IRCF</w:t>
            </w:r>
          </w:p>
        </w:tc>
      </w:tr>
      <w:tr w:rsidR="004128FC" w14:paraId="37FF1C69" w14:textId="77777777">
        <w:tc>
          <w:tcPr>
            <w:tcW w:w="2550" w:type="dxa"/>
            <w:tcBorders>
              <w:top w:val="single" w:sz="4" w:space="0" w:color="000000"/>
              <w:left w:val="nil"/>
              <w:bottom w:val="nil"/>
              <w:right w:val="nil"/>
            </w:tcBorders>
            <w:vAlign w:val="center"/>
          </w:tcPr>
          <w:p w14:paraId="4DE5E891" w14:textId="77777777" w:rsidR="004128FC" w:rsidRDefault="006429D5">
            <w:pPr>
              <w:spacing w:line="276" w:lineRule="auto"/>
              <w:ind w:left="-360"/>
              <w:jc w:val="center"/>
            </w:pPr>
            <w:r>
              <w:t>First crack drift</w:t>
            </w:r>
          </w:p>
        </w:tc>
        <w:tc>
          <w:tcPr>
            <w:tcW w:w="2220" w:type="dxa"/>
            <w:tcBorders>
              <w:top w:val="single" w:sz="4" w:space="0" w:color="000000"/>
              <w:left w:val="nil"/>
              <w:bottom w:val="nil"/>
              <w:right w:val="nil"/>
            </w:tcBorders>
            <w:vAlign w:val="center"/>
          </w:tcPr>
          <w:p w14:paraId="0817DD58" w14:textId="77777777" w:rsidR="004128FC" w:rsidRDefault="006429D5">
            <w:pPr>
              <w:spacing w:line="276" w:lineRule="auto"/>
              <w:ind w:left="-360"/>
              <w:jc w:val="center"/>
            </w:pPr>
            <w:r>
              <w:t>+0.2%</w:t>
            </w:r>
          </w:p>
        </w:tc>
        <w:tc>
          <w:tcPr>
            <w:tcW w:w="2715" w:type="dxa"/>
            <w:tcBorders>
              <w:top w:val="single" w:sz="4" w:space="0" w:color="000000"/>
              <w:left w:val="nil"/>
              <w:bottom w:val="nil"/>
              <w:right w:val="nil"/>
            </w:tcBorders>
            <w:vAlign w:val="center"/>
          </w:tcPr>
          <w:p w14:paraId="16932435" w14:textId="77777777" w:rsidR="004128FC" w:rsidRDefault="006429D5">
            <w:pPr>
              <w:spacing w:line="276" w:lineRule="auto"/>
              <w:ind w:left="-360"/>
              <w:jc w:val="center"/>
            </w:pPr>
            <w:r>
              <w:t>-0.05%</w:t>
            </w:r>
          </w:p>
        </w:tc>
        <w:tc>
          <w:tcPr>
            <w:tcW w:w="2655" w:type="dxa"/>
            <w:tcBorders>
              <w:top w:val="single" w:sz="4" w:space="0" w:color="000000"/>
              <w:left w:val="nil"/>
              <w:bottom w:val="nil"/>
              <w:right w:val="nil"/>
            </w:tcBorders>
            <w:vAlign w:val="center"/>
          </w:tcPr>
          <w:p w14:paraId="25E0B150" w14:textId="77777777" w:rsidR="004128FC" w:rsidRDefault="006429D5">
            <w:pPr>
              <w:spacing w:line="276" w:lineRule="auto"/>
              <w:ind w:left="-360"/>
              <w:jc w:val="center"/>
            </w:pPr>
            <w:r>
              <w:t>+0.2%</w:t>
            </w:r>
          </w:p>
        </w:tc>
      </w:tr>
      <w:tr w:rsidR="004128FC" w14:paraId="58FDB337" w14:textId="77777777">
        <w:tc>
          <w:tcPr>
            <w:tcW w:w="2550" w:type="dxa"/>
            <w:tcBorders>
              <w:top w:val="nil"/>
              <w:left w:val="nil"/>
              <w:bottom w:val="nil"/>
              <w:right w:val="nil"/>
            </w:tcBorders>
            <w:vAlign w:val="center"/>
          </w:tcPr>
          <w:p w14:paraId="50F1B386" w14:textId="77777777" w:rsidR="004128FC" w:rsidRDefault="006429D5">
            <w:pPr>
              <w:spacing w:line="276" w:lineRule="auto"/>
              <w:ind w:left="-360"/>
              <w:jc w:val="center"/>
            </w:pPr>
            <w:r>
              <w:t>Governing failure mode</w:t>
            </w:r>
          </w:p>
        </w:tc>
        <w:tc>
          <w:tcPr>
            <w:tcW w:w="2220" w:type="dxa"/>
            <w:tcBorders>
              <w:top w:val="nil"/>
              <w:left w:val="nil"/>
              <w:bottom w:val="nil"/>
              <w:right w:val="nil"/>
            </w:tcBorders>
            <w:vAlign w:val="center"/>
          </w:tcPr>
          <w:p w14:paraId="6380EB2D" w14:textId="77777777" w:rsidR="004128FC" w:rsidRDefault="006429D5">
            <w:pPr>
              <w:spacing w:line="276" w:lineRule="auto"/>
              <w:ind w:left="-360"/>
              <w:jc w:val="center"/>
            </w:pPr>
            <w:r>
              <w:t>Formation of plastic hinge at beam ends</w:t>
            </w:r>
          </w:p>
        </w:tc>
        <w:tc>
          <w:tcPr>
            <w:tcW w:w="2715" w:type="dxa"/>
            <w:tcBorders>
              <w:top w:val="nil"/>
              <w:left w:val="nil"/>
              <w:bottom w:val="nil"/>
              <w:right w:val="nil"/>
            </w:tcBorders>
            <w:vAlign w:val="center"/>
          </w:tcPr>
          <w:p w14:paraId="63CB12D5" w14:textId="77777777" w:rsidR="004128FC" w:rsidRDefault="006429D5">
            <w:pPr>
              <w:spacing w:line="276" w:lineRule="auto"/>
              <w:ind w:left="-360"/>
              <w:jc w:val="center"/>
            </w:pPr>
            <w:r>
              <w:t>Combined infill cracking and exterior beam–column joint damage</w:t>
            </w:r>
          </w:p>
        </w:tc>
        <w:tc>
          <w:tcPr>
            <w:tcW w:w="2655" w:type="dxa"/>
            <w:tcBorders>
              <w:top w:val="nil"/>
              <w:left w:val="nil"/>
              <w:bottom w:val="nil"/>
              <w:right w:val="nil"/>
            </w:tcBorders>
            <w:vAlign w:val="center"/>
          </w:tcPr>
          <w:p w14:paraId="009E6E64" w14:textId="77777777" w:rsidR="004128FC" w:rsidRDefault="006429D5">
            <w:pPr>
              <w:spacing w:line="276" w:lineRule="auto"/>
              <w:ind w:left="-360"/>
              <w:jc w:val="center"/>
            </w:pPr>
            <w:r>
              <w:t xml:space="preserve">   Combined infill cracking and formation of plastic hinge at the beam and column ends</w:t>
            </w:r>
          </w:p>
        </w:tc>
      </w:tr>
      <w:tr w:rsidR="004128FC" w14:paraId="1E1273FE" w14:textId="77777777">
        <w:tc>
          <w:tcPr>
            <w:tcW w:w="2550" w:type="dxa"/>
            <w:tcBorders>
              <w:top w:val="nil"/>
              <w:left w:val="nil"/>
              <w:bottom w:val="nil"/>
              <w:right w:val="nil"/>
            </w:tcBorders>
            <w:vAlign w:val="center"/>
          </w:tcPr>
          <w:p w14:paraId="17D12A5D" w14:textId="77777777" w:rsidR="004128FC" w:rsidRDefault="006429D5">
            <w:pPr>
              <w:spacing w:line="276" w:lineRule="auto"/>
              <w:ind w:left="-360"/>
              <w:jc w:val="center"/>
            </w:pPr>
            <w:r>
              <w:t>Ultimate drift</w:t>
            </w:r>
          </w:p>
        </w:tc>
        <w:tc>
          <w:tcPr>
            <w:tcW w:w="2220" w:type="dxa"/>
            <w:tcBorders>
              <w:top w:val="nil"/>
              <w:left w:val="nil"/>
              <w:bottom w:val="nil"/>
              <w:right w:val="nil"/>
            </w:tcBorders>
            <w:vAlign w:val="center"/>
          </w:tcPr>
          <w:p w14:paraId="4E52E782" w14:textId="77777777" w:rsidR="004128FC" w:rsidRDefault="006429D5">
            <w:pPr>
              <w:spacing w:line="276" w:lineRule="auto"/>
              <w:ind w:left="-360"/>
              <w:jc w:val="center"/>
            </w:pPr>
            <w:r>
              <w:t>+3%</w:t>
            </w:r>
          </w:p>
        </w:tc>
        <w:tc>
          <w:tcPr>
            <w:tcW w:w="2715" w:type="dxa"/>
            <w:tcBorders>
              <w:top w:val="nil"/>
              <w:left w:val="nil"/>
              <w:bottom w:val="nil"/>
              <w:right w:val="nil"/>
            </w:tcBorders>
            <w:vAlign w:val="center"/>
          </w:tcPr>
          <w:p w14:paraId="5D884921" w14:textId="77777777" w:rsidR="004128FC" w:rsidRDefault="006429D5">
            <w:pPr>
              <w:spacing w:line="276" w:lineRule="auto"/>
              <w:ind w:left="-360"/>
              <w:jc w:val="center"/>
            </w:pPr>
            <w:r>
              <w:t>+1.65%</w:t>
            </w:r>
          </w:p>
        </w:tc>
        <w:tc>
          <w:tcPr>
            <w:tcW w:w="2655" w:type="dxa"/>
            <w:tcBorders>
              <w:top w:val="nil"/>
              <w:left w:val="nil"/>
              <w:bottom w:val="nil"/>
              <w:right w:val="nil"/>
            </w:tcBorders>
            <w:vAlign w:val="center"/>
          </w:tcPr>
          <w:p w14:paraId="506A6E33" w14:textId="77777777" w:rsidR="004128FC" w:rsidRDefault="006429D5">
            <w:pPr>
              <w:spacing w:line="276" w:lineRule="auto"/>
              <w:ind w:left="-360"/>
              <w:jc w:val="center"/>
            </w:pPr>
            <w:r>
              <w:t>+3%</w:t>
            </w:r>
          </w:p>
        </w:tc>
      </w:tr>
      <w:tr w:rsidR="004128FC" w14:paraId="4DCB697F" w14:textId="77777777">
        <w:tc>
          <w:tcPr>
            <w:tcW w:w="2550" w:type="dxa"/>
            <w:tcBorders>
              <w:top w:val="nil"/>
              <w:left w:val="nil"/>
              <w:bottom w:val="single" w:sz="4" w:space="0" w:color="000000"/>
              <w:right w:val="nil"/>
            </w:tcBorders>
            <w:vAlign w:val="center"/>
          </w:tcPr>
          <w:p w14:paraId="44F8AC78" w14:textId="77777777" w:rsidR="004128FC" w:rsidRDefault="006429D5">
            <w:pPr>
              <w:spacing w:line="276" w:lineRule="auto"/>
              <w:ind w:left="-360"/>
              <w:jc w:val="center"/>
            </w:pPr>
            <w:r>
              <w:t>Failure mechanism</w:t>
            </w:r>
          </w:p>
        </w:tc>
        <w:tc>
          <w:tcPr>
            <w:tcW w:w="2220" w:type="dxa"/>
            <w:tcBorders>
              <w:top w:val="nil"/>
              <w:left w:val="nil"/>
              <w:bottom w:val="single" w:sz="4" w:space="0" w:color="000000"/>
              <w:right w:val="nil"/>
            </w:tcBorders>
            <w:vAlign w:val="center"/>
          </w:tcPr>
          <w:p w14:paraId="12FD3F3A" w14:textId="77777777" w:rsidR="004128FC" w:rsidRDefault="006429D5">
            <w:pPr>
              <w:spacing w:line="276" w:lineRule="auto"/>
              <w:ind w:left="-360"/>
              <w:jc w:val="center"/>
            </w:pPr>
            <w:r>
              <w:t>Flexural-dominating weak beam pattern</w:t>
            </w:r>
          </w:p>
        </w:tc>
        <w:tc>
          <w:tcPr>
            <w:tcW w:w="2715" w:type="dxa"/>
            <w:tcBorders>
              <w:top w:val="nil"/>
              <w:left w:val="nil"/>
              <w:bottom w:val="single" w:sz="4" w:space="0" w:color="000000"/>
              <w:right w:val="nil"/>
            </w:tcBorders>
            <w:vAlign w:val="center"/>
          </w:tcPr>
          <w:p w14:paraId="186F606D" w14:textId="77777777" w:rsidR="004128FC" w:rsidRDefault="006429D5">
            <w:pPr>
              <w:spacing w:line="276" w:lineRule="auto"/>
              <w:ind w:left="-360"/>
              <w:jc w:val="center"/>
            </w:pPr>
            <w:r>
              <w:t>Diagonal compression</w:t>
            </w:r>
          </w:p>
        </w:tc>
        <w:tc>
          <w:tcPr>
            <w:tcW w:w="2655" w:type="dxa"/>
            <w:tcBorders>
              <w:top w:val="nil"/>
              <w:left w:val="nil"/>
              <w:bottom w:val="single" w:sz="4" w:space="0" w:color="000000"/>
              <w:right w:val="nil"/>
            </w:tcBorders>
            <w:vAlign w:val="center"/>
          </w:tcPr>
          <w:p w14:paraId="03D2EC99" w14:textId="77777777" w:rsidR="004128FC" w:rsidRDefault="006429D5">
            <w:pPr>
              <w:spacing w:line="276" w:lineRule="auto"/>
              <w:ind w:left="-360"/>
              <w:jc w:val="center"/>
            </w:pPr>
            <w:r>
              <w:t>Shear sliding</w:t>
            </w:r>
          </w:p>
        </w:tc>
      </w:tr>
    </w:tbl>
    <w:p w14:paraId="0F9B04A8" w14:textId="77777777" w:rsidR="004128FC" w:rsidRDefault="004128FC"/>
    <w:p w14:paraId="490E5A80" w14:textId="77777777" w:rsidR="004128FC" w:rsidRDefault="004128FC"/>
    <w:p w14:paraId="46B2C68D" w14:textId="77777777" w:rsidR="004128FC" w:rsidRDefault="006429D5">
      <w:pPr>
        <w:rPr>
          <w:b/>
          <w:bCs/>
        </w:rPr>
      </w:pPr>
      <w:r>
        <w:rPr>
          <w:b/>
          <w:bCs/>
        </w:rPr>
        <w:t>4. CONCLUSIONS</w:t>
      </w:r>
    </w:p>
    <w:p w14:paraId="5377F832" w14:textId="77777777" w:rsidR="004128FC" w:rsidRDefault="004128FC">
      <w:pPr>
        <w:rPr>
          <w:b/>
          <w:bCs/>
        </w:rPr>
      </w:pPr>
    </w:p>
    <w:p w14:paraId="3C79825C" w14:textId="77777777" w:rsidR="004128FC" w:rsidRDefault="006429D5">
      <w:r>
        <w:t>Based on the experimental investigation on the three specimens, the following conclusions are drawn:</w:t>
      </w:r>
    </w:p>
    <w:p w14:paraId="1C8AE85A" w14:textId="77777777" w:rsidR="004128FC" w:rsidRDefault="006429D5">
      <w:pPr>
        <w:numPr>
          <w:ilvl w:val="0"/>
          <w:numId w:val="3"/>
        </w:numPr>
        <w:pBdr>
          <w:top w:val="nil"/>
          <w:left w:val="nil"/>
          <w:bottom w:val="nil"/>
          <w:right w:val="nil"/>
          <w:between w:val="nil"/>
        </w:pBdr>
        <w:rPr>
          <w:color w:val="000000"/>
        </w:rPr>
      </w:pPr>
      <w:r>
        <w:rPr>
          <w:color w:val="000000"/>
        </w:rPr>
        <w:t>Masonry infill significantly enhances the stiffness, strength, and seismic response of RC frames compared to bare frames.</w:t>
      </w:r>
    </w:p>
    <w:p w14:paraId="180091E0" w14:textId="77777777" w:rsidR="004128FC" w:rsidRDefault="006429D5">
      <w:pPr>
        <w:numPr>
          <w:ilvl w:val="0"/>
          <w:numId w:val="3"/>
        </w:numPr>
        <w:pBdr>
          <w:top w:val="nil"/>
          <w:left w:val="nil"/>
          <w:bottom w:val="nil"/>
          <w:right w:val="nil"/>
          <w:between w:val="nil"/>
        </w:pBdr>
        <w:rPr>
          <w:color w:val="000000"/>
        </w:rPr>
      </w:pPr>
      <w:r>
        <w:rPr>
          <w:color w:val="000000"/>
        </w:rPr>
        <w:t>SC infilled frames exhibited higher strength, stiffness, and energy dissipation, while AAC infilled frames showed lower stiffness but greater deformability.</w:t>
      </w:r>
    </w:p>
    <w:p w14:paraId="68E8F54C" w14:textId="77777777" w:rsidR="004128FC" w:rsidRDefault="006429D5">
      <w:pPr>
        <w:numPr>
          <w:ilvl w:val="0"/>
          <w:numId w:val="3"/>
        </w:numPr>
        <w:pBdr>
          <w:top w:val="nil"/>
          <w:left w:val="nil"/>
          <w:bottom w:val="nil"/>
          <w:right w:val="nil"/>
          <w:between w:val="nil"/>
        </w:pBdr>
        <w:rPr>
          <w:color w:val="000000"/>
        </w:rPr>
      </w:pPr>
      <w:r>
        <w:rPr>
          <w:color w:val="000000"/>
        </w:rPr>
        <w:t>SC systems demonstrated superior ductility and higher drift capacity (about 3%), whereas the burn</w:t>
      </w:r>
      <w:r>
        <w:t>t clay brick infilled</w:t>
      </w:r>
      <w:r>
        <w:rPr>
          <w:color w:val="000000"/>
        </w:rPr>
        <w:t xml:space="preserve"> systems exhibited brittle behavior with lower drift capacity (about 1.65%).</w:t>
      </w:r>
    </w:p>
    <w:p w14:paraId="4C1743EB" w14:textId="77777777" w:rsidR="004128FC" w:rsidRDefault="006429D5">
      <w:pPr>
        <w:numPr>
          <w:ilvl w:val="0"/>
          <w:numId w:val="3"/>
        </w:numPr>
        <w:pBdr>
          <w:top w:val="nil"/>
          <w:left w:val="nil"/>
          <w:bottom w:val="nil"/>
          <w:right w:val="nil"/>
          <w:between w:val="nil"/>
        </w:pBdr>
        <w:rPr>
          <w:color w:val="000000"/>
        </w:rPr>
      </w:pPr>
      <w:r>
        <w:rPr>
          <w:color w:val="000000"/>
        </w:rPr>
        <w:t xml:space="preserve">Stiffness degradation occurred in all specimens; however, SC infills showed stable hysteretic behavior, while </w:t>
      </w:r>
      <w:r>
        <w:t xml:space="preserve">the burnt clay brick infilled systems </w:t>
      </w:r>
      <w:r>
        <w:rPr>
          <w:color w:val="000000"/>
        </w:rPr>
        <w:t>exhibited pinching and rapid post-peak degradation.</w:t>
      </w:r>
    </w:p>
    <w:p w14:paraId="33956A02" w14:textId="77777777" w:rsidR="004128FC" w:rsidRDefault="006429D5">
      <w:pPr>
        <w:numPr>
          <w:ilvl w:val="0"/>
          <w:numId w:val="3"/>
        </w:numPr>
        <w:pBdr>
          <w:top w:val="nil"/>
          <w:left w:val="nil"/>
          <w:bottom w:val="nil"/>
          <w:right w:val="nil"/>
          <w:between w:val="nil"/>
        </w:pBdr>
        <w:rPr>
          <w:color w:val="000000"/>
        </w:rPr>
      </w:pPr>
      <w:r>
        <w:rPr>
          <w:color w:val="000000"/>
        </w:rPr>
        <w:t>SC masonry infill provides improved seismic performance and is suitable for sustainable RC construction when properly considered in design.</w:t>
      </w:r>
    </w:p>
    <w:p w14:paraId="0610AE30" w14:textId="77777777" w:rsidR="004128FC" w:rsidRDefault="004128FC"/>
    <w:p w14:paraId="48F72AA6" w14:textId="77777777" w:rsidR="004128FC" w:rsidRDefault="006429D5">
      <w:pPr>
        <w:rPr>
          <w:b/>
          <w:bCs/>
        </w:rPr>
      </w:pPr>
      <w:r>
        <w:rPr>
          <w:b/>
          <w:bCs/>
        </w:rPr>
        <w:t>ACKNOWLEDGMENTS</w:t>
      </w:r>
    </w:p>
    <w:p w14:paraId="4D2BF985" w14:textId="77777777" w:rsidR="004128FC" w:rsidRDefault="004128FC">
      <w:pPr>
        <w:rPr>
          <w:b/>
          <w:bCs/>
        </w:rPr>
      </w:pPr>
    </w:p>
    <w:p w14:paraId="2B104DA4" w14:textId="77777777" w:rsidR="004128FC" w:rsidRDefault="006429D5">
      <w:r>
        <w:t>The authors sincerely acknowledge the Housing and Building Research Institute (HBRI), Dhaka, Bangladesh</w:t>
      </w:r>
      <w:r>
        <w:rPr>
          <w:b/>
          <w:bCs/>
        </w:rPr>
        <w:t xml:space="preserve">, </w:t>
      </w:r>
      <w:r>
        <w:t xml:space="preserve">for its financial support, laboratory facilities, and logistical assistance that enabled the successful completion of the experimental program. The authors acknowledge the use of </w:t>
      </w:r>
      <w:proofErr w:type="spellStart"/>
      <w:r>
        <w:t>ChatGPT</w:t>
      </w:r>
      <w:proofErr w:type="spellEnd"/>
      <w:r>
        <w:t xml:space="preserve"> (developed by </w:t>
      </w:r>
      <w:proofErr w:type="spellStart"/>
      <w:r>
        <w:t>OpenAI</w:t>
      </w:r>
      <w:proofErr w:type="spellEnd"/>
      <w:r>
        <w:t>) for assistance</w:t>
      </w:r>
    </w:p>
    <w:p w14:paraId="2B7F5CC1" w14:textId="77777777" w:rsidR="004128FC" w:rsidRDefault="006429D5">
      <w:r>
        <w:t>in language refinement, editing, and formatting of the manuscript.</w:t>
      </w:r>
    </w:p>
    <w:p w14:paraId="5016193A" w14:textId="77777777" w:rsidR="004128FC" w:rsidRDefault="004128FC">
      <w:pPr>
        <w:rPr>
          <w:sz w:val="19"/>
          <w:szCs w:val="19"/>
        </w:rPr>
      </w:pPr>
    </w:p>
    <w:p w14:paraId="7AD299FD" w14:textId="77777777" w:rsidR="004128FC" w:rsidRDefault="006429D5">
      <w:pPr>
        <w:rPr>
          <w:b/>
          <w:bCs/>
          <w:sz w:val="18"/>
          <w:szCs w:val="18"/>
        </w:rPr>
      </w:pPr>
      <w:r>
        <w:rPr>
          <w:b/>
          <w:bCs/>
          <w:sz w:val="18"/>
          <w:szCs w:val="18"/>
        </w:rPr>
        <w:t>REFERENCES</w:t>
      </w:r>
    </w:p>
    <w:p w14:paraId="7C6A6988" w14:textId="77777777" w:rsidR="004128FC" w:rsidRDefault="004128FC">
      <w:pPr>
        <w:rPr>
          <w:b/>
          <w:bCs/>
          <w:sz w:val="18"/>
          <w:szCs w:val="18"/>
        </w:rPr>
      </w:pPr>
    </w:p>
    <w:p w14:paraId="195F7288" w14:textId="77777777" w:rsidR="004128FC" w:rsidRDefault="006429D5">
      <w:pPr>
        <w:rPr>
          <w:sz w:val="18"/>
          <w:szCs w:val="18"/>
        </w:rPr>
      </w:pPr>
      <w:proofErr w:type="spellStart"/>
      <w:r>
        <w:rPr>
          <w:sz w:val="18"/>
          <w:szCs w:val="18"/>
        </w:rPr>
        <w:t>Asteris</w:t>
      </w:r>
      <w:proofErr w:type="spellEnd"/>
      <w:r>
        <w:rPr>
          <w:sz w:val="18"/>
          <w:szCs w:val="18"/>
        </w:rPr>
        <w:t xml:space="preserve">, P. G., Cavaleri, L., Di Trapani, F. and </w:t>
      </w:r>
      <w:proofErr w:type="spellStart"/>
      <w:r>
        <w:rPr>
          <w:sz w:val="18"/>
          <w:szCs w:val="18"/>
        </w:rPr>
        <w:t>Tsaris</w:t>
      </w:r>
      <w:proofErr w:type="spellEnd"/>
      <w:r>
        <w:rPr>
          <w:sz w:val="18"/>
          <w:szCs w:val="18"/>
        </w:rPr>
        <w:t xml:space="preserve">, A. K. 2017. Numerical modeling of out-of-plane response of infilled frames: State-of-the-art and future challenges for the equivalent strut </w:t>
      </w:r>
      <w:proofErr w:type="spellStart"/>
      <w:r>
        <w:rPr>
          <w:sz w:val="18"/>
          <w:szCs w:val="18"/>
        </w:rPr>
        <w:t>macromodels</w:t>
      </w:r>
      <w:proofErr w:type="spellEnd"/>
      <w:r>
        <w:rPr>
          <w:sz w:val="18"/>
          <w:szCs w:val="18"/>
        </w:rPr>
        <w:t xml:space="preserve">. </w:t>
      </w:r>
      <w:r>
        <w:rPr>
          <w:i/>
          <w:iCs/>
          <w:sz w:val="18"/>
          <w:szCs w:val="18"/>
        </w:rPr>
        <w:t>Engineering Structures</w:t>
      </w:r>
      <w:r>
        <w:rPr>
          <w:sz w:val="18"/>
          <w:szCs w:val="18"/>
        </w:rPr>
        <w:t>, 132:110-122.</w:t>
      </w:r>
      <w:hyperlink r:id="rId15">
        <w:r>
          <w:rPr>
            <w:color w:val="1155CC"/>
            <w:sz w:val="18"/>
            <w:szCs w:val="18"/>
            <w:u w:val="single"/>
          </w:rPr>
          <w:t>https://doi.org/10.1016/j.engstruct.2016.10.012</w:t>
        </w:r>
      </w:hyperlink>
      <w:r>
        <w:rPr>
          <w:sz w:val="18"/>
          <w:szCs w:val="18"/>
        </w:rPr>
        <w:t xml:space="preserve"> </w:t>
      </w:r>
    </w:p>
    <w:p w14:paraId="7DB98313" w14:textId="77777777" w:rsidR="004128FC" w:rsidRDefault="006429D5">
      <w:pPr>
        <w:rPr>
          <w:sz w:val="18"/>
          <w:szCs w:val="18"/>
        </w:rPr>
      </w:pPr>
      <w:r>
        <w:rPr>
          <w:sz w:val="18"/>
          <w:szCs w:val="18"/>
        </w:rPr>
        <w:t xml:space="preserve">ASCE/SEI 41-17. 2017. </w:t>
      </w:r>
      <w:r>
        <w:rPr>
          <w:i/>
          <w:iCs/>
          <w:sz w:val="18"/>
          <w:szCs w:val="18"/>
        </w:rPr>
        <w:t>Seismic Evaluation and Retrofit of Existing Buildings</w:t>
      </w:r>
      <w:r>
        <w:rPr>
          <w:sz w:val="18"/>
          <w:szCs w:val="18"/>
        </w:rPr>
        <w:t>. American Society of Civil Engineers, Reston, VA, USA.</w:t>
      </w:r>
    </w:p>
    <w:p w14:paraId="50E66E88" w14:textId="77777777" w:rsidR="004128FC" w:rsidRDefault="006429D5">
      <w:pPr>
        <w:rPr>
          <w:sz w:val="18"/>
          <w:szCs w:val="18"/>
        </w:rPr>
      </w:pPr>
      <w:proofErr w:type="spellStart"/>
      <w:r>
        <w:rPr>
          <w:sz w:val="18"/>
          <w:szCs w:val="18"/>
        </w:rPr>
        <w:t>Crisafulli</w:t>
      </w:r>
      <w:proofErr w:type="spellEnd"/>
      <w:r>
        <w:rPr>
          <w:sz w:val="18"/>
          <w:szCs w:val="18"/>
        </w:rPr>
        <w:t xml:space="preserve">, F. J. 1997. </w:t>
      </w:r>
      <w:r>
        <w:rPr>
          <w:i/>
          <w:iCs/>
          <w:sz w:val="18"/>
          <w:szCs w:val="18"/>
        </w:rPr>
        <w:t xml:space="preserve">Seismic </w:t>
      </w:r>
      <w:proofErr w:type="spellStart"/>
      <w:r>
        <w:rPr>
          <w:i/>
          <w:iCs/>
          <w:sz w:val="18"/>
          <w:szCs w:val="18"/>
        </w:rPr>
        <w:t>behaviour</w:t>
      </w:r>
      <w:proofErr w:type="spellEnd"/>
      <w:r>
        <w:rPr>
          <w:i/>
          <w:iCs/>
          <w:sz w:val="18"/>
          <w:szCs w:val="18"/>
        </w:rPr>
        <w:t xml:space="preserve"> of reinforced concrete structures with masonry infills</w:t>
      </w:r>
      <w:r>
        <w:rPr>
          <w:sz w:val="18"/>
          <w:szCs w:val="18"/>
        </w:rPr>
        <w:t>. PhD Dissertation, University of Canterbury, Christchurch, New Zealand.</w:t>
      </w:r>
    </w:p>
    <w:p w14:paraId="332B3033" w14:textId="77777777" w:rsidR="004128FC" w:rsidRDefault="006429D5">
      <w:pPr>
        <w:rPr>
          <w:sz w:val="18"/>
          <w:szCs w:val="18"/>
        </w:rPr>
      </w:pPr>
      <w:r>
        <w:rPr>
          <w:sz w:val="18"/>
          <w:szCs w:val="18"/>
        </w:rPr>
        <w:t>El-</w:t>
      </w:r>
      <w:proofErr w:type="spellStart"/>
      <w:r>
        <w:rPr>
          <w:sz w:val="18"/>
          <w:szCs w:val="18"/>
        </w:rPr>
        <w:t>Kholy</w:t>
      </w:r>
      <w:proofErr w:type="spellEnd"/>
      <w:r>
        <w:rPr>
          <w:sz w:val="18"/>
          <w:szCs w:val="18"/>
        </w:rPr>
        <w:t xml:space="preserve">, A.M., Sayed, H., </w:t>
      </w:r>
      <w:proofErr w:type="spellStart"/>
      <w:r>
        <w:rPr>
          <w:sz w:val="18"/>
          <w:szCs w:val="18"/>
        </w:rPr>
        <w:t>Metwally</w:t>
      </w:r>
      <w:proofErr w:type="spellEnd"/>
      <w:r>
        <w:rPr>
          <w:sz w:val="18"/>
          <w:szCs w:val="18"/>
        </w:rPr>
        <w:t xml:space="preserve">, I.M. 2026 </w:t>
      </w:r>
      <w:proofErr w:type="spellStart"/>
      <w:r>
        <w:rPr>
          <w:sz w:val="18"/>
          <w:szCs w:val="18"/>
        </w:rPr>
        <w:t>Macromodeling</w:t>
      </w:r>
      <w:proofErr w:type="spellEnd"/>
      <w:r>
        <w:rPr>
          <w:sz w:val="18"/>
          <w:szCs w:val="18"/>
        </w:rPr>
        <w:t xml:space="preserve"> and experimental investigation of RC frames infilled with clay bricks and autoclaved aerated concrete blocks under cyclic loading. </w:t>
      </w:r>
      <w:r>
        <w:rPr>
          <w:i/>
          <w:iCs/>
          <w:sz w:val="18"/>
          <w:szCs w:val="18"/>
        </w:rPr>
        <w:t>Bulletin of Earthquake Engineering</w:t>
      </w:r>
      <w:r>
        <w:rPr>
          <w:sz w:val="18"/>
          <w:szCs w:val="18"/>
        </w:rPr>
        <w:t xml:space="preserve"> 24, 3173–3209. </w:t>
      </w:r>
      <w:hyperlink r:id="rId16">
        <w:r>
          <w:rPr>
            <w:color w:val="1155CC"/>
            <w:sz w:val="18"/>
            <w:szCs w:val="18"/>
            <w:u w:val="single"/>
          </w:rPr>
          <w:t>https://doi.org/10.1007/s10518-025-02358-9</w:t>
        </w:r>
      </w:hyperlink>
      <w:r>
        <w:rPr>
          <w:sz w:val="18"/>
          <w:szCs w:val="18"/>
        </w:rPr>
        <w:t xml:space="preserve">  </w:t>
      </w:r>
    </w:p>
    <w:p w14:paraId="1AE4D15F" w14:textId="77777777" w:rsidR="004128FC" w:rsidRDefault="006429D5">
      <w:pPr>
        <w:rPr>
          <w:sz w:val="18"/>
          <w:szCs w:val="18"/>
        </w:rPr>
      </w:pPr>
      <w:r>
        <w:rPr>
          <w:sz w:val="18"/>
          <w:szCs w:val="18"/>
        </w:rPr>
        <w:t xml:space="preserve">Gupta, P., </w:t>
      </w:r>
      <w:proofErr w:type="spellStart"/>
      <w:r>
        <w:rPr>
          <w:sz w:val="18"/>
          <w:szCs w:val="18"/>
        </w:rPr>
        <w:t>Jagneed</w:t>
      </w:r>
      <w:proofErr w:type="spellEnd"/>
      <w:r>
        <w:rPr>
          <w:sz w:val="18"/>
          <w:szCs w:val="18"/>
        </w:rPr>
        <w:t xml:space="preserve">, D. and </w:t>
      </w:r>
      <w:proofErr w:type="spellStart"/>
      <w:r>
        <w:rPr>
          <w:sz w:val="18"/>
          <w:szCs w:val="18"/>
        </w:rPr>
        <w:t>Uniyal</w:t>
      </w:r>
      <w:proofErr w:type="spellEnd"/>
      <w:r>
        <w:rPr>
          <w:sz w:val="18"/>
          <w:szCs w:val="18"/>
        </w:rPr>
        <w:t xml:space="preserve">, H. 2022.AAC blocks an innovation as echo-friendly materials in construction. </w:t>
      </w:r>
      <w:r>
        <w:rPr>
          <w:i/>
          <w:iCs/>
          <w:sz w:val="18"/>
          <w:szCs w:val="18"/>
        </w:rPr>
        <w:t xml:space="preserve">Novel Innovations and Sustainable Development in Civil </w:t>
      </w:r>
      <w:proofErr w:type="gramStart"/>
      <w:r>
        <w:rPr>
          <w:i/>
          <w:iCs/>
          <w:sz w:val="18"/>
          <w:szCs w:val="18"/>
        </w:rPr>
        <w:t>Engineering</w:t>
      </w:r>
      <w:r>
        <w:rPr>
          <w:sz w:val="18"/>
          <w:szCs w:val="18"/>
        </w:rPr>
        <w:t>(</w:t>
      </w:r>
      <w:proofErr w:type="gramEnd"/>
      <w:r>
        <w:rPr>
          <w:sz w:val="18"/>
          <w:szCs w:val="18"/>
        </w:rPr>
        <w:t>NISDCE’22)</w:t>
      </w:r>
    </w:p>
    <w:p w14:paraId="5740EFDE" w14:textId="77777777" w:rsidR="004128FC" w:rsidRDefault="006429D5">
      <w:pPr>
        <w:jc w:val="left"/>
        <w:rPr>
          <w:b/>
          <w:bCs/>
          <w:color w:val="1155CC"/>
          <w:sz w:val="18"/>
          <w:szCs w:val="18"/>
          <w:u w:val="single"/>
        </w:rPr>
      </w:pPr>
      <w:proofErr w:type="spellStart"/>
      <w:r>
        <w:rPr>
          <w:sz w:val="18"/>
          <w:szCs w:val="18"/>
        </w:rPr>
        <w:t>Mainstone</w:t>
      </w:r>
      <w:proofErr w:type="spellEnd"/>
      <w:r>
        <w:rPr>
          <w:sz w:val="18"/>
          <w:szCs w:val="18"/>
        </w:rPr>
        <w:t xml:space="preserve">, R. J. 1971. On the stiffness and strengths of infilled frames. </w:t>
      </w:r>
      <w:r>
        <w:rPr>
          <w:i/>
          <w:iCs/>
          <w:sz w:val="18"/>
          <w:szCs w:val="18"/>
        </w:rPr>
        <w:t>Proceedings of the Institution of Civil Engineers</w:t>
      </w:r>
      <w:r>
        <w:rPr>
          <w:sz w:val="18"/>
          <w:szCs w:val="18"/>
        </w:rPr>
        <w:t xml:space="preserve"> (1971) 49 (2):230. </w:t>
      </w:r>
      <w:hyperlink r:id="rId17">
        <w:r>
          <w:rPr>
            <w:color w:val="1155CC"/>
            <w:sz w:val="18"/>
            <w:szCs w:val="18"/>
            <w:u w:val="single"/>
          </w:rPr>
          <w:t>https://doi.org/10.1680/iicep.1971.6267</w:t>
        </w:r>
      </w:hyperlink>
      <w:r>
        <w:rPr>
          <w:color w:val="1155CC"/>
          <w:sz w:val="18"/>
          <w:szCs w:val="18"/>
          <w:u w:val="single"/>
        </w:rPr>
        <w:t xml:space="preserve">. </w:t>
      </w:r>
    </w:p>
    <w:p w14:paraId="713F06FD" w14:textId="77777777" w:rsidR="004128FC" w:rsidRDefault="006429D5">
      <w:pPr>
        <w:rPr>
          <w:i/>
          <w:iCs/>
          <w:sz w:val="18"/>
          <w:szCs w:val="18"/>
        </w:rPr>
      </w:pPr>
      <w:proofErr w:type="spellStart"/>
      <w:r>
        <w:rPr>
          <w:sz w:val="18"/>
          <w:szCs w:val="18"/>
        </w:rPr>
        <w:t>Mukhlis</w:t>
      </w:r>
      <w:proofErr w:type="spellEnd"/>
      <w:r>
        <w:rPr>
          <w:sz w:val="18"/>
          <w:szCs w:val="18"/>
        </w:rPr>
        <w:t xml:space="preserve">, M. R., Das, A., Islam, S. M., Bhuiyan, M. A. </w:t>
      </w:r>
      <w:proofErr w:type="spellStart"/>
      <w:r>
        <w:rPr>
          <w:sz w:val="18"/>
          <w:szCs w:val="18"/>
        </w:rPr>
        <w:t>R.and</w:t>
      </w:r>
      <w:proofErr w:type="spellEnd"/>
      <w:r>
        <w:rPr>
          <w:sz w:val="18"/>
          <w:szCs w:val="18"/>
        </w:rPr>
        <w:t xml:space="preserve"> </w:t>
      </w:r>
      <w:proofErr w:type="spellStart"/>
      <w:r>
        <w:rPr>
          <w:sz w:val="18"/>
          <w:szCs w:val="18"/>
        </w:rPr>
        <w:t>Sikder</w:t>
      </w:r>
      <w:proofErr w:type="spellEnd"/>
      <w:r>
        <w:rPr>
          <w:sz w:val="18"/>
          <w:szCs w:val="18"/>
        </w:rPr>
        <w:t xml:space="preserve">, A. M. 2024.Experimental Study on Cyclic Behavior of RC Frame Infilled with </w:t>
      </w:r>
      <w:proofErr w:type="spellStart"/>
      <w:r>
        <w:rPr>
          <w:sz w:val="18"/>
          <w:szCs w:val="18"/>
        </w:rPr>
        <w:t>Sandcrete</w:t>
      </w:r>
      <w:proofErr w:type="spellEnd"/>
      <w:r>
        <w:rPr>
          <w:sz w:val="18"/>
          <w:szCs w:val="18"/>
        </w:rPr>
        <w:t xml:space="preserve"> Blocks. 7</w:t>
      </w:r>
      <w:r>
        <w:rPr>
          <w:i/>
          <w:iCs/>
          <w:color w:val="000000"/>
          <w:sz w:val="18"/>
          <w:szCs w:val="18"/>
          <w:vertAlign w:val="superscript"/>
        </w:rPr>
        <w:t>th</w:t>
      </w:r>
      <w:r>
        <w:rPr>
          <w:i/>
          <w:iCs/>
          <w:color w:val="000000"/>
          <w:sz w:val="18"/>
          <w:szCs w:val="18"/>
        </w:rPr>
        <w:t xml:space="preserve"> International Conference on Advances in Civil Engineering (ICACE-202</w:t>
      </w:r>
      <w:r>
        <w:rPr>
          <w:i/>
          <w:iCs/>
          <w:sz w:val="18"/>
          <w:szCs w:val="18"/>
        </w:rPr>
        <w:t>4</w:t>
      </w:r>
      <w:r>
        <w:rPr>
          <w:i/>
          <w:iCs/>
          <w:color w:val="000000"/>
          <w:sz w:val="18"/>
          <w:szCs w:val="18"/>
        </w:rPr>
        <w:t>),</w:t>
      </w:r>
      <w:r>
        <w:rPr>
          <w:color w:val="000000"/>
          <w:sz w:val="18"/>
          <w:szCs w:val="18"/>
        </w:rPr>
        <w:t>12-</w:t>
      </w:r>
      <w:proofErr w:type="gramStart"/>
      <w:r>
        <w:rPr>
          <w:color w:val="000000"/>
          <w:sz w:val="18"/>
          <w:szCs w:val="18"/>
        </w:rPr>
        <w:t>14  December</w:t>
      </w:r>
      <w:proofErr w:type="gramEnd"/>
      <w:r>
        <w:rPr>
          <w:color w:val="000000"/>
          <w:sz w:val="18"/>
          <w:szCs w:val="18"/>
        </w:rPr>
        <w:t xml:space="preserve"> 2024, CUET, Chattogram, Bangladesh</w:t>
      </w:r>
      <w:r>
        <w:rPr>
          <w:i/>
          <w:iCs/>
          <w:sz w:val="18"/>
          <w:szCs w:val="18"/>
        </w:rPr>
        <w:t xml:space="preserve"> </w:t>
      </w:r>
    </w:p>
    <w:p w14:paraId="19FC14F8" w14:textId="77777777" w:rsidR="004128FC" w:rsidRDefault="006429D5">
      <w:pPr>
        <w:jc w:val="left"/>
        <w:rPr>
          <w:color w:val="000000"/>
          <w:sz w:val="18"/>
          <w:szCs w:val="18"/>
        </w:rPr>
      </w:pPr>
      <w:r>
        <w:rPr>
          <w:sz w:val="18"/>
          <w:szCs w:val="18"/>
        </w:rPr>
        <w:t xml:space="preserve">Smith, B. S. 1966. Behavior of square infilled frames. </w:t>
      </w:r>
      <w:r>
        <w:rPr>
          <w:i/>
          <w:iCs/>
          <w:sz w:val="18"/>
          <w:szCs w:val="18"/>
        </w:rPr>
        <w:t>Journal of the Structural Division, ASCE</w:t>
      </w:r>
      <w:r>
        <w:rPr>
          <w:sz w:val="18"/>
          <w:szCs w:val="18"/>
        </w:rPr>
        <w:t>, 92(1): 381–403.</w:t>
      </w:r>
    </w:p>
    <w:sectPr w:rsidR="004128FC">
      <w:headerReference w:type="even" r:id="rId18"/>
      <w:headerReference w:type="default" r:id="rId19"/>
      <w:footerReference w:type="even" r:id="rId20"/>
      <w:footerReference w:type="default" r:id="rId21"/>
      <w:headerReference w:type="first" r:id="rId22"/>
      <w:footerReference w:type="first" r:id="rId23"/>
      <w:pgSz w:w="12240" w:h="15840"/>
      <w:pgMar w:top="1152" w:right="1152" w:bottom="1152" w:left="1152" w:header="144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E09E" w14:textId="77777777" w:rsidR="008D4F36" w:rsidRDefault="008D4F36">
      <w:r>
        <w:separator/>
      </w:r>
    </w:p>
  </w:endnote>
  <w:endnote w:type="continuationSeparator" w:id="0">
    <w:p w14:paraId="70374224" w14:textId="77777777" w:rsidR="008D4F36" w:rsidRDefault="008D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swiss"/>
    <w:pitch w:val="variable"/>
    <w:sig w:usb0="00000003" w:usb1="0200FDEE" w:usb2="03040000" w:usb3="00000000" w:csb0="00000001" w:csb1="00000000"/>
    <w:embedRegular r:id="rId1" w:fontKey="{6C301DF6-E5BD-4C83-B28C-520C6ED3ECE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2" w:fontKey="{2C0622CE-3249-4E81-A3DF-A869B9ECB666}"/>
    <w:embedItalic r:id="rId3" w:fontKey="{82C49032-FD3A-42F5-BDCB-B1C95626E914}"/>
  </w:font>
  <w:font w:name="Georgia">
    <w:panose1 w:val="02040502050405020303"/>
    <w:charset w:val="00"/>
    <w:family w:val="roman"/>
    <w:pitch w:val="variable"/>
    <w:sig w:usb0="00000287" w:usb1="00000000" w:usb2="00000000" w:usb3="00000000" w:csb0="0000009F" w:csb1="00000000"/>
    <w:embedItalic r:id="rId4" w:fontKey="{9A7097AF-5D5D-4B1A-8384-ED4685036385}"/>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5" w:fontKey="{AC50296B-FBFE-4DAB-9109-0C89243094DF}"/>
  </w:font>
  <w:font w:name="Cambria">
    <w:panose1 w:val="02040503050406030204"/>
    <w:charset w:val="00"/>
    <w:family w:val="roman"/>
    <w:pitch w:val="variable"/>
    <w:sig w:usb0="E00006FF" w:usb1="420024FF" w:usb2="02000000" w:usb3="00000000" w:csb0="0000019F" w:csb1="00000000"/>
    <w:embedRegular r:id="rId6" w:fontKey="{D55F07C1-89A0-4410-887F-664EC03396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275E" w14:textId="77777777" w:rsidR="004128FC" w:rsidRDefault="006429D5">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sidR="008D4F36">
      <w:rPr>
        <w:color w:val="000000"/>
      </w:rPr>
      <w:fldChar w:fldCharType="separate"/>
    </w:r>
    <w:r>
      <w:rPr>
        <w:color w:val="000000"/>
      </w:rPr>
      <w:fldChar w:fldCharType="end"/>
    </w:r>
  </w:p>
  <w:p w14:paraId="72480CAC" w14:textId="77777777" w:rsidR="004128FC" w:rsidRDefault="004128FC">
    <w:pPr>
      <w:pBdr>
        <w:top w:val="nil"/>
        <w:left w:val="nil"/>
        <w:bottom w:val="nil"/>
        <w:right w:val="nil"/>
        <w:between w:val="nil"/>
      </w:pBdr>
      <w:tabs>
        <w:tab w:val="center" w:pos="4320"/>
        <w:tab w:val="right" w:pos="8640"/>
      </w:tabs>
      <w:rPr>
        <w:color w:val="000000"/>
      </w:rPr>
    </w:pPr>
  </w:p>
  <w:p w14:paraId="511B2648" w14:textId="77777777" w:rsidR="004128FC" w:rsidRDefault="004128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73B0" w14:textId="01C62EA1" w:rsidR="004128FC" w:rsidRDefault="006429D5">
    <w:pPr>
      <w:pBdr>
        <w:top w:val="nil"/>
        <w:left w:val="nil"/>
        <w:bottom w:val="nil"/>
        <w:right w:val="nil"/>
        <w:between w:val="nil"/>
      </w:pBdr>
      <w:tabs>
        <w:tab w:val="center" w:pos="4320"/>
        <w:tab w:val="right" w:pos="8640"/>
      </w:tabs>
      <w:jc w:val="center"/>
      <w:rPr>
        <w:color w:val="000000"/>
      </w:rPr>
    </w:pPr>
    <w:r>
      <w:rPr>
        <w:color w:val="000000"/>
      </w:rPr>
      <w:t>1</w:t>
    </w:r>
    <w:r>
      <w:rPr>
        <w:color w:val="000000"/>
        <w:vertAlign w:val="superscript"/>
      </w:rPr>
      <w:t>st</w:t>
    </w:r>
    <w:r>
      <w:rPr>
        <w:color w:val="000000"/>
      </w:rPr>
      <w:t>IntSymp-</w:t>
    </w:r>
    <w:r w:rsidR="00F851BA">
      <w:rPr>
        <w:color w:val="000000"/>
      </w:rPr>
      <w:t>003</w:t>
    </w:r>
    <w:r>
      <w:rPr>
        <w:color w:val="000000"/>
      </w:rPr>
      <w:t>-</w:t>
    </w:r>
    <w:r>
      <w:rPr>
        <w:color w:val="000000"/>
      </w:rPr>
      <w:fldChar w:fldCharType="begin"/>
    </w:r>
    <w:r>
      <w:rPr>
        <w:color w:val="000000"/>
      </w:rPr>
      <w:instrText>PAGE</w:instrText>
    </w:r>
    <w:r w:rsidR="008D4F36">
      <w:rPr>
        <w:color w:val="000000"/>
      </w:rPr>
      <w:fldChar w:fldCharType="separate"/>
    </w:r>
    <w:r w:rsidR="00F851BA">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303F" w14:textId="63601DD0" w:rsidR="004128FC" w:rsidRDefault="006429D5">
    <w:pPr>
      <w:pBdr>
        <w:top w:val="nil"/>
        <w:left w:val="nil"/>
        <w:bottom w:val="nil"/>
        <w:right w:val="nil"/>
        <w:between w:val="nil"/>
      </w:pBdr>
      <w:tabs>
        <w:tab w:val="center" w:pos="4320"/>
        <w:tab w:val="right" w:pos="8640"/>
      </w:tabs>
      <w:jc w:val="center"/>
      <w:rPr>
        <w:color w:val="000000"/>
      </w:rPr>
    </w:pPr>
    <w:r>
      <w:rPr>
        <w:color w:val="000000"/>
      </w:rPr>
      <w:t>1stIntSymp-</w:t>
    </w:r>
    <w:r w:rsidR="00F851BA">
      <w:rPr>
        <w:color w:val="000000"/>
      </w:rPr>
      <w:t>003</w:t>
    </w:r>
    <w:r>
      <w:rPr>
        <w:color w:val="000000"/>
      </w:rPr>
      <w:t>-</w:t>
    </w:r>
    <w:r>
      <w:rPr>
        <w:color w:val="000000"/>
      </w:rPr>
      <w:fldChar w:fldCharType="begin"/>
    </w:r>
    <w:r>
      <w:rPr>
        <w:color w:val="000000"/>
      </w:rPr>
      <w:instrText>PAGE</w:instrText>
    </w:r>
    <w:r w:rsidR="008D4F36">
      <w:rPr>
        <w:color w:val="000000"/>
      </w:rPr>
      <w:fldChar w:fldCharType="separate"/>
    </w:r>
    <w:r w:rsidR="00F851B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FA6E" w14:textId="77777777" w:rsidR="008D4F36" w:rsidRDefault="008D4F36">
      <w:r>
        <w:separator/>
      </w:r>
    </w:p>
  </w:footnote>
  <w:footnote w:type="continuationSeparator" w:id="0">
    <w:p w14:paraId="733B6437" w14:textId="77777777" w:rsidR="008D4F36" w:rsidRDefault="008D4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5F42" w14:textId="77777777" w:rsidR="00F851BA" w:rsidRDefault="00F85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32CE" w14:textId="77777777" w:rsidR="00F851BA" w:rsidRDefault="00F851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224D" w14:textId="35E7063B" w:rsidR="004128FC" w:rsidRDefault="004128FC">
    <w:pPr>
      <w:widowControl w:val="0"/>
      <w:pBdr>
        <w:top w:val="nil"/>
        <w:left w:val="nil"/>
        <w:bottom w:val="nil"/>
        <w:right w:val="nil"/>
        <w:between w:val="nil"/>
      </w:pBdr>
      <w:spacing w:line="276" w:lineRule="auto"/>
      <w:jc w:val="left"/>
      <w:rPr>
        <w:color w:val="000000"/>
      </w:rPr>
    </w:pPr>
  </w:p>
  <w:tbl>
    <w:tblPr>
      <w:tblStyle w:val="a8"/>
      <w:tblW w:w="9356" w:type="dxa"/>
      <w:jc w:val="center"/>
      <w:tblInd w:w="0" w:type="dxa"/>
      <w:tblLayout w:type="fixed"/>
      <w:tblLook w:val="0400" w:firstRow="0" w:lastRow="0" w:firstColumn="0" w:lastColumn="0" w:noHBand="0" w:noVBand="1"/>
    </w:tblPr>
    <w:tblGrid>
      <w:gridCol w:w="1701"/>
      <w:gridCol w:w="6237"/>
      <w:gridCol w:w="1418"/>
    </w:tblGrid>
    <w:tr w:rsidR="004128FC" w14:paraId="3B9337F2" w14:textId="77777777">
      <w:trPr>
        <w:cantSplit/>
        <w:trHeight w:val="709"/>
        <w:jc w:val="center"/>
      </w:trPr>
      <w:tc>
        <w:tcPr>
          <w:tcW w:w="1701" w:type="dxa"/>
          <w:vMerge w:val="restart"/>
          <w:tcBorders>
            <w:top w:val="nil"/>
            <w:left w:val="nil"/>
            <w:right w:val="nil"/>
          </w:tcBorders>
          <w:vAlign w:val="center"/>
        </w:tcPr>
        <w:p w14:paraId="3E61B4D3" w14:textId="77777777" w:rsidR="004128FC" w:rsidRDefault="006429D5">
          <w:pPr>
            <w:pBdr>
              <w:top w:val="nil"/>
              <w:left w:val="nil"/>
              <w:bottom w:val="nil"/>
              <w:right w:val="nil"/>
              <w:between w:val="nil"/>
            </w:pBdr>
            <w:tabs>
              <w:tab w:val="center" w:pos="4320"/>
              <w:tab w:val="right" w:pos="8640"/>
            </w:tabs>
            <w:jc w:val="left"/>
            <w:rPr>
              <w:color w:val="FF0000"/>
              <w:sz w:val="18"/>
              <w:szCs w:val="18"/>
            </w:rPr>
          </w:pPr>
          <w:r>
            <w:rPr>
              <w:noProof/>
              <w:color w:val="FF0000"/>
              <w:sz w:val="18"/>
              <w:szCs w:val="18"/>
            </w:rPr>
            <w:drawing>
              <wp:inline distT="0" distB="0" distL="0" distR="0" wp14:anchorId="7FDB4ECD" wp14:editId="1B6AF86C">
                <wp:extent cx="881569" cy="823379"/>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881569" cy="823379"/>
                        </a:xfrm>
                        <a:prstGeom prst="rect">
                          <a:avLst/>
                        </a:prstGeom>
                        <a:ln/>
                      </pic:spPr>
                    </pic:pic>
                  </a:graphicData>
                </a:graphic>
              </wp:inline>
            </w:drawing>
          </w:r>
        </w:p>
      </w:tc>
      <w:tc>
        <w:tcPr>
          <w:tcW w:w="6237" w:type="dxa"/>
          <w:tcBorders>
            <w:top w:val="nil"/>
            <w:left w:val="nil"/>
            <w:bottom w:val="single" w:sz="4" w:space="0" w:color="000000"/>
            <w:right w:val="nil"/>
          </w:tcBorders>
          <w:vAlign w:val="center"/>
        </w:tcPr>
        <w:p w14:paraId="4562CCC2" w14:textId="77777777" w:rsidR="004128FC" w:rsidRPr="00F851BA" w:rsidRDefault="004128FC">
          <w:pPr>
            <w:pBdr>
              <w:top w:val="nil"/>
              <w:left w:val="nil"/>
              <w:bottom w:val="nil"/>
              <w:right w:val="nil"/>
              <w:between w:val="nil"/>
            </w:pBdr>
            <w:tabs>
              <w:tab w:val="center" w:pos="4320"/>
              <w:tab w:val="right" w:pos="8640"/>
            </w:tabs>
            <w:jc w:val="center"/>
            <w:rPr>
              <w:sz w:val="10"/>
              <w:szCs w:val="10"/>
            </w:rPr>
          </w:pPr>
        </w:p>
        <w:p w14:paraId="7A55FA9A" w14:textId="77777777" w:rsidR="004128FC" w:rsidRPr="00F851BA" w:rsidRDefault="006429D5">
          <w:pPr>
            <w:pBdr>
              <w:top w:val="nil"/>
              <w:left w:val="nil"/>
              <w:bottom w:val="nil"/>
              <w:right w:val="nil"/>
              <w:between w:val="nil"/>
            </w:pBdr>
            <w:tabs>
              <w:tab w:val="center" w:pos="4320"/>
              <w:tab w:val="right" w:pos="8640"/>
            </w:tabs>
            <w:jc w:val="center"/>
            <w:rPr>
              <w:sz w:val="18"/>
              <w:szCs w:val="18"/>
            </w:rPr>
          </w:pPr>
          <w:r w:rsidRPr="00F851BA">
            <w:rPr>
              <w:sz w:val="18"/>
              <w:szCs w:val="18"/>
            </w:rPr>
            <w:t>Advancing Engineering for a Sustainable Future (AE4SF) - 1st Int Symposium</w:t>
          </w:r>
        </w:p>
        <w:p w14:paraId="4F7BD4C3" w14:textId="77777777" w:rsidR="004128FC" w:rsidRPr="00F851BA" w:rsidRDefault="004128FC">
          <w:pPr>
            <w:pBdr>
              <w:top w:val="nil"/>
              <w:left w:val="nil"/>
              <w:bottom w:val="nil"/>
              <w:right w:val="nil"/>
              <w:between w:val="nil"/>
            </w:pBdr>
            <w:tabs>
              <w:tab w:val="center" w:pos="4320"/>
              <w:tab w:val="right" w:pos="8640"/>
            </w:tabs>
            <w:jc w:val="center"/>
            <w:rPr>
              <w:sz w:val="2"/>
              <w:szCs w:val="2"/>
            </w:rPr>
          </w:pPr>
        </w:p>
      </w:tc>
      <w:tc>
        <w:tcPr>
          <w:tcW w:w="1418" w:type="dxa"/>
          <w:vMerge w:val="restart"/>
          <w:vAlign w:val="center"/>
        </w:tcPr>
        <w:p w14:paraId="5C9E2F8E" w14:textId="7AE6CEC9" w:rsidR="004128FC" w:rsidRDefault="00F851BA">
          <w:pPr>
            <w:pBdr>
              <w:top w:val="nil"/>
              <w:left w:val="nil"/>
              <w:bottom w:val="nil"/>
              <w:right w:val="nil"/>
              <w:between w:val="nil"/>
            </w:pBdr>
            <w:tabs>
              <w:tab w:val="center" w:pos="4320"/>
              <w:tab w:val="right" w:pos="8640"/>
            </w:tabs>
            <w:jc w:val="right"/>
            <w:rPr>
              <w:color w:val="FF0000"/>
              <w:sz w:val="16"/>
              <w:szCs w:val="16"/>
            </w:rPr>
          </w:pPr>
          <w:r>
            <w:rPr>
              <w:noProof/>
            </w:rPr>
            <w:drawing>
              <wp:anchor distT="0" distB="0" distL="114300" distR="114300" simplePos="0" relativeHeight="251658240" behindDoc="0" locked="0" layoutInCell="1" hidden="0" allowOverlap="1" wp14:anchorId="71C91AED" wp14:editId="15EBF5A2">
                <wp:simplePos x="0" y="0"/>
                <wp:positionH relativeFrom="column">
                  <wp:posOffset>445770</wp:posOffset>
                </wp:positionH>
                <wp:positionV relativeFrom="paragraph">
                  <wp:posOffset>-63500</wp:posOffset>
                </wp:positionV>
                <wp:extent cx="899795" cy="787400"/>
                <wp:effectExtent l="0" t="0" r="0" b="0"/>
                <wp:wrapNone/>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
                        <a:srcRect/>
                        <a:stretch>
                          <a:fillRect/>
                        </a:stretch>
                      </pic:blipFill>
                      <pic:spPr>
                        <a:xfrm>
                          <a:off x="0" y="0"/>
                          <a:ext cx="899795" cy="787400"/>
                        </a:xfrm>
                        <a:prstGeom prst="rect">
                          <a:avLst/>
                        </a:prstGeom>
                        <a:ln/>
                      </pic:spPr>
                    </pic:pic>
                  </a:graphicData>
                </a:graphic>
                <wp14:sizeRelH relativeFrom="margin">
                  <wp14:pctWidth>0</wp14:pctWidth>
                </wp14:sizeRelH>
                <wp14:sizeRelV relativeFrom="margin">
                  <wp14:pctHeight>0</wp14:pctHeight>
                </wp14:sizeRelV>
              </wp:anchor>
            </w:drawing>
          </w:r>
        </w:p>
      </w:tc>
    </w:tr>
    <w:tr w:rsidR="004128FC" w14:paraId="493BFE26" w14:textId="77777777">
      <w:trPr>
        <w:cantSplit/>
        <w:trHeight w:val="637"/>
        <w:jc w:val="center"/>
      </w:trPr>
      <w:tc>
        <w:tcPr>
          <w:tcW w:w="1701" w:type="dxa"/>
          <w:vMerge/>
          <w:tcBorders>
            <w:top w:val="nil"/>
            <w:left w:val="nil"/>
            <w:right w:val="nil"/>
          </w:tcBorders>
          <w:vAlign w:val="center"/>
        </w:tcPr>
        <w:p w14:paraId="19D62532" w14:textId="77777777" w:rsidR="004128FC" w:rsidRDefault="004128FC">
          <w:pPr>
            <w:widowControl w:val="0"/>
            <w:pBdr>
              <w:top w:val="nil"/>
              <w:left w:val="nil"/>
              <w:bottom w:val="nil"/>
              <w:right w:val="nil"/>
              <w:between w:val="nil"/>
            </w:pBdr>
            <w:spacing w:line="276" w:lineRule="auto"/>
            <w:jc w:val="left"/>
            <w:rPr>
              <w:color w:val="FF0000"/>
              <w:sz w:val="16"/>
              <w:szCs w:val="16"/>
            </w:rPr>
          </w:pPr>
        </w:p>
      </w:tc>
      <w:tc>
        <w:tcPr>
          <w:tcW w:w="6237" w:type="dxa"/>
          <w:tcBorders>
            <w:top w:val="single" w:sz="4" w:space="0" w:color="000000"/>
            <w:left w:val="nil"/>
            <w:bottom w:val="nil"/>
            <w:right w:val="nil"/>
          </w:tcBorders>
        </w:tcPr>
        <w:p w14:paraId="475DA051" w14:textId="77777777" w:rsidR="004128FC" w:rsidRPr="00F851BA" w:rsidRDefault="004128FC">
          <w:pPr>
            <w:pBdr>
              <w:top w:val="nil"/>
              <w:left w:val="nil"/>
              <w:bottom w:val="nil"/>
              <w:right w:val="nil"/>
              <w:between w:val="nil"/>
            </w:pBdr>
            <w:tabs>
              <w:tab w:val="center" w:pos="4320"/>
              <w:tab w:val="right" w:pos="8640"/>
            </w:tabs>
            <w:jc w:val="center"/>
            <w:rPr>
              <w:sz w:val="12"/>
              <w:szCs w:val="12"/>
            </w:rPr>
          </w:pPr>
        </w:p>
        <w:p w14:paraId="6DDC2342" w14:textId="77777777" w:rsidR="004128FC" w:rsidRPr="00F851BA" w:rsidRDefault="006429D5">
          <w:pPr>
            <w:pBdr>
              <w:top w:val="nil"/>
              <w:left w:val="nil"/>
              <w:bottom w:val="nil"/>
              <w:right w:val="nil"/>
              <w:between w:val="nil"/>
            </w:pBdr>
            <w:tabs>
              <w:tab w:val="center" w:pos="4320"/>
              <w:tab w:val="right" w:pos="8640"/>
            </w:tabs>
            <w:jc w:val="center"/>
            <w:rPr>
              <w:sz w:val="18"/>
              <w:szCs w:val="18"/>
            </w:rPr>
          </w:pPr>
          <w:r w:rsidRPr="00F851BA">
            <w:rPr>
              <w:sz w:val="18"/>
              <w:szCs w:val="18"/>
            </w:rPr>
            <w:t>Harrison Hot Springs, British Columbia, Canada</w:t>
          </w:r>
        </w:p>
        <w:p w14:paraId="31418108" w14:textId="77777777" w:rsidR="004128FC" w:rsidRPr="00F851BA" w:rsidRDefault="006429D5">
          <w:pPr>
            <w:pBdr>
              <w:top w:val="nil"/>
              <w:left w:val="nil"/>
              <w:bottom w:val="nil"/>
              <w:right w:val="nil"/>
              <w:between w:val="nil"/>
            </w:pBdr>
            <w:tabs>
              <w:tab w:val="center" w:pos="4320"/>
              <w:tab w:val="right" w:pos="8640"/>
            </w:tabs>
            <w:jc w:val="center"/>
            <w:rPr>
              <w:sz w:val="18"/>
              <w:szCs w:val="18"/>
            </w:rPr>
          </w:pPr>
          <w:r w:rsidRPr="00F851BA">
            <w:rPr>
              <w:sz w:val="18"/>
              <w:szCs w:val="18"/>
            </w:rPr>
            <w:t>July 4, 2026</w:t>
          </w:r>
        </w:p>
      </w:tc>
      <w:tc>
        <w:tcPr>
          <w:tcW w:w="1418" w:type="dxa"/>
          <w:vMerge/>
          <w:vAlign w:val="center"/>
        </w:tcPr>
        <w:p w14:paraId="38FFD285" w14:textId="77777777" w:rsidR="004128FC" w:rsidRDefault="004128FC">
          <w:pPr>
            <w:widowControl w:val="0"/>
            <w:pBdr>
              <w:top w:val="nil"/>
              <w:left w:val="nil"/>
              <w:bottom w:val="nil"/>
              <w:right w:val="nil"/>
              <w:between w:val="nil"/>
            </w:pBdr>
            <w:spacing w:line="276" w:lineRule="auto"/>
            <w:jc w:val="left"/>
            <w:rPr>
              <w:color w:val="FF0000"/>
              <w:sz w:val="18"/>
              <w:szCs w:val="18"/>
            </w:rPr>
          </w:pPr>
        </w:p>
      </w:tc>
    </w:tr>
  </w:tbl>
  <w:p w14:paraId="1D91DCBC" w14:textId="77777777" w:rsidR="004128FC" w:rsidRDefault="004128F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379B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D220A7"/>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6782981"/>
    <w:multiLevelType w:val="multilevel"/>
    <w:tmpl w:val="FFFFFFFF"/>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wNTE2NTc0MzY1tjBW0lEKTi0uzszPAykwrAUATyEpmiwAAAA="/>
  </w:docVars>
  <w:rsids>
    <w:rsidRoot w:val="004128FC"/>
    <w:rsid w:val="004128FC"/>
    <w:rsid w:val="004F4E88"/>
    <w:rsid w:val="006429D5"/>
    <w:rsid w:val="008D4F36"/>
    <w:rsid w:val="00F8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1945"/>
  <w15:docId w15:val="{B2BAFE5C-7B9B-1F47-A382-65030B25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tabs>
        <w:tab w:val="left" w:pos="284"/>
      </w:tabs>
      <w:ind w:left="432" w:hanging="432"/>
      <w:jc w:val="left"/>
      <w:outlineLvl w:val="0"/>
    </w:pPr>
    <w:rPr>
      <w:rFonts w:ascii="Times New Roman" w:eastAsia="Times New Roman" w:hAnsi="Times New Roman" w:cs="Times New Roman"/>
      <w:b/>
      <w:bCs/>
      <w:smallCaps/>
    </w:rPr>
  </w:style>
  <w:style w:type="paragraph" w:styleId="Heading2">
    <w:name w:val="heading 2"/>
    <w:basedOn w:val="Normal"/>
    <w:next w:val="Normal"/>
    <w:uiPriority w:val="9"/>
    <w:unhideWhenUsed/>
    <w:qFormat/>
    <w:pPr>
      <w:keepNext/>
      <w:keepLines/>
      <w:spacing w:before="40"/>
      <w:ind w:left="576" w:hanging="576"/>
      <w:outlineLvl w:val="1"/>
    </w:pPr>
    <w:rPr>
      <w:rFonts w:ascii="Play" w:eastAsia="Play" w:hAnsi="Play" w:cs="Play"/>
      <w:color w:val="0F4761"/>
      <w:sz w:val="26"/>
      <w:szCs w:val="26"/>
    </w:rPr>
  </w:style>
  <w:style w:type="paragraph" w:styleId="Heading3">
    <w:name w:val="heading 3"/>
    <w:basedOn w:val="Normal"/>
    <w:next w:val="Normal"/>
    <w:uiPriority w:val="9"/>
    <w:semiHidden/>
    <w:unhideWhenUsed/>
    <w:qFormat/>
    <w:pPr>
      <w:keepNext/>
      <w:keepLines/>
      <w:spacing w:before="40"/>
      <w:ind w:left="720" w:hanging="720"/>
      <w:outlineLvl w:val="2"/>
    </w:pPr>
    <w:rPr>
      <w:rFonts w:ascii="Play" w:eastAsia="Play" w:hAnsi="Play" w:cs="Play"/>
      <w:color w:val="0A2F40"/>
      <w:sz w:val="24"/>
      <w:szCs w:val="24"/>
    </w:rPr>
  </w:style>
  <w:style w:type="paragraph" w:styleId="Heading4">
    <w:name w:val="heading 4"/>
    <w:basedOn w:val="Normal"/>
    <w:next w:val="Normal"/>
    <w:uiPriority w:val="9"/>
    <w:semiHidden/>
    <w:unhideWhenUsed/>
    <w:qFormat/>
    <w:pPr>
      <w:keepNext/>
      <w:keepLines/>
      <w:spacing w:before="40"/>
      <w:ind w:left="864" w:hanging="864"/>
      <w:outlineLvl w:val="3"/>
    </w:pPr>
    <w:rPr>
      <w:rFonts w:ascii="Play" w:eastAsia="Play" w:hAnsi="Play" w:cs="Play"/>
      <w:i/>
      <w:iCs/>
      <w:color w:val="0F4761"/>
    </w:rPr>
  </w:style>
  <w:style w:type="paragraph" w:styleId="Heading5">
    <w:name w:val="heading 5"/>
    <w:basedOn w:val="Normal"/>
    <w:next w:val="Normal"/>
    <w:uiPriority w:val="9"/>
    <w:semiHidden/>
    <w:unhideWhenUsed/>
    <w:qFormat/>
    <w:pPr>
      <w:keepNext/>
      <w:keepLines/>
      <w:spacing w:before="40"/>
      <w:ind w:left="1008" w:hanging="1008"/>
      <w:outlineLvl w:val="4"/>
    </w:pPr>
    <w:rPr>
      <w:rFonts w:ascii="Play" w:eastAsia="Play" w:hAnsi="Play" w:cs="Play"/>
      <w:color w:val="0F4761"/>
    </w:rPr>
  </w:style>
  <w:style w:type="paragraph" w:styleId="Heading6">
    <w:name w:val="heading 6"/>
    <w:basedOn w:val="Normal"/>
    <w:next w:val="Normal"/>
    <w:uiPriority w:val="9"/>
    <w:semiHidden/>
    <w:unhideWhenUsed/>
    <w:qFormat/>
    <w:pPr>
      <w:keepNext/>
      <w:keepLines/>
      <w:spacing w:before="40"/>
      <w:ind w:left="1152" w:hanging="1152"/>
      <w:outlineLvl w:val="5"/>
    </w:pPr>
    <w:rPr>
      <w:rFonts w:ascii="Play" w:eastAsia="Play" w:hAnsi="Play" w:cs="Play"/>
      <w:color w:val="0A2F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0">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1">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2">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5">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6">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7">
    <w:basedOn w:val="TableNormal1"/>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F851BA"/>
    <w:pPr>
      <w:tabs>
        <w:tab w:val="center" w:pos="4680"/>
        <w:tab w:val="right" w:pos="9360"/>
      </w:tabs>
    </w:pPr>
  </w:style>
  <w:style w:type="character" w:customStyle="1" w:styleId="HeaderChar">
    <w:name w:val="Header Char"/>
    <w:basedOn w:val="DefaultParagraphFont"/>
    <w:link w:val="Header"/>
    <w:uiPriority w:val="99"/>
    <w:rsid w:val="00F8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680/iicep.1971.626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s10518-025-02358-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engstruct.2016.10.012"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3ITLQLVXo96R0bCaaxwc301sbw==">CgMxLjA4AHIhMXhycnRjQ1JBVm5SZm5fWUZVbnFWMmJ6UmFRUDBBbF81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1952</Words>
  <Characters>11128</Characters>
  <Application>Microsoft Office Word</Application>
  <DocSecurity>0</DocSecurity>
  <Lines>92</Lines>
  <Paragraphs>26</Paragraphs>
  <ScaleCrop>false</ScaleCrop>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Alam, Shahria</cp:lastModifiedBy>
  <cp:revision>3</cp:revision>
  <dcterms:created xsi:type="dcterms:W3CDTF">2026-08-10T07:10:00Z</dcterms:created>
  <dcterms:modified xsi:type="dcterms:W3CDTF">2026-08-10T16:56:00Z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ies>
</file>