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FF6B35"/>
          <w:spacing w:val="60"/>
          <w:sz w:val="19"/>
          <w:szCs w:val="19"/>
        </w:rPr>
        <w:t xml:space="preserve">BUILDWRIGHT</w:t>
      </w:r>
    </w:p>
    <w:p>
      <w:pPr>
        <w:spacing w:after="40"/>
      </w:pPr>
      <w:r>
        <w:rPr>
          <w:b/>
          <w:bCs/>
          <w:color w:val="191D32"/>
          <w:sz w:val="44"/>
          <w:szCs w:val="44"/>
        </w:rPr>
        <w:t xml:space="preserve">Strike-Off Document Checklist</w:t>
      </w:r>
    </w:p>
    <w:p>
      <w:pPr>
        <w:spacing w:after="60"/>
      </w:pPr>
      <w:r>
        <w:rPr>
          <w:b/>
          <w:bCs/>
          <w:color w:val="191D32"/>
          <w:sz w:val="24"/>
          <w:szCs w:val="24"/>
        </w:rPr>
        <w:t xml:space="preserve">Pvt Ltd (Form STK-2) and LLP (Form 24)</w:t>
      </w:r>
    </w:p>
    <w:p>
      <w:pPr>
        <w:spacing w:after="300" w:line="300"/>
      </w:pPr>
      <w:r>
        <w:rPr>
          <w:color w:val="6B7280"/>
          <w:sz w:val="21"/>
          <w:szCs w:val="21"/>
        </w:rPr>
        <w:t xml:space="preserve">What to gather before you file a voluntary strike-off, for a Pvt Ltd company or an LLP. Not the filing itself, and not a document you sign, just what to have ready before you start.</w:t>
      </w:r>
    </w:p>
    <w:p>
      <w:pPr>
        <w:pBdr>
          <w:left w:val="single" w:color="FF6B35" w:sz="12" w:space="14"/>
        </w:pBdr>
        <w:spacing w:after="200" w:before="80" w:line="290"/>
        <w:ind w:left="300"/>
      </w:pPr>
      <w:r>
        <w:rPr>
          <w:b/>
          <w:bCs/>
          <w:color w:val="FF6B35"/>
          <w:sz w:val="19"/>
          <w:szCs w:val="19"/>
        </w:rPr>
        <w:t xml:space="preserve">Drafting note.  </w:t>
      </w:r>
      <w:r>
        <w:rPr>
          <w:color w:val="6B7280"/>
          <w:sz w:val="19"/>
          <w:szCs w:val="19"/>
        </w:rPr>
        <w:t xml:space="preserve">This is a general checklist. It is not drafted for your entity's specific situation, and it is not legal advice. Confirm every pre-condition against your own filing history before you rely on it, and have your finished document set reviewed before you file. BuildWright provides documentation, filing, and compliance facilitation.</w:t>
      </w:r>
    </w:p>
    <w:p>
      <w:pPr>
        <w:spacing w:after="220" w:line="300"/>
      </w:pPr>
      <w:r>
        <w:rPr>
          <w:color w:val="191D32"/>
          <w:sz w:val="21"/>
          <w:szCs w:val="21"/>
        </w:rPr>
        <w:t xml:space="preserve">Use whichever section applies to you. A Pvt Ltd company applies under Form STK-2; an LLP applies under Form 24. The two routes share a shape, cessation of activity, resolutions or partner consent, an affidavit, an indemnity bond, and a CA-certified nil statement of accounts, but they run under different rules, with different forms, fees, and eligibility conditions. Do not mix documents between the two routes.</w:t>
      </w:r>
    </w:p>
    <w:p>
      <w:pPr>
        <w:pStyle w:val="Heading1"/>
        <w:spacing w:after="160" w:before="340"/>
      </w:pPr>
      <w:r>
        <w:rPr>
          <w:b/>
          <w:bCs/>
          <w:color w:val="191D32"/>
          <w:sz w:val="26"/>
          <w:szCs w:val="26"/>
        </w:rPr>
        <w:t xml:space="preserve">1. Pvt Ltd: Form STK-2 (Section 248(2), Companies Act 2013)</w:t>
      </w:r>
    </w:p>
    <w:p>
      <w:pPr>
        <w:spacing w:after="160" w:line="300"/>
      </w:pPr>
      <w:r>
        <w:rPr>
          <w:color w:val="191D32"/>
          <w:sz w:val="21"/>
          <w:szCs w:val="21"/>
        </w:rPr>
        <w:t xml:space="preserve">The company-initiated, voluntary strike-off route. The company itself applies to the Registrar of Companies after board and shareholder approval, rather than waiting for the Registrar to act on its own suo-motu power.</w:t>
      </w:r>
    </w:p>
    <w:p>
      <w:pPr>
        <w:spacing w:after="100" w:before="220"/>
      </w:pPr>
      <w:r>
        <w:rPr>
          <w:b/>
          <w:bCs/>
          <w:color w:val="191D32"/>
          <w:sz w:val="22"/>
          <w:szCs w:val="22"/>
        </w:rPr>
        <w:t xml:space="preserve">Pre-conditions to confirm before you file</w:t>
      </w:r>
    </w:p>
    <w:tbl>
      <w:tblPr>
        <w:tblW w:type="pct" w:w="100%"/>
        <w:tblBorders>
          <w:top w:val="single" w:color="D9DCE3" w:sz="4"/>
          <w:left w:val="single" w:color="D9DCE3" w:sz="4"/>
          <w:bottom w:val="single" w:color="D9DCE3" w:sz="4"/>
          <w:right w:val="single" w:color="D9DCE3" w:sz="4"/>
          <w:insideH w:val="single" w:color="D9DCE3" w:sz="4"/>
          <w:insideV w:val="single" w:color="D9DCE3" w:sz="4"/>
        </w:tblBorders>
      </w:tblPr>
      <w:tblGrid>
        <w:gridCol w:w="100"/>
        <w:gridCol w:w="100"/>
      </w:tblGrid>
      <w:tr>
        <w:trPr>
          <w:tblHeader/>
        </w:trPr>
        <w:tc>
          <w:tcPr>
            <w:tcW w:type="pct" w:w="88%"/>
            <w:tcMar>
              <w:top w:type="dxa" w:w="110"/>
              <w:left w:type="dxa" w:w="140"/>
              <w:bottom w:type="dxa" w:w="110"/>
              <w:right w:type="dxa" w:w="140"/>
            </w:tcMar>
          </w:tcPr>
          <w:p>
            <w:r>
              <w:rPr>
                <w:b/>
                <w:bCs/>
                <w:color w:val="191D32"/>
                <w:sz w:val="19"/>
                <w:szCs w:val="19"/>
              </w:rPr>
              <w:t xml:space="preserve">Pre-condition</w:t>
            </w:r>
          </w:p>
        </w:tc>
        <w:tc>
          <w:tcPr>
            <w:tcW w:type="pct" w:w="12%"/>
            <w:tcMar>
              <w:top w:type="dxa" w:w="110"/>
              <w:left w:type="dxa" w:w="140"/>
              <w:bottom w:type="dxa" w:w="110"/>
              <w:right w:type="dxa" w:w="140"/>
            </w:tcMar>
          </w:tcPr>
          <w:p>
            <w:r>
              <w:rPr>
                <w:b/>
                <w:bCs/>
                <w:color w:val="191D32"/>
                <w:sz w:val="19"/>
                <w:szCs w:val="19"/>
              </w:rPr>
              <w:t xml:space="preserve">Confirmed</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All overdue AOC-4 (financial statements) and MGT-7/MGT-7A (annual returns) filed up to the cessation financial year</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No business activity, name change, or registered-office shift in the preceding 3 months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Not on the ineligibility list: listed company, Section 8 company, under inspection, investigation, or prosecution, outstanding public deposits, or pending charges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GST registration cancelled (Form REG-19 order in hand), if the company was GST-registered</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Bank account closed, or a closure certificate obtained</w:t>
            </w:r>
          </w:p>
        </w:tc>
        <w:tc>
          <w:tcPr>
            <w:tcW w:type="pct" w:w="12%"/>
            <w:tcMar>
              <w:top w:type="dxa" w:w="110"/>
              <w:left w:type="dxa" w:w="140"/>
              <w:bottom w:type="dxa" w:w="110"/>
              <w:right w:type="dxa" w:w="140"/>
            </w:tcMar>
          </w:tcPr>
          <w:p>
            <w:r>
              <w:rPr>
                <w:b w:val="false"/>
                <w:bCs w:val="false"/>
                <w:color w:val="191D32"/>
                <w:sz w:val="19"/>
                <w:szCs w:val="19"/>
              </w:rPr>
              <w:t xml:space="preserve">☐</w:t>
            </w:r>
          </w:p>
        </w:tc>
      </w:tr>
    </w:tbl>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The overdue AOC-4/MGT-7 filings in the first pre-condition are usually the real cost driver here, well ahead of the Rs 10,000 government fee below. Every year of pending annual filings carries its own late-fee slab, and clearing several years of backlog before STK-2 is even accepted can run to several times the government fee itself. Get an exact figure for your specific backlog before treating strike-off as a flat, low-cost filing.</w:t>
      </w:r>
    </w:p>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This route applies only where a company can honestly certify NIL assets and NIL liabilities on the STK-4 affidavit. Where that certification would not be truthful, this checklist is the wrong document: the company needs voluntary liquidation under the IBC, handled by a registered Insolvency Professional, rather than a strike-off filing used to avoid that harder process.</w:t>
      </w:r>
    </w:p>
    <w:p>
      <w:pPr>
        <w:spacing w:after="100" w:before="220"/>
      </w:pPr>
      <w:r>
        <w:rPr>
          <w:b/>
          <w:bCs/>
          <w:color w:val="191D32"/>
          <w:sz w:val="22"/>
          <w:szCs w:val="22"/>
        </w:rPr>
        <w:t xml:space="preserve">Documents to gather</w:t>
      </w:r>
    </w:p>
    <w:tbl>
      <w:tblPr>
        <w:tblW w:type="pct" w:w="100%"/>
        <w:tblBorders>
          <w:top w:val="single" w:color="D9DCE3" w:sz="4"/>
          <w:left w:val="single" w:color="D9DCE3" w:sz="4"/>
          <w:bottom w:val="single" w:color="D9DCE3" w:sz="4"/>
          <w:right w:val="single" w:color="D9DCE3" w:sz="4"/>
          <w:insideH w:val="single" w:color="D9DCE3" w:sz="4"/>
          <w:insideV w:val="single" w:color="D9DCE3" w:sz="4"/>
        </w:tblBorders>
      </w:tblPr>
      <w:tblGrid>
        <w:gridCol w:w="100"/>
        <w:gridCol w:w="100"/>
      </w:tblGrid>
      <w:tr>
        <w:trPr>
          <w:tblHeader/>
        </w:trPr>
        <w:tc>
          <w:tcPr>
            <w:tcW w:type="pct" w:w="88%"/>
            <w:tcMar>
              <w:top w:type="dxa" w:w="110"/>
              <w:left w:type="dxa" w:w="140"/>
              <w:bottom w:type="dxa" w:w="110"/>
              <w:right w:type="dxa" w:w="140"/>
            </w:tcMar>
          </w:tcPr>
          <w:p>
            <w:r>
              <w:rPr>
                <w:b/>
                <w:bCs/>
                <w:color w:val="191D32"/>
                <w:sz w:val="19"/>
                <w:szCs w:val="19"/>
              </w:rPr>
              <w:t xml:space="preserve">Document</w:t>
            </w:r>
          </w:p>
        </w:tc>
        <w:tc>
          <w:tcPr>
            <w:tcW w:type="pct" w:w="12%"/>
            <w:tcMar>
              <w:top w:type="dxa" w:w="110"/>
              <w:left w:type="dxa" w:w="140"/>
              <w:bottom w:type="dxa" w:w="110"/>
              <w:right w:type="dxa" w:w="140"/>
            </w:tcMar>
          </w:tcPr>
          <w:p>
            <w:r>
              <w:rPr>
                <w:b/>
                <w:bCs/>
                <w:color w:val="191D32"/>
                <w:sz w:val="19"/>
                <w:szCs w:val="19"/>
              </w:rPr>
              <w:t xml:space="preserve">Confirmed</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Board resolution approving the strike-off application</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Special resolution of shareholders, or consent from members holding 75% or more by value</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Form STK-3, a notarised indemnity bond on stamp paper, from every director</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Form STK-4, a notarised affidavit, from every director</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Statement of accounts (Form STK-8), CA-certified with membership number and UDIN, dated within 30 days of filing</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Certified copy of the resolution</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Statement regarding pending litigations, if any</w:t>
            </w:r>
          </w:p>
        </w:tc>
        <w:tc>
          <w:tcPr>
            <w:tcW w:type="pct" w:w="12%"/>
            <w:tcMar>
              <w:top w:type="dxa" w:w="110"/>
              <w:left w:type="dxa" w:w="140"/>
              <w:bottom w:type="dxa" w:w="110"/>
              <w:right w:type="dxa" w:w="140"/>
            </w:tcMar>
          </w:tcPr>
          <w:p>
            <w:r>
              <w:rPr>
                <w:b w:val="false"/>
                <w:bCs w:val="false"/>
                <w:color w:val="191D32"/>
                <w:sz w:val="19"/>
                <w:szCs w:val="19"/>
              </w:rPr>
              <w:t xml:space="preserve">☐</w:t>
            </w:r>
          </w:p>
        </w:tc>
      </w:tr>
    </w:tbl>
    <w:p>
      <w:pPr>
        <w:spacing w:after="100" w:before="220"/>
      </w:pPr>
      <w:r>
        <w:rPr>
          <w:b/>
          <w:bCs/>
          <w:color w:val="191D32"/>
          <w:sz w:val="22"/>
          <w:szCs w:val="22"/>
        </w:rPr>
        <w:t xml:space="preserve">Government fee</w:t>
      </w:r>
    </w:p>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The standard STK-2 government fee is Rs 10,000. It doubled from Rs 5,000 on 10 May 2019, when the Companies (Registration Offices and Fees) Amendment Rules, 2019 came into force. If you see Rs 5,000 quoted anywhere for this filing, that figure is stale. A separate, time-limited scheme, CCFS-2026 (MCA General Circular 01/2026, extended to 31 August 2026 by General Circular 03/2026), currently discounts the fee to Rs 2,500 for companies only. That Rs 2,500 figure is 25% of the current Rs 10,000 fee. It is not 25% of the old Rs 5,000 figure, so do not use it to back-calculate a different standard fee. Confirm the scheme is still live and still covers this filing before you rely on the discounted amount. It does not apply to LLPs.</w:t>
      </w:r>
    </w:p>
    <w:p>
      <w:pPr>
        <w:pageBreakBefore/>
      </w:pPr>
    </w:p>
    <w:p>
      <w:pPr>
        <w:pStyle w:val="Heading1"/>
        <w:spacing w:after="160" w:before="340"/>
      </w:pPr>
      <w:r>
        <w:rPr>
          <w:b/>
          <w:bCs/>
          <w:color w:val="191D32"/>
          <w:sz w:val="26"/>
          <w:szCs w:val="26"/>
        </w:rPr>
        <w:t xml:space="preserve">2. LLP: Form 24 (LLP Rules, 2009, Rule 37)</w:t>
      </w:r>
    </w:p>
    <w:p>
      <w:pPr>
        <w:spacing w:after="160" w:line="300"/>
      </w:pPr>
      <w:r>
        <w:rPr>
          <w:color w:val="191D32"/>
          <w:sz w:val="21"/>
          <w:szCs w:val="21"/>
        </w:rPr>
        <w:t xml:space="preserve">The equivalent voluntary strike-off route for an LLP, processed centrally through the MCA's C-PACE unit rather than a jurisdictional Registrar.</w:t>
      </w:r>
    </w:p>
    <w:p>
      <w:pPr>
        <w:spacing w:after="100" w:before="220"/>
      </w:pPr>
      <w:r>
        <w:rPr>
          <w:b/>
          <w:bCs/>
          <w:color w:val="191D32"/>
          <w:sz w:val="22"/>
          <w:szCs w:val="22"/>
        </w:rPr>
        <w:t xml:space="preserve">Pre-conditions to confirm before you file</w:t>
      </w:r>
    </w:p>
    <w:tbl>
      <w:tblPr>
        <w:tblW w:type="pct" w:w="100%"/>
        <w:tblBorders>
          <w:top w:val="single" w:color="D9DCE3" w:sz="4"/>
          <w:left w:val="single" w:color="D9DCE3" w:sz="4"/>
          <w:bottom w:val="single" w:color="D9DCE3" w:sz="4"/>
          <w:right w:val="single" w:color="D9DCE3" w:sz="4"/>
          <w:insideH w:val="single" w:color="D9DCE3" w:sz="4"/>
          <w:insideV w:val="single" w:color="D9DCE3" w:sz="4"/>
        </w:tblBorders>
      </w:tblPr>
      <w:tblGrid>
        <w:gridCol w:w="100"/>
        <w:gridCol w:w="100"/>
      </w:tblGrid>
      <w:tr>
        <w:trPr>
          <w:tblHeader/>
        </w:trPr>
        <w:tc>
          <w:tcPr>
            <w:tcW w:type="pct" w:w="88%"/>
            <w:tcMar>
              <w:top w:type="dxa" w:w="110"/>
              <w:left w:type="dxa" w:w="140"/>
              <w:bottom w:type="dxa" w:w="110"/>
              <w:right w:type="dxa" w:w="140"/>
            </w:tcMar>
          </w:tcPr>
          <w:p>
            <w:r>
              <w:rPr>
                <w:b/>
                <w:bCs/>
                <w:color w:val="191D32"/>
                <w:sz w:val="19"/>
                <w:szCs w:val="19"/>
              </w:rPr>
              <w:t xml:space="preserve">Pre-condition</w:t>
            </w:r>
          </w:p>
        </w:tc>
        <w:tc>
          <w:tcPr>
            <w:tcW w:type="pct" w:w="12%"/>
            <w:tcMar>
              <w:top w:type="dxa" w:w="110"/>
              <w:left w:type="dxa" w:w="140"/>
              <w:bottom w:type="dxa" w:w="110"/>
              <w:right w:type="dxa" w:w="140"/>
            </w:tcMar>
          </w:tcPr>
          <w:p>
            <w:r>
              <w:rPr>
                <w:b/>
                <w:bCs/>
                <w:color w:val="191D32"/>
                <w:sz w:val="19"/>
                <w:szCs w:val="19"/>
              </w:rPr>
              <w:t xml:space="preserve">Confirmed</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Inactive for at least 1 year, or never commenced business. The exact duration is not confirmed at primary-source level. The general expectation is well supported. Operations must have genuinely ceased, well beyond an LLP that has simply gone quiet for a while</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All overdue Form 8 (Statement of Account and Solvency) and Form 11 (Annual Return) filed up to the cessation year</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NIL assets and NIL liabilities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All bank accounts closed, with a closure letter</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At least one designated partner's DIN/DSC active</w:t>
            </w:r>
          </w:p>
        </w:tc>
        <w:tc>
          <w:tcPr>
            <w:tcW w:type="pct" w:w="12%"/>
            <w:tcMar>
              <w:top w:type="dxa" w:w="110"/>
              <w:left w:type="dxa" w:w="140"/>
              <w:bottom w:type="dxa" w:w="110"/>
              <w:right w:type="dxa" w:w="140"/>
            </w:tcMar>
          </w:tcPr>
          <w:p>
            <w:r>
              <w:rPr>
                <w:b w:val="false"/>
                <w:bCs w:val="false"/>
                <w:color w:val="191D32"/>
                <w:sz w:val="19"/>
                <w:szCs w:val="19"/>
              </w:rPr>
              <w:t xml:space="preserve">☐</w:t>
            </w:r>
          </w:p>
        </w:tc>
      </w:tr>
    </w:tbl>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The overdue Form 8/11 filings above are usually the real cost driver here, well ahead of the Rs 500-1,000 government fee below. Each accrues as a delay-scaled late fee rather than a flat one, and clearing several years of backlog before Form 24 is even accepted can run to several times the strike-off fee itself. Get an exact figure for your specific backlog before treating strike-off as a flat, low-cost filing.</w:t>
      </w:r>
    </w:p>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This route applies only where an LLP can honestly certify NIL assets and NIL liabilities on the designated-partner affidavit. Where that certification would not be truthful, this checklist is the wrong document: the LLP needs winding up under the LLP Act read with the IBC, handled by a registered Insolvency Professional, rather than a strike-off filing used to avoid that harder process.</w:t>
      </w:r>
    </w:p>
    <w:p>
      <w:pPr>
        <w:spacing w:after="100" w:before="220"/>
      </w:pPr>
      <w:r>
        <w:rPr>
          <w:b/>
          <w:bCs/>
          <w:color w:val="191D32"/>
          <w:sz w:val="22"/>
          <w:szCs w:val="22"/>
        </w:rPr>
        <w:t xml:space="preserve">Documents to gather</w:t>
      </w:r>
    </w:p>
    <w:tbl>
      <w:tblPr>
        <w:tblW w:type="pct" w:w="100%"/>
        <w:tblBorders>
          <w:top w:val="single" w:color="D9DCE3" w:sz="4"/>
          <w:left w:val="single" w:color="D9DCE3" w:sz="4"/>
          <w:bottom w:val="single" w:color="D9DCE3" w:sz="4"/>
          <w:right w:val="single" w:color="D9DCE3" w:sz="4"/>
          <w:insideH w:val="single" w:color="D9DCE3" w:sz="4"/>
          <w:insideV w:val="single" w:color="D9DCE3" w:sz="4"/>
        </w:tblBorders>
      </w:tblPr>
      <w:tblGrid>
        <w:gridCol w:w="100"/>
        <w:gridCol w:w="100"/>
      </w:tblGrid>
      <w:tr>
        <w:trPr>
          <w:tblHeader/>
        </w:trPr>
        <w:tc>
          <w:tcPr>
            <w:tcW w:type="pct" w:w="88%"/>
            <w:tcMar>
              <w:top w:type="dxa" w:w="110"/>
              <w:left w:type="dxa" w:w="140"/>
              <w:bottom w:type="dxa" w:w="110"/>
              <w:right w:type="dxa" w:w="140"/>
            </w:tcMar>
          </w:tcPr>
          <w:p>
            <w:r>
              <w:rPr>
                <w:b/>
                <w:bCs/>
                <w:color w:val="191D32"/>
                <w:sz w:val="19"/>
                <w:szCs w:val="19"/>
              </w:rPr>
              <w:t xml:space="preserve">Document</w:t>
            </w:r>
          </w:p>
        </w:tc>
        <w:tc>
          <w:tcPr>
            <w:tcW w:type="pct" w:w="12%"/>
            <w:tcMar>
              <w:top w:type="dxa" w:w="110"/>
              <w:left w:type="dxa" w:w="140"/>
              <w:bottom w:type="dxa" w:w="110"/>
              <w:right w:type="dxa" w:w="140"/>
            </w:tcMar>
          </w:tcPr>
          <w:p>
            <w:r>
              <w:rPr>
                <w:b/>
                <w:bCs/>
                <w:color w:val="191D32"/>
                <w:sz w:val="19"/>
                <w:szCs w:val="19"/>
              </w:rPr>
              <w:t xml:space="preserve">Confirmed</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Consent of all partners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Written consent of creditors, if any exist</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Designated-partner affidavit, on Rs 200 stamp paper, affirming inactivity and nil liabilities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Indemnity bond executed by all partners</w:t>
            </w:r>
          </w:p>
        </w:tc>
        <w:tc>
          <w:tcPr>
            <w:tcW w:type="pct" w:w="12%"/>
            <w:tcMar>
              <w:top w:type="dxa" w:w="110"/>
              <w:left w:type="dxa" w:w="140"/>
              <w:bottom w:type="dxa" w:w="110"/>
              <w:right w:type="dxa" w:w="140"/>
            </w:tcMar>
          </w:tcPr>
          <w:p>
            <w:r>
              <w:rPr>
                <w:b w:val="false"/>
                <w:bCs w:val="false"/>
                <w:color w:val="191D32"/>
                <w:sz w:val="19"/>
                <w:szCs w:val="19"/>
              </w:rPr>
              <w:t xml:space="preserve">☐</w:t>
            </w:r>
          </w:p>
        </w:tc>
      </w:tr>
      <w:tr>
        <w:trPr>
          <w:tblHeader w:val="false"/>
        </w:trPr>
        <w:tc>
          <w:tcPr>
            <w:tcW w:type="pct" w:w="88%"/>
            <w:tcMar>
              <w:top w:type="dxa" w:w="110"/>
              <w:left w:type="dxa" w:w="140"/>
              <w:bottom w:type="dxa" w:w="110"/>
              <w:right w:type="dxa" w:w="140"/>
            </w:tcMar>
          </w:tcPr>
          <w:p>
            <w:r>
              <w:rPr>
                <w:b w:val="false"/>
                <w:bCs w:val="false"/>
                <w:color w:val="191D32"/>
                <w:sz w:val="19"/>
                <w:szCs w:val="19"/>
              </w:rPr>
              <w:t xml:space="preserve">Statement of accounts, CA-certified, dated within 30 days of filing, showing nil assets and nil liabilities</w:t>
            </w:r>
          </w:p>
        </w:tc>
        <w:tc>
          <w:tcPr>
            <w:tcW w:type="pct" w:w="12%"/>
            <w:tcMar>
              <w:top w:type="dxa" w:w="110"/>
              <w:left w:type="dxa" w:w="140"/>
              <w:bottom w:type="dxa" w:w="110"/>
              <w:right w:type="dxa" w:w="140"/>
            </w:tcMar>
          </w:tcPr>
          <w:p>
            <w:r>
              <w:rPr>
                <w:b w:val="false"/>
                <w:bCs w:val="false"/>
                <w:color w:val="191D32"/>
                <w:sz w:val="19"/>
                <w:szCs w:val="19"/>
              </w:rPr>
              <w:t xml:space="preserve">☐</w:t>
            </w:r>
          </w:p>
        </w:tc>
      </w:tr>
    </w:tbl>
    <w:p>
      <w:pPr>
        <w:spacing w:after="100" w:before="220"/>
      </w:pPr>
      <w:r>
        <w:rPr>
          <w:b/>
          <w:bCs/>
          <w:color w:val="191D32"/>
          <w:sz w:val="22"/>
          <w:szCs w:val="22"/>
        </w:rPr>
        <w:t xml:space="preserve">Government fee</w:t>
      </w:r>
    </w:p>
    <w:p>
      <w:pPr>
        <w:pBdr>
          <w:left w:val="single" w:color="FF6B35" w:sz="12" w:space="14"/>
        </w:pBdr>
        <w:spacing w:after="200" w:before="80" w:line="290"/>
        <w:ind w:left="300"/>
      </w:pPr>
      <w:r>
        <w:rPr>
          <w:b/>
          <w:bCs/>
          <w:color w:val="FF6B35"/>
          <w:sz w:val="19"/>
          <w:szCs w:val="19"/>
        </w:rPr>
        <w:t xml:space="preserve">Drafting note.  </w:t>
      </w:r>
      <w:r>
        <w:rPr>
          <w:color w:val="6B7280"/>
          <w:sz w:val="19"/>
          <w:szCs w:val="19"/>
        </w:rPr>
        <w:t xml:space="preserve">Two figures circulate for the Form 24 government fee: Rs 500, the small-LLP rate, and Rs 1,000, commonly charged in practice regardless of small-LLP status. Neither is confirmed as the single correct figure at primary-source level, so treat both as live possibilities and confirm the amount the MCA/C-PACE portal actually charges when you file, rather than assuming one. This fee is not discounted under CCFS-2026; that scheme excludes LLPs entirely.</w:t>
      </w:r>
    </w:p>
    <w:p>
      <w:pPr>
        <w:pStyle w:val="Heading1"/>
        <w:spacing w:after="160" w:before="340"/>
      </w:pPr>
      <w:r>
        <w:rPr>
          <w:b/>
          <w:bCs/>
          <w:color w:val="191D32"/>
          <w:sz w:val="26"/>
          <w:szCs w:val="26"/>
        </w:rPr>
        <w:t xml:space="preserve">Filing notes that apply to both routes</w:t>
      </w:r>
    </w:p>
    <w:p>
      <w:pPr>
        <w:pBdr>
          <w:left w:val="single" w:color="FF6B35" w:sz="24" w:space="14"/>
        </w:pBdr>
        <w:spacing w:after="220" w:before="100" w:line="290"/>
        <w:ind w:left="300"/>
      </w:pPr>
      <w:r>
        <w:rPr>
          <w:b/>
          <w:bCs/>
          <w:color w:val="FF6B35"/>
          <w:sz w:val="19"/>
          <w:szCs w:val="19"/>
        </w:rPr>
        <w:t xml:space="preserve">Read this before you fill the form.  </w:t>
      </w:r>
      <w:r>
        <w:rPr>
          <w:color w:val="191D32"/>
          <w:sz w:val="19"/>
          <w:szCs w:val="19"/>
        </w:rPr>
        <w:t xml:space="preserve">Attachments are filed as PDF through the MCA/C-PACE portal alongside the e-form. Check the current file-size cap at the time you file, portals change these without much notice. Every affidavit and indemnity bond in both routes has to be notarised, Forms STK-3 and STK-4 in the Pvt Ltd route, or executed on the correct stamp paper, the LLP designated-partner affidavit on Rs 200 stamp paper. An unnotarised document, or one on the wrong stamp value, is a common reason both filings get rejected.</w:t>
      </w:r>
    </w:p>
    <w:p>
      <w:pPr>
        <w:pBdr>
          <w:top w:val="single" w:color="D9DCE3" w:sz="6" w:space="16"/>
        </w:pBdr>
        <w:spacing w:before="420"/>
      </w:pPr>
    </w:p>
    <w:p>
      <w:pPr>
        <w:spacing w:after="90" w:line="300"/>
      </w:pPr>
      <w:r>
        <w:rPr>
          <w:color w:val="6B7280"/>
          <w:sz w:val="18"/>
          <w:szCs w:val="18"/>
        </w:rPr>
        <w:t xml:space="preserve">This template is provided free by BuildWright. It is a general document, it is not drafted for your situation, and it is not legal advice. Have it reviewed before you sign or file it. BuildWright provides documentation, filing, and compliance facilitation.</w:t>
      </w:r>
    </w:p>
    <w:p>
      <w:pPr>
        <w:spacing w:after="90" w:line="300"/>
      </w:pPr>
      <w:r>
        <w:rPr>
          <w:color w:val="6B7280"/>
          <w:sz w:val="18"/>
          <w:szCs w:val="18"/>
        </w:rPr>
        <w:t xml:space="preserve">Skip tracking down every signature and certification yourself. BuildWright prepares and files this for you: the Pvt Ltd Strike-Off (STK-2) service (buildwright.co.in/services/incorporation/pvt-ltd-strike-off-stk-2) or the LLP Strike-Off (Form 24) service (buildwright.co.in/services/incorporation/llp-strike-off-form-24).</w:t>
      </w:r>
    </w:p>
    <w:p>
      <w:pPr>
        <w:spacing w:after="140" w:line="300"/>
      </w:pPr>
      <w:r>
        <w:rPr>
          <w:b/>
          <w:bCs/>
          <w:color w:val="FF6B35"/>
          <w:sz w:val="18"/>
          <w:szCs w:val="18"/>
        </w:rPr>
        <w:t xml:space="preserve">buildwright.co.in</w:t>
      </w:r>
    </w:p>
    <w:sectPr>
      <w:pgSz w:w="11906" w:h="16838" w:orient="portrait"/>
      <w:pgMar w:top="1150" w:right="1150" w:bottom="115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lowerRoman"/>
      <w:lvlText w:val="(%1)"/>
      <w:lvlJc w:val="start"/>
      <w:pPr>
        <w:ind w:left="900" w:hanging="34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91D32"/>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Strike-Off Document Checklist: Pvt Ltd (STK-2) and LLP (Form 24)</dc:title>
  <dc:creator>BuildWright</dc:creator>
  <dc:description>A two-route reference checklist of the pre-conditions and documents a Pvt Ltd company (Form STK-2) or an LLP (Form 24) needs before filing to voluntarily close. A general document. It is not drafted for your specific entity and it is not legal advice.</dc:description>
  <cp:lastModifiedBy>BuildWright</cp:lastModifiedBy>
  <cp:revision>1</cp:revision>
  <dcterms:created xsi:type="dcterms:W3CDTF">2026-07-26T19:13:33.900Z</dcterms:created>
  <dcterms:modified xsi:type="dcterms:W3CDTF">2026-07-26T19:13:33.900Z</dcterms:modified>
</cp:coreProperties>
</file>

<file path=docProps/custom.xml><?xml version="1.0" encoding="utf-8"?>
<Properties xmlns="http://schemas.openxmlformats.org/officeDocument/2006/custom-properties" xmlns:vt="http://schemas.openxmlformats.org/officeDocument/2006/docPropsVTypes"/>
</file>