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FF6B35"/>
          <w:spacing w:val="60"/>
          <w:sz w:val="19"/>
          <w:szCs w:val="19"/>
        </w:rPr>
        <w:t xml:space="preserve">BUILDWRIGHT</w:t>
      </w:r>
    </w:p>
    <w:p>
      <w:pPr>
        <w:spacing w:after="40"/>
      </w:pPr>
      <w:r>
        <w:rPr>
          <w:b/>
          <w:bCs/>
          <w:color w:val="191D32"/>
          <w:sz w:val="44"/>
          <w:szCs w:val="44"/>
        </w:rPr>
        <w:t xml:space="preserve">Data Processing Agreement Addendum</w:t>
      </w:r>
    </w:p>
    <w:p>
      <w:pPr>
        <w:spacing w:after="60"/>
      </w:pPr>
      <w:r>
        <w:rPr>
          <w:b/>
          <w:bCs/>
          <w:color w:val="191D32"/>
          <w:sz w:val="24"/>
          <w:szCs w:val="24"/>
        </w:rPr>
        <w:t xml:space="preserve">Digital Personal Data Protection Act, 2023</w:t>
      </w:r>
    </w:p>
    <w:p>
      <w:pPr>
        <w:spacing w:after="300" w:line="300"/>
      </w:pPr>
      <w:r>
        <w:rPr>
          <w:color w:val="6B7280"/>
          <w:sz w:val="21"/>
          <w:szCs w:val="21"/>
        </w:rPr>
        <w:t xml:space="preserve">A blank, fillable addendum that attaches to an existing services agreement, for a Data Fiduciary and a Data Processor under the Digital Personal Data Protection Act, 2023.</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This is a general template. It has not been drafted for either party's specific situation. This is documentation prepared for your review, and it is not legal advice. Fill every bracketed field, delete what does not apply, and have it reviewed before either party signs. BuildWright provides documentation, filing, and compliance facilitation.</w:t>
      </w:r>
    </w:p>
    <w:p>
      <w:pPr>
        <w:pBdr>
          <w:left w:val="single" w:color="FF6B35" w:sz="24" w:space="14"/>
        </w:pBdr>
        <w:spacing w:after="220" w:before="100" w:line="290"/>
        <w:ind w:left="300"/>
      </w:pPr>
      <w:r>
        <w:rPr>
          <w:b/>
          <w:bCs/>
          <w:color w:val="FF6B35"/>
          <w:sz w:val="19"/>
          <w:szCs w:val="19"/>
        </w:rPr>
        <w:t xml:space="preserve">Read this before you fill the form.  </w:t>
      </w:r>
      <w:r>
        <w:rPr>
          <w:color w:val="191D32"/>
          <w:sz w:val="19"/>
          <w:szCs w:val="19"/>
        </w:rPr>
        <w:t xml:space="preserve">This is a DPDP addendum, built on the Digital Personal Data Protection Act, 2023, and it does not import GDPR concepts. The Act has no "legitimate interest" lawful basis of the kind the GDPR has; consent, or one of the Act's own listed legitimate uses, does that work here instead. The Act also creates no statutory data-portability right. A GDPR-style DPA reused for an Indian engagement carries clauses this Addendum does not need, and it can miss the ones the Act actually requires, such as the section 8(2) contract requirement and the Rule 6(1) security safeguards below. Use this Addendum as drafted, on its own terms.</w:t>
      </w:r>
    </w:p>
    <w:p>
      <w:pPr>
        <w:pStyle w:val="Heading1"/>
        <w:spacing w:after="160" w:before="340"/>
      </w:pPr>
      <w:r>
        <w:rPr>
          <w:b/>
          <w:bCs/>
          <w:color w:val="191D32"/>
          <w:sz w:val="26"/>
          <w:szCs w:val="26"/>
        </w:rPr>
        <w:t xml:space="preserve">Recitals</w:t>
      </w:r>
    </w:p>
    <w:p>
      <w:pPr>
        <w:spacing w:after="140" w:line="300"/>
      </w:pPr>
      <w:r>
        <w:rPr>
          <w:color w:val="191D32"/>
          <w:sz w:val="21"/>
          <w:szCs w:val="21"/>
        </w:rPr>
        <w:t xml:space="preserve">This Data Processing Agreement Addendum (this "Addendum") is made on the Effective Date below, between the following two Parties, and attaches to an existing agreement already in force between them.</w:t>
      </w:r>
    </w:p>
    <w:p>
      <w:pPr>
        <w:spacing w:after="60"/>
      </w:pPr>
    </w:p>
    <w:tbl>
      <w:tblPr>
        <w:tblW w:type="pct" w:w="100%"/>
        <w:tblBorders>
          <w:top w:val="single" w:color="D9DCE3" w:sz="4"/>
          <w:left w:val="single" w:color="D9DCE3" w:sz="4"/>
          <w:bottom w:val="single" w:color="D9DCE3" w:sz="4"/>
          <w:right w:val="single" w:color="D9DCE3" w:sz="4"/>
          <w:insideH w:val="single" w:color="D9DCE3" w:sz="4"/>
          <w:insideV w:val="single" w:color="D9DCE3" w:sz="4"/>
        </w:tblBorders>
      </w:tblPr>
      <w:tblGrid>
        <w:gridCol w:w="100"/>
        <w:gridCol w:w="100"/>
        <w:gridCol w:w="100"/>
      </w:tblGrid>
      <w:tr>
        <w:tc>
          <w:tcPr>
            <w:tcW w:type="pct" w:w="7%"/>
            <w:tcMar>
              <w:top w:type="dxa" w:w="110"/>
              <w:left w:type="dxa" w:w="140"/>
              <w:bottom w:type="dxa" w:w="110"/>
              <w:right w:type="dxa" w:w="140"/>
            </w:tcMar>
          </w:tcPr>
          <w:p>
            <w:r>
              <w:rPr>
                <w:color w:val="191D32"/>
                <w:sz w:val="19"/>
                <w:szCs w:val="19"/>
              </w:rPr>
              <w:t xml:space="preserve">1.</w:t>
            </w:r>
          </w:p>
        </w:tc>
        <w:tc>
          <w:tcPr>
            <w:tcW w:type="pct" w:w="40%"/>
            <w:tcMar>
              <w:top w:type="dxa" w:w="110"/>
              <w:left w:type="dxa" w:w="140"/>
              <w:bottom w:type="dxa" w:w="110"/>
              <w:right w:type="dxa" w:w="140"/>
            </w:tcMar>
          </w:tcPr>
          <w:p>
            <w:r>
              <w:rPr>
                <w:b/>
                <w:bCs/>
                <w:color w:val="191D32"/>
                <w:sz w:val="19"/>
                <w:szCs w:val="19"/>
              </w:rPr>
              <w:t xml:space="preserve">Data Fiduciary: full legal name</w:t>
            </w:r>
          </w:p>
        </w:tc>
        <w:tc>
          <w:tcPr>
            <w:tcW w:type="pct" w:w="53%"/>
            <w:tcMar>
              <w:top w:type="dxa" w:w="110"/>
              <w:left w:type="dxa" w:w="140"/>
              <w:bottom w:type="dxa" w:w="110"/>
              <w:right w:type="dxa" w:w="140"/>
            </w:tcMar>
          </w:tcPr>
          <w:p>
            <w:r>
              <w:rPr>
                <w:color w:val="191D32"/>
                <w:sz w:val="19"/>
                <w:szCs w:val="19"/>
              </w:rPr>
              <w:t xml:space="preserve">[ entity's registered name ]</w:t>
            </w:r>
          </w:p>
        </w:tc>
      </w:tr>
      <w:tr>
        <w:tc>
          <w:tcPr>
            <w:tcW w:type="pct" w:w="7%"/>
            <w:tcMar>
              <w:top w:type="dxa" w:w="110"/>
              <w:left w:type="dxa" w:w="140"/>
              <w:bottom w:type="dxa" w:w="110"/>
              <w:right w:type="dxa" w:w="140"/>
            </w:tcMar>
          </w:tcPr>
          <w:p>
            <w:r>
              <w:rPr>
                <w:color w:val="191D32"/>
                <w:sz w:val="19"/>
                <w:szCs w:val="19"/>
              </w:rPr>
              <w:t xml:space="preserve">2.</w:t>
            </w:r>
          </w:p>
        </w:tc>
        <w:tc>
          <w:tcPr>
            <w:tcW w:type="pct" w:w="40%"/>
            <w:tcMar>
              <w:top w:type="dxa" w:w="110"/>
              <w:left w:type="dxa" w:w="140"/>
              <w:bottom w:type="dxa" w:w="110"/>
              <w:right w:type="dxa" w:w="140"/>
            </w:tcMar>
          </w:tcPr>
          <w:p>
            <w:r>
              <w:rPr>
                <w:b/>
                <w:bCs/>
                <w:color w:val="191D32"/>
                <w:sz w:val="19"/>
                <w:szCs w:val="19"/>
              </w:rPr>
              <w:t xml:space="preserve">Data Fiduciary: registered address</w:t>
            </w:r>
          </w:p>
        </w:tc>
        <w:tc>
          <w:tcPr>
            <w:tcW w:type="pct" w:w="53%"/>
            <w:tcMar>
              <w:top w:type="dxa" w:w="110"/>
              <w:left w:type="dxa" w:w="140"/>
              <w:bottom w:type="dxa" w:w="110"/>
              <w:right w:type="dxa" w:w="140"/>
            </w:tcMar>
          </w:tcPr>
          <w:p>
            <w:r>
              <w:rPr>
                <w:color w:val="191D32"/>
                <w:sz w:val="19"/>
                <w:szCs w:val="19"/>
              </w:rPr>
              <w:t xml:space="preserve">[ registered office address ]</w:t>
            </w:r>
          </w:p>
        </w:tc>
      </w:tr>
      <w:tr>
        <w:tc>
          <w:tcPr>
            <w:tcW w:type="pct" w:w="7%"/>
            <w:tcMar>
              <w:top w:type="dxa" w:w="110"/>
              <w:left w:type="dxa" w:w="140"/>
              <w:bottom w:type="dxa" w:w="110"/>
              <w:right w:type="dxa" w:w="140"/>
            </w:tcMar>
          </w:tcPr>
          <w:p>
            <w:r>
              <w:rPr>
                <w:color w:val="191D32"/>
                <w:sz w:val="19"/>
                <w:szCs w:val="19"/>
              </w:rPr>
              <w:t xml:space="preserve">3.</w:t>
            </w:r>
          </w:p>
        </w:tc>
        <w:tc>
          <w:tcPr>
            <w:tcW w:type="pct" w:w="40%"/>
            <w:tcMar>
              <w:top w:type="dxa" w:w="110"/>
              <w:left w:type="dxa" w:w="140"/>
              <w:bottom w:type="dxa" w:w="110"/>
              <w:right w:type="dxa" w:w="140"/>
            </w:tcMar>
          </w:tcPr>
          <w:p>
            <w:r>
              <w:rPr>
                <w:b/>
                <w:bCs/>
                <w:color w:val="191D32"/>
                <w:sz w:val="19"/>
                <w:szCs w:val="19"/>
              </w:rPr>
              <w:t xml:space="preserve">Data Processor: full legal name</w:t>
            </w:r>
          </w:p>
        </w:tc>
        <w:tc>
          <w:tcPr>
            <w:tcW w:type="pct" w:w="53%"/>
            <w:tcMar>
              <w:top w:type="dxa" w:w="110"/>
              <w:left w:type="dxa" w:w="140"/>
              <w:bottom w:type="dxa" w:w="110"/>
              <w:right w:type="dxa" w:w="140"/>
            </w:tcMar>
          </w:tcPr>
          <w:p>
            <w:r>
              <w:rPr>
                <w:color w:val="191D32"/>
                <w:sz w:val="19"/>
                <w:szCs w:val="19"/>
              </w:rPr>
              <w:t xml:space="preserve">[ individual's full name, or entity's registered name ]</w:t>
            </w:r>
          </w:p>
        </w:tc>
      </w:tr>
      <w:tr>
        <w:tc>
          <w:tcPr>
            <w:tcW w:type="pct" w:w="7%"/>
            <w:tcMar>
              <w:top w:type="dxa" w:w="110"/>
              <w:left w:type="dxa" w:w="140"/>
              <w:bottom w:type="dxa" w:w="110"/>
              <w:right w:type="dxa" w:w="140"/>
            </w:tcMar>
          </w:tcPr>
          <w:p>
            <w:r>
              <w:rPr>
                <w:color w:val="191D32"/>
                <w:sz w:val="19"/>
                <w:szCs w:val="19"/>
              </w:rPr>
              <w:t xml:space="preserve">4.</w:t>
            </w:r>
          </w:p>
        </w:tc>
        <w:tc>
          <w:tcPr>
            <w:tcW w:type="pct" w:w="40%"/>
            <w:tcMar>
              <w:top w:type="dxa" w:w="110"/>
              <w:left w:type="dxa" w:w="140"/>
              <w:bottom w:type="dxa" w:w="110"/>
              <w:right w:type="dxa" w:w="140"/>
            </w:tcMar>
          </w:tcPr>
          <w:p>
            <w:r>
              <w:rPr>
                <w:b/>
                <w:bCs/>
                <w:color w:val="191D32"/>
                <w:sz w:val="19"/>
                <w:szCs w:val="19"/>
              </w:rPr>
              <w:t xml:space="preserve">Data Processor: registered address</w:t>
            </w:r>
          </w:p>
        </w:tc>
        <w:tc>
          <w:tcPr>
            <w:tcW w:type="pct" w:w="53%"/>
            <w:tcMar>
              <w:top w:type="dxa" w:w="110"/>
              <w:left w:type="dxa" w:w="140"/>
              <w:bottom w:type="dxa" w:w="110"/>
              <w:right w:type="dxa" w:w="140"/>
            </w:tcMar>
          </w:tcPr>
          <w:p>
            <w:r>
              <w:rPr>
                <w:color w:val="191D32"/>
                <w:sz w:val="19"/>
                <w:szCs w:val="19"/>
              </w:rPr>
              <w:t xml:space="preserve">[ registered office address, or residential address ]</w:t>
            </w:r>
          </w:p>
        </w:tc>
      </w:tr>
      <w:tr>
        <w:tc>
          <w:tcPr>
            <w:tcW w:type="pct" w:w="7%"/>
            <w:tcMar>
              <w:top w:type="dxa" w:w="110"/>
              <w:left w:type="dxa" w:w="140"/>
              <w:bottom w:type="dxa" w:w="110"/>
              <w:right w:type="dxa" w:w="140"/>
            </w:tcMar>
          </w:tcPr>
          <w:p>
            <w:r>
              <w:rPr>
                <w:color w:val="191D32"/>
                <w:sz w:val="19"/>
                <w:szCs w:val="19"/>
              </w:rPr>
              <w:t xml:space="preserve">5.</w:t>
            </w:r>
          </w:p>
        </w:tc>
        <w:tc>
          <w:tcPr>
            <w:tcW w:type="pct" w:w="40%"/>
            <w:tcMar>
              <w:top w:type="dxa" w:w="110"/>
              <w:left w:type="dxa" w:w="140"/>
              <w:bottom w:type="dxa" w:w="110"/>
              <w:right w:type="dxa" w:w="140"/>
            </w:tcMar>
          </w:tcPr>
          <w:p>
            <w:r>
              <w:rPr>
                <w:b/>
                <w:bCs/>
                <w:color w:val="191D32"/>
                <w:sz w:val="19"/>
                <w:szCs w:val="19"/>
              </w:rPr>
              <w:t xml:space="preserve">Principal Agreement</w:t>
            </w:r>
          </w:p>
        </w:tc>
        <w:tc>
          <w:tcPr>
            <w:tcW w:type="pct" w:w="53%"/>
            <w:tcMar>
              <w:top w:type="dxa" w:w="110"/>
              <w:left w:type="dxa" w:w="140"/>
              <w:bottom w:type="dxa" w:w="110"/>
              <w:right w:type="dxa" w:w="140"/>
            </w:tcMar>
          </w:tcPr>
          <w:p>
            <w:r>
              <w:rPr>
                <w:color w:val="191D32"/>
                <w:sz w:val="19"/>
                <w:szCs w:val="19"/>
              </w:rPr>
              <w:t xml:space="preserve">[ title of the existing services agreement this Addendum attaches to, and its date ]</w:t>
            </w:r>
          </w:p>
        </w:tc>
      </w:tr>
      <w:tr>
        <w:tc>
          <w:tcPr>
            <w:tcW w:type="pct" w:w="7%"/>
            <w:tcMar>
              <w:top w:type="dxa" w:w="110"/>
              <w:left w:type="dxa" w:w="140"/>
              <w:bottom w:type="dxa" w:w="110"/>
              <w:right w:type="dxa" w:w="140"/>
            </w:tcMar>
          </w:tcPr>
          <w:p>
            <w:r>
              <w:rPr>
                <w:color w:val="191D32"/>
                <w:sz w:val="19"/>
                <w:szCs w:val="19"/>
              </w:rPr>
              <w:t xml:space="preserve">6.</w:t>
            </w:r>
          </w:p>
        </w:tc>
        <w:tc>
          <w:tcPr>
            <w:tcW w:type="pct" w:w="40%"/>
            <w:tcMar>
              <w:top w:type="dxa" w:w="110"/>
              <w:left w:type="dxa" w:w="140"/>
              <w:bottom w:type="dxa" w:w="110"/>
              <w:right w:type="dxa" w:w="140"/>
            </w:tcMar>
          </w:tcPr>
          <w:p>
            <w:r>
              <w:rPr>
                <w:b/>
                <w:bCs/>
                <w:color w:val="191D32"/>
                <w:sz w:val="19"/>
                <w:szCs w:val="19"/>
              </w:rPr>
              <w:t xml:space="preserve">Effective Date of this Addendum</w:t>
            </w:r>
          </w:p>
        </w:tc>
        <w:tc>
          <w:tcPr>
            <w:tcW w:type="pct" w:w="53%"/>
            <w:tcMar>
              <w:top w:type="dxa" w:w="110"/>
              <w:left w:type="dxa" w:w="140"/>
              <w:bottom w:type="dxa" w:w="110"/>
              <w:right w:type="dxa" w:w="140"/>
            </w:tcMar>
          </w:tcPr>
          <w:p>
            <w:r>
              <w:rPr>
                <w:color w:val="191D32"/>
                <w:sz w:val="19"/>
                <w:szCs w:val="19"/>
              </w:rPr>
              <w:t xml:space="preserve">[ DD/MM/YYYY ]</w:t>
            </w:r>
          </w:p>
        </w:tc>
      </w:tr>
    </w:tbl>
    <w:p>
      <w:pPr>
        <w:spacing w:after="160"/>
      </w:pPr>
    </w:p>
    <w:p>
      <w:pPr>
        <w:spacing w:after="130" w:line="300"/>
        <w:ind w:left="480" w:hanging="480"/>
      </w:pPr>
      <w:r>
        <w:rPr>
          <w:b/>
          <w:bCs/>
          <w:color w:val="191D32"/>
          <w:sz w:val="21"/>
          <w:szCs w:val="21"/>
        </w:rPr>
        <w:t xml:space="preserve">(A)  </w:t>
      </w:r>
      <w:r>
        <w:rPr>
          <w:color w:val="191D32"/>
          <w:sz w:val="21"/>
          <w:szCs w:val="21"/>
        </w:rPr>
        <w:t xml:space="preserve">Under the Principal Agreement named above, the Data Processor processes personal data on behalf of the Data Fiduciary in the course of providing the services described there.</w:t>
      </w:r>
    </w:p>
    <w:p>
      <w:pPr>
        <w:spacing w:after="130" w:line="300"/>
        <w:ind w:left="480" w:hanging="480"/>
      </w:pPr>
      <w:r>
        <w:rPr>
          <w:b/>
          <w:bCs/>
          <w:color w:val="191D32"/>
          <w:sz w:val="21"/>
          <w:szCs w:val="21"/>
        </w:rPr>
        <w:t xml:space="preserve">(B)  </w:t>
      </w:r>
      <w:r>
        <w:rPr>
          <w:color w:val="191D32"/>
          <w:sz w:val="21"/>
          <w:szCs w:val="21"/>
        </w:rPr>
        <w:t xml:space="preserve">Section 8(2) of the Digital Personal Data Protection Act, 2023 (the "Act") permits a Data Fiduciary to engage, appoint, use, or otherwise involve a Data Processor to process personal data on its behalf only under a valid contract. This Addendum is that contract, read together with the Principal Agreement, for all personal data processed under it.</w:t>
      </w:r>
    </w:p>
    <w:p>
      <w:pPr>
        <w:spacing w:after="130" w:line="300"/>
        <w:ind w:left="480" w:hanging="480"/>
      </w:pPr>
      <w:r>
        <w:rPr>
          <w:b/>
          <w:bCs/>
          <w:color w:val="191D32"/>
          <w:sz w:val="21"/>
          <w:szCs w:val="21"/>
        </w:rPr>
        <w:t xml:space="preserve">(C)  </w:t>
      </w:r>
      <w:r>
        <w:rPr>
          <w:color w:val="191D32"/>
          <w:sz w:val="21"/>
          <w:szCs w:val="21"/>
        </w:rPr>
        <w:t xml:space="preserve">This Addendum forms part of, and is supplemental to, the Principal Agreement. Where a term of this Addendum conflicts with a term of the Principal Agreement on a matter this Addendum governs, this Addendum prevails; the Principal Agreement continues to govern everything else, including the underlying services, fees, and commercial terms.</w:t>
      </w:r>
    </w:p>
    <w:p>
      <w:pPr>
        <w:spacing w:after="200" w:line="300"/>
      </w:pPr>
      <w:r>
        <w:rPr>
          <w:color w:val="191D32"/>
          <w:sz w:val="21"/>
          <w:szCs w:val="21"/>
        </w:rPr>
        <w:t xml:space="preserve">NOW, THEREFORE, the Parties agree as follows:</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The Act's substantive obligations, and the Data Protection Board's power to impose penalties under sections 28 to 34, commence in May 2027. Nothing in this Addendum states or implies that either Party is currently non-compliant with the Act. It records how the Parties will meet these obligations once they take effect, and the Parties may choose to operate under it earlier. No certification scheme exists for a Data Processor under the Act, and engaging a registered Consent Manager is not mandatory for a relationship of this kind. This Addendum does not claim that either Party holds any such certification or has appointed any such Consent Manager.</w:t>
      </w:r>
    </w:p>
    <w:p>
      <w:pPr>
        <w:pStyle w:val="Heading1"/>
        <w:spacing w:after="160" w:before="340"/>
      </w:pPr>
      <w:r>
        <w:rPr>
          <w:b/>
          <w:bCs/>
          <w:color w:val="191D32"/>
          <w:sz w:val="26"/>
          <w:szCs w:val="26"/>
        </w:rPr>
        <w:t xml:space="preserve">1.  Definitions</w:t>
      </w:r>
    </w:p>
    <w:p>
      <w:pPr>
        <w:spacing w:after="130" w:line="300"/>
        <w:ind w:left="480" w:hanging="480"/>
      </w:pPr>
      <w:r>
        <w:rPr>
          <w:b/>
          <w:bCs/>
          <w:color w:val="191D32"/>
          <w:sz w:val="21"/>
          <w:szCs w:val="21"/>
        </w:rPr>
        <w:t xml:space="preserve">1.1  </w:t>
      </w:r>
      <w:r>
        <w:rPr>
          <w:color w:val="191D32"/>
          <w:sz w:val="21"/>
          <w:szCs w:val="21"/>
        </w:rPr>
        <w:t xml:space="preserve">"Data Fiduciary", "Data Processor", "Data Principal", "Personal Data", "Personal Data Breach", and "Board" have the meanings given to them in the Act. "Rules" means the Digital Personal Data Protection Rules, 2025. "Sub-processor" means any person the Data Processor engages to process personal data on the Data Fiduciary's behalf in connection with the Principal Agreement.</w:t>
      </w:r>
    </w:p>
    <w:p>
      <w:pPr>
        <w:pStyle w:val="Heading1"/>
        <w:spacing w:after="160" w:before="340"/>
      </w:pPr>
      <w:r>
        <w:rPr>
          <w:b/>
          <w:bCs/>
          <w:color w:val="191D32"/>
          <w:sz w:val="26"/>
          <w:szCs w:val="26"/>
        </w:rPr>
        <w:t xml:space="preserve">2.  Engagement of the Data Processor</w:t>
      </w:r>
    </w:p>
    <w:p>
      <w:pPr>
        <w:spacing w:after="130" w:line="300"/>
        <w:ind w:left="480" w:hanging="480"/>
      </w:pPr>
      <w:r>
        <w:rPr>
          <w:b/>
          <w:bCs/>
          <w:color w:val="191D32"/>
          <w:sz w:val="21"/>
          <w:szCs w:val="21"/>
        </w:rPr>
        <w:t xml:space="preserve">2.1  </w:t>
      </w:r>
      <w:r>
        <w:rPr>
          <w:color w:val="191D32"/>
          <w:sz w:val="21"/>
          <w:szCs w:val="21"/>
        </w:rPr>
        <w:t xml:space="preserve">The Data Fiduciary engages the Data Processor to process personal data on its behalf strictly for the purpose, and to the extent, described in Annexure A. This Addendum is the valid contract section 8(2) of the Act requires for that engagement.</w:t>
      </w:r>
    </w:p>
    <w:p>
      <w:pPr>
        <w:spacing w:after="130" w:line="300"/>
        <w:ind w:left="480" w:hanging="480"/>
      </w:pPr>
      <w:r>
        <w:rPr>
          <w:b/>
          <w:bCs/>
          <w:color w:val="191D32"/>
          <w:sz w:val="21"/>
          <w:szCs w:val="21"/>
        </w:rPr>
        <w:t xml:space="preserve">2.2  </w:t>
      </w:r>
      <w:r>
        <w:rPr>
          <w:color w:val="191D32"/>
          <w:sz w:val="21"/>
          <w:szCs w:val="21"/>
        </w:rPr>
        <w:t xml:space="preserve">The Data Processor shall process personal data only on the Data Fiduciary's documented instructions, including instructions recorded in the Principal Agreement, this Addendum, and Annexure A, and shall not process it for any purpose of the Data Processor's own.</w:t>
      </w:r>
    </w:p>
    <w:p>
      <w:pPr>
        <w:pStyle w:val="Heading1"/>
        <w:spacing w:after="160" w:before="340"/>
      </w:pPr>
      <w:r>
        <w:rPr>
          <w:b/>
          <w:bCs/>
          <w:color w:val="191D32"/>
          <w:sz w:val="26"/>
          <w:szCs w:val="26"/>
        </w:rPr>
        <w:t xml:space="preserve">3.  Security safeguards</w:t>
      </w:r>
    </w:p>
    <w:p>
      <w:pPr>
        <w:spacing w:after="130" w:line="300"/>
        <w:ind w:left="480" w:hanging="480"/>
      </w:pPr>
      <w:r>
        <w:rPr>
          <w:b/>
          <w:bCs/>
          <w:color w:val="191D32"/>
          <w:sz w:val="21"/>
          <w:szCs w:val="21"/>
        </w:rPr>
        <w:t xml:space="preserve">3.1  </w:t>
      </w:r>
      <w:r>
        <w:rPr>
          <w:color w:val="191D32"/>
          <w:sz w:val="21"/>
          <w:szCs w:val="21"/>
        </w:rPr>
        <w:t xml:space="preserve">Under section 8(5) of the Act, the Data Fiduciary must protect personal data in its possession or under its control, including personal data processed on its behalf by the Data Processor, by taking reasonable security safeguards to prevent a personal data breach. This clause 3 is the contractual provision Rule 6(1)(f) of the Rules requires the Data Fiduciary to have, obliging the Data Processor to also take reasonable security safeguards.</w:t>
      </w:r>
    </w:p>
    <w:p>
      <w:pPr>
        <w:spacing w:after="130" w:line="300"/>
        <w:ind w:left="480" w:hanging="480"/>
      </w:pPr>
      <w:r>
        <w:rPr>
          <w:b/>
          <w:bCs/>
          <w:color w:val="191D32"/>
          <w:sz w:val="21"/>
          <w:szCs w:val="21"/>
        </w:rPr>
        <w:t xml:space="preserve">3.2  </w:t>
      </w:r>
      <w:r>
        <w:rPr>
          <w:color w:val="191D32"/>
          <w:sz w:val="21"/>
          <w:szCs w:val="21"/>
        </w:rPr>
        <w:t xml:space="preserve">The Data Processor shall implement each of the following, being the safeguards Rule 6(1) of the Rules describes, in relation to the personal data it processes under this Addendum:</w:t>
      </w:r>
    </w:p>
    <w:p>
      <w:pPr>
        <w:spacing w:after="130" w:line="300"/>
        <w:ind w:left="480" w:hanging="480"/>
      </w:pPr>
      <w:r>
        <w:rPr>
          <w:b/>
          <w:bCs/>
          <w:color w:val="191D32"/>
          <w:sz w:val="21"/>
          <w:szCs w:val="21"/>
        </w:rPr>
        <w:t xml:space="preserve">(a)  </w:t>
      </w:r>
      <w:r>
        <w:rPr>
          <w:color w:val="191D32"/>
          <w:sz w:val="21"/>
          <w:szCs w:val="21"/>
        </w:rPr>
        <w:t xml:space="preserve">encryption, obfuscation, or masking of the personal data, or the use of virtual tokens mapped to the personal data, in particular in respect of any personal data stored by the Data Processor;</w:t>
      </w:r>
    </w:p>
    <w:p>
      <w:pPr>
        <w:spacing w:after="130" w:line="300"/>
        <w:ind w:left="480" w:hanging="480"/>
      </w:pPr>
      <w:r>
        <w:rPr>
          <w:b/>
          <w:bCs/>
          <w:color w:val="191D32"/>
          <w:sz w:val="21"/>
          <w:szCs w:val="21"/>
        </w:rPr>
        <w:t xml:space="preserve">(b)  </w:t>
      </w:r>
      <w:r>
        <w:rPr>
          <w:color w:val="191D32"/>
          <w:sz w:val="21"/>
          <w:szCs w:val="21"/>
        </w:rPr>
        <w:t xml:space="preserve">access control over the computer resources used by the Data Processor to process the personal data;</w:t>
      </w:r>
    </w:p>
    <w:p>
      <w:pPr>
        <w:spacing w:after="130" w:line="300"/>
        <w:ind w:left="480" w:hanging="480"/>
      </w:pPr>
      <w:r>
        <w:rPr>
          <w:b/>
          <w:bCs/>
          <w:color w:val="191D32"/>
          <w:sz w:val="21"/>
          <w:szCs w:val="21"/>
        </w:rPr>
        <w:t xml:space="preserve">(c)  </w:t>
      </w:r>
      <w:r>
        <w:rPr>
          <w:color w:val="191D32"/>
          <w:sz w:val="21"/>
          <w:szCs w:val="21"/>
        </w:rPr>
        <w:t xml:space="preserve">keeping logs and monitoring and reviewing them for the purpose of detecting unauthorised access to the personal data or the computer resources used to process it, and investigating any such access;</w:t>
      </w:r>
    </w:p>
    <w:p>
      <w:pPr>
        <w:spacing w:after="130" w:line="300"/>
        <w:ind w:left="480" w:hanging="480"/>
      </w:pPr>
      <w:r>
        <w:rPr>
          <w:b/>
          <w:bCs/>
          <w:color w:val="191D32"/>
          <w:sz w:val="21"/>
          <w:szCs w:val="21"/>
        </w:rPr>
        <w:t xml:space="preserve">(d)  </w:t>
      </w:r>
      <w:r>
        <w:rPr>
          <w:color w:val="191D32"/>
          <w:sz w:val="21"/>
          <w:szCs w:val="21"/>
        </w:rPr>
        <w:t xml:space="preserve">keeping backups of the personal data that permit processing to continue in the event the confidentiality, integrity, or availability of the personal data is compromised;</w:t>
      </w:r>
    </w:p>
    <w:p>
      <w:pPr>
        <w:spacing w:after="130" w:line="300"/>
        <w:ind w:left="480" w:hanging="480"/>
      </w:pPr>
      <w:r>
        <w:rPr>
          <w:b/>
          <w:bCs/>
          <w:color w:val="191D32"/>
          <w:sz w:val="21"/>
          <w:szCs w:val="21"/>
        </w:rPr>
        <w:t xml:space="preserve">(e)  </w:t>
      </w:r>
      <w:r>
        <w:rPr>
          <w:color w:val="191D32"/>
          <w:sz w:val="21"/>
          <w:szCs w:val="21"/>
        </w:rPr>
        <w:t xml:space="preserve">retaining logs and personal data for a period of not less than one year, unless a longer period is required by the Principal Agreement or by applicable law, and clause 8 does not shorten this period;</w:t>
      </w:r>
    </w:p>
    <w:p>
      <w:pPr>
        <w:spacing w:after="130" w:line="300"/>
        <w:ind w:left="480" w:hanging="480"/>
      </w:pPr>
      <w:r>
        <w:rPr>
          <w:b/>
          <w:bCs/>
          <w:color w:val="191D32"/>
          <w:sz w:val="21"/>
          <w:szCs w:val="21"/>
        </w:rPr>
        <w:t xml:space="preserve">(f)  </w:t>
      </w:r>
      <w:r>
        <w:rPr>
          <w:color w:val="191D32"/>
          <w:sz w:val="21"/>
          <w:szCs w:val="21"/>
        </w:rPr>
        <w:t xml:space="preserve">this clause 3, being the contractual provision itself, which Rule 6(1)(f) requires the Data Fiduciary to have in place with the Data Processor;</w:t>
      </w:r>
    </w:p>
    <w:p>
      <w:pPr>
        <w:spacing w:after="130" w:line="300"/>
        <w:ind w:left="480" w:hanging="480"/>
      </w:pPr>
      <w:r>
        <w:rPr>
          <w:b/>
          <w:bCs/>
          <w:color w:val="191D32"/>
          <w:sz w:val="21"/>
          <w:szCs w:val="21"/>
        </w:rPr>
        <w:t xml:space="preserve">(g)  </w:t>
      </w:r>
      <w:r>
        <w:rPr>
          <w:color w:val="191D32"/>
          <w:sz w:val="21"/>
          <w:szCs w:val="21"/>
        </w:rPr>
        <w:t xml:space="preserve">such other appropriate technical and organisational measures as are necessary to ensure effective observance of the safeguards in this clause 3.2, specifically: [ named controls, e.g. staff training, an access-review cadence, an incident-response runbook ].</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Rule 6(1) lists these as the safeguards a Data Fiduciary must itself take. Section 8(5) makes clear the Fiduciary's protection duty covers processing a Data Processor carries out on its behalf, and Rule 6(1)(f) is the specific hook that requires a contractual provision such as this one, obliging the Data Processor to take the same safeguards. Fill in any measure named only generally above with the actual control the Data Processor runs. A clause that stops at the Rule's own wording commits the Data Processor to nothing beyond what it was already doing before signing.</w:t>
      </w:r>
    </w:p>
    <w:p>
      <w:pPr>
        <w:pStyle w:val="Heading1"/>
        <w:spacing w:after="160" w:before="340"/>
      </w:pPr>
      <w:r>
        <w:rPr>
          <w:b/>
          <w:bCs/>
          <w:color w:val="191D32"/>
          <w:sz w:val="26"/>
          <w:szCs w:val="26"/>
        </w:rPr>
        <w:t xml:space="preserve">4.  Sub-processors</w:t>
      </w:r>
    </w:p>
    <w:p>
      <w:pPr>
        <w:spacing w:after="130" w:line="300"/>
        <w:ind w:left="480" w:hanging="480"/>
      </w:pPr>
      <w:r>
        <w:rPr>
          <w:b/>
          <w:bCs/>
          <w:color w:val="191D32"/>
          <w:sz w:val="21"/>
          <w:szCs w:val="21"/>
        </w:rPr>
        <w:t xml:space="preserve">4.1  </w:t>
      </w:r>
      <w:r>
        <w:rPr>
          <w:color w:val="191D32"/>
          <w:sz w:val="21"/>
          <w:szCs w:val="21"/>
        </w:rPr>
        <w:t xml:space="preserve">The Data Processor shall not engage a Sub-processor to process personal data under this Addendum without the Data Fiduciary's prior written authorisation, whether given generally for the categories of Sub-processor listed in Annexure A or specifically for a named Sub-processor.</w:t>
      </w:r>
    </w:p>
    <w:p>
      <w:pPr>
        <w:spacing w:after="130" w:line="300"/>
        <w:ind w:left="480" w:hanging="480"/>
      </w:pPr>
      <w:r>
        <w:rPr>
          <w:b/>
          <w:bCs/>
          <w:color w:val="191D32"/>
          <w:sz w:val="21"/>
          <w:szCs w:val="21"/>
        </w:rPr>
        <w:t xml:space="preserve">4.2  </w:t>
      </w:r>
      <w:r>
        <w:rPr>
          <w:color w:val="191D32"/>
          <w:sz w:val="21"/>
          <w:szCs w:val="21"/>
        </w:rPr>
        <w:t xml:space="preserve">Before a Sub-processor begins processing, the Data Processor shall enter into a written contract with that Sub-processor imposing, on the Sub-processor, obligations equivalent to those this Addendum imposes on the Data Processor, including the security safeguards at clause 3 and the breach-notice, deletion, and cross-border terms below. The Data Processor remains responsible to the Data Fiduciary for a Sub-processor's performance of those obligations.</w:t>
      </w:r>
    </w:p>
    <w:p>
      <w:pPr>
        <w:pStyle w:val="Heading1"/>
        <w:spacing w:after="160" w:before="340"/>
      </w:pPr>
      <w:r>
        <w:rPr>
          <w:b/>
          <w:bCs/>
          <w:color w:val="191D32"/>
          <w:sz w:val="26"/>
          <w:szCs w:val="26"/>
        </w:rPr>
        <w:t xml:space="preserve">5.  Withdrawal of consent</w:t>
      </w:r>
    </w:p>
    <w:p>
      <w:pPr>
        <w:spacing w:after="130" w:line="300"/>
        <w:ind w:left="480" w:hanging="480"/>
      </w:pPr>
      <w:r>
        <w:rPr>
          <w:b/>
          <w:bCs/>
          <w:color w:val="191D32"/>
          <w:sz w:val="21"/>
          <w:szCs w:val="21"/>
        </w:rPr>
        <w:t xml:space="preserve">5.1  </w:t>
      </w:r>
      <w:r>
        <w:rPr>
          <w:color w:val="191D32"/>
          <w:sz w:val="21"/>
          <w:szCs w:val="21"/>
        </w:rPr>
        <w:t xml:space="preserve">Where a Data Principal withdraws consent for a specified purpose, and the Data Fiduciary notifies the Data Processor of that withdrawal, the Data Processor shall cease processing that Data Principal's personal data, and shall cause any Sub-processor it has engaged to also cease, within [ NUMBER ] [ hours / days ] of receiving that notice, as section 6(6) of the Act requires the Data Fiduciary to cause its Data Processors to do, unless the processing remains required or authorised under the Act or any other law for the time being in force.</w:t>
      </w:r>
    </w:p>
    <w:p>
      <w:pPr>
        <w:pStyle w:val="Heading1"/>
        <w:spacing w:after="160" w:before="340"/>
      </w:pPr>
      <w:r>
        <w:rPr>
          <w:b/>
          <w:bCs/>
          <w:color w:val="191D32"/>
          <w:sz w:val="26"/>
          <w:szCs w:val="26"/>
        </w:rPr>
        <w:t xml:space="preserve">6.  Personal data breach</w:t>
      </w:r>
    </w:p>
    <w:p>
      <w:pPr>
        <w:spacing w:after="130" w:line="300"/>
        <w:ind w:left="480" w:hanging="480"/>
      </w:pPr>
      <w:r>
        <w:rPr>
          <w:b/>
          <w:bCs/>
          <w:color w:val="191D32"/>
          <w:sz w:val="21"/>
          <w:szCs w:val="21"/>
        </w:rPr>
        <w:t xml:space="preserve">6.1  </w:t>
      </w:r>
      <w:r>
        <w:rPr>
          <w:color w:val="191D32"/>
          <w:sz w:val="21"/>
          <w:szCs w:val="21"/>
        </w:rPr>
        <w:t xml:space="preserve">The Data Processor shall notify the Data Fiduciary of a Personal Data Breach affecting personal data processed under this Addendum without undue delay, and in any event within [ NUMBER ] [ hours / days ] of becoming aware of it.</w:t>
      </w:r>
    </w:p>
    <w:p>
      <w:pPr>
        <w:pBdr>
          <w:left w:val="single" w:color="FF6B35" w:sz="24" w:space="14"/>
        </w:pBdr>
        <w:spacing w:after="220" w:before="100" w:line="290"/>
        <w:ind w:left="300"/>
      </w:pPr>
      <w:r>
        <w:rPr>
          <w:b/>
          <w:bCs/>
          <w:color w:val="FF6B35"/>
          <w:sz w:val="19"/>
          <w:szCs w:val="19"/>
        </w:rPr>
        <w:t xml:space="preserve">Read this before you fill the form.  </w:t>
      </w:r>
      <w:r>
        <w:rPr>
          <w:color w:val="191D32"/>
          <w:sz w:val="19"/>
          <w:szCs w:val="19"/>
        </w:rPr>
        <w:t xml:space="preserve">The figure in clause 6.1 is a commercially negotiated deadline. Neither the Act nor the Rules fix a deadline for a Data Processor's notice to a Data Fiduciary. What they do fix, under section 8(6) of the Act and Rule 7(2) of the Rules, is the Data Fiduciary's own duty to intimate the Board without delay and follow with a detailed report within 72 hours of becoming aware of the breach, or such longer period as the Board allows on written request. Clause 6.1 exists so the Data Fiduciary learns of a breach fast enough to still meet that 72-hour clock. Set the figure with that clock in mind: a short internal escalation time the Data Processor already meets today is more useful here than a comfortable maximum picked to be easy to promise.</w:t>
      </w:r>
    </w:p>
    <w:p>
      <w:pPr>
        <w:spacing w:after="130" w:line="300"/>
        <w:ind w:left="480" w:hanging="480"/>
      </w:pPr>
      <w:r>
        <w:rPr>
          <w:b/>
          <w:bCs/>
          <w:color w:val="191D32"/>
          <w:sz w:val="21"/>
          <w:szCs w:val="21"/>
        </w:rPr>
        <w:t xml:space="preserve">6.2  </w:t>
      </w:r>
      <w:r>
        <w:rPr>
          <w:color w:val="191D32"/>
          <w:sz w:val="21"/>
          <w:szCs w:val="21"/>
        </w:rPr>
        <w:t xml:space="preserve">The notice under clause 6.1 shall include enough detail, to the extent then known and as it becomes known, for the Data Fiduciary to prepare the intimation to the Board that section 8(6) of the Act and Rule 7(2) of the Rules require the Data Fiduciary to make, and the intimation to each affected Data Principal that Rule 7(1) of the Rules requires, covering the nature, extent, timing, and location of the breach, its likely consequences, the mitigation measures implemented, the safety measures the Data Principal may take, and business contact information of a person able to respond to queries about the breach.</w:t>
      </w:r>
    </w:p>
    <w:p>
      <w:pPr>
        <w:spacing w:after="130" w:line="300"/>
        <w:ind w:left="480" w:hanging="480"/>
      </w:pPr>
      <w:r>
        <w:rPr>
          <w:b/>
          <w:bCs/>
          <w:color w:val="191D32"/>
          <w:sz w:val="21"/>
          <w:szCs w:val="21"/>
        </w:rPr>
        <w:t xml:space="preserve">6.3  </w:t>
      </w:r>
      <w:r>
        <w:rPr>
          <w:color w:val="191D32"/>
          <w:sz w:val="21"/>
          <w:szCs w:val="21"/>
        </w:rPr>
        <w:t xml:space="preserve">The Data Processor shall provide reasonable assistance to the Data Fiduciary in investigating, mitigating, and remedying a Personal Data Breach, and in preparing the intimations described in clause 6.2.</w:t>
      </w:r>
    </w:p>
    <w:p>
      <w:pPr>
        <w:pStyle w:val="Heading1"/>
        <w:spacing w:after="160" w:before="340"/>
      </w:pPr>
      <w:r>
        <w:rPr>
          <w:b/>
          <w:bCs/>
          <w:color w:val="191D32"/>
          <w:sz w:val="26"/>
          <w:szCs w:val="26"/>
        </w:rPr>
        <w:t xml:space="preserve">7.  Assistance with Data Principal rights</w:t>
      </w:r>
    </w:p>
    <w:p>
      <w:pPr>
        <w:spacing w:after="130" w:line="300"/>
        <w:ind w:left="480" w:hanging="480"/>
      </w:pPr>
      <w:r>
        <w:rPr>
          <w:b/>
          <w:bCs/>
          <w:color w:val="191D32"/>
          <w:sz w:val="21"/>
          <w:szCs w:val="21"/>
        </w:rPr>
        <w:t xml:space="preserve">7.1  </w:t>
      </w:r>
      <w:r>
        <w:rPr>
          <w:color w:val="191D32"/>
          <w:sz w:val="21"/>
          <w:szCs w:val="21"/>
        </w:rPr>
        <w:t xml:space="preserve">Where a Data Principal exercises the right of access under section 11 of the Act, or the right to correction, completion, updating, or erasure of personal data under section 12 of the Act, and the Data Fiduciary requests the Data Processor's assistance to respond, the Data Processor shall provide that assistance within [ NUMBER ] days of the request.</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Rule 14(3) gives the Data Fiduciary a ceiling of ninety days to resolve a Data Principal's grievance. Set the number in clause 7.1 with enough margin for the Data Fiduciary to still meet that ninety-day ceiling comfortably after receiving the Data Processor's response. Do not set it right at the edge.</w:t>
      </w:r>
    </w:p>
    <w:p>
      <w:pPr>
        <w:pStyle w:val="Heading1"/>
        <w:spacing w:after="160" w:before="340"/>
      </w:pPr>
      <w:r>
        <w:rPr>
          <w:b/>
          <w:bCs/>
          <w:color w:val="191D32"/>
          <w:sz w:val="26"/>
          <w:szCs w:val="26"/>
        </w:rPr>
        <w:t xml:space="preserve">8.  Return and deletion of personal data</w:t>
      </w:r>
    </w:p>
    <w:p>
      <w:pPr>
        <w:spacing w:after="130" w:line="300"/>
        <w:ind w:left="480" w:hanging="480"/>
      </w:pPr>
      <w:r>
        <w:rPr>
          <w:b/>
          <w:bCs/>
          <w:color w:val="191D32"/>
          <w:sz w:val="21"/>
          <w:szCs w:val="21"/>
        </w:rPr>
        <w:t xml:space="preserve">8.1  </w:t>
      </w:r>
      <w:r>
        <w:rPr>
          <w:color w:val="191D32"/>
          <w:sz w:val="21"/>
          <w:szCs w:val="21"/>
        </w:rPr>
        <w:t xml:space="preserve">Subject to clause 3.2(e), on expiry or termination of the Principal Agreement, or on the Data Fiduciary's earlier written instruction, the Data Processor shall, in accordance with sections 8(7) and 8(8) of the Act, erase the personal data it holds under this Addendum once the purpose for which it was processed is no longer being served and retention is no longer necessary for a legal purpose, and shall return or delete any remaining copies as the Data Fiduciary instructs.</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Clause 8.1 does not override clause 3.2(e). Rule 8(3) fixes a minimum one-year retention period for the personal data and logs of the processing itself, and that floor applies regardless of when the purpose of the original processing ends. Where clause 8.1 and clause 3.2(e) point to different dates for the same personal data, the later date governs: it is not erased until the one-year period under Rule 8(3) has run.</w:t>
      </w:r>
    </w:p>
    <w:p>
      <w:pPr>
        <w:pStyle w:val="Heading1"/>
        <w:spacing w:after="160" w:before="340"/>
      </w:pPr>
      <w:r>
        <w:rPr>
          <w:b/>
          <w:bCs/>
          <w:color w:val="191D32"/>
          <w:sz w:val="26"/>
          <w:szCs w:val="26"/>
        </w:rPr>
        <w:t xml:space="preserve">9.  Cross-border transfer of personal data</w:t>
      </w:r>
    </w:p>
    <w:p>
      <w:pPr>
        <w:spacing w:after="130" w:line="300"/>
        <w:ind w:left="480" w:hanging="480"/>
      </w:pPr>
      <w:r>
        <w:rPr>
          <w:b/>
          <w:bCs/>
          <w:color w:val="191D32"/>
          <w:sz w:val="21"/>
          <w:szCs w:val="21"/>
        </w:rPr>
        <w:t xml:space="preserve">9.1  </w:t>
      </w:r>
      <w:r>
        <w:rPr>
          <w:color w:val="191D32"/>
          <w:sz w:val="21"/>
          <w:szCs w:val="21"/>
        </w:rPr>
        <w:t xml:space="preserve">The Data Processor shall not process, store, or transfer personal data outside India in connection with this Addendum other than in [ country or countries, or state that processing is India-only ], and shall notify the Data Fiduciary in writing before it begins processing, storing, or transferring personal data in or to any further country or territory.</w:t>
      </w:r>
    </w:p>
    <w:p>
      <w:pPr>
        <w:spacing w:after="130" w:line="300"/>
        <w:ind w:left="480" w:hanging="480"/>
      </w:pPr>
      <w:r>
        <w:rPr>
          <w:b/>
          <w:bCs/>
          <w:color w:val="191D32"/>
          <w:sz w:val="21"/>
          <w:szCs w:val="21"/>
        </w:rPr>
        <w:t xml:space="preserve">9.2  </w:t>
      </w:r>
      <w:r>
        <w:rPr>
          <w:color w:val="191D32"/>
          <w:sz w:val="21"/>
          <w:szCs w:val="21"/>
        </w:rPr>
        <w:t xml:space="preserve">Section 16(1) of the Act gives the Central Government the power to restrict, by notification, transfer of personal data to a notified country or territory outside India, and section 16(2) preserves any Indian law that sets a higher standard. Rule 15 of the Rules permits transfer of personal data outside India subject to any requirement the Central Government specifies by general or special order in respect of making it available to a foreign State, or to a person or entity under the control of or an agency of such a State. The Data Processor shall comply with any such notification or requirement applicable at the time of processing, and shall promptly inform the Data Fiduciary of any notification or order under section 16 of the Act or Rule 15 of the Rules that affects a country or territory named in clause 9.1.</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No country or territory is currently notified as restricted under section 16, and no requirement has been notified under Rule 15, as of this drafting. That can change without warning: the Central Government may issue either kind of notification at any time, and clause 9.2 is what keeps this Addendum current against one issued after signing, without needing to be redrafted for it.</w:t>
      </w:r>
    </w:p>
    <w:p>
      <w:pPr>
        <w:pStyle w:val="Heading1"/>
        <w:spacing w:after="160" w:before="340"/>
      </w:pPr>
      <w:r>
        <w:rPr>
          <w:b/>
          <w:bCs/>
          <w:color w:val="191D32"/>
          <w:sz w:val="26"/>
          <w:szCs w:val="26"/>
        </w:rPr>
        <w:t xml:space="preserve">10.  Significant Data Fiduciary obligations</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This clause 10 is optional. Delete it if the Data Fiduciary has not been notified as a Significant Data Fiduciary under section 10 of the Act.</w:t>
      </w:r>
    </w:p>
    <w:p>
      <w:pPr>
        <w:spacing w:after="130" w:line="300"/>
        <w:ind w:left="480" w:hanging="480"/>
      </w:pPr>
      <w:r>
        <w:rPr>
          <w:b/>
          <w:bCs/>
          <w:color w:val="191D32"/>
          <w:sz w:val="21"/>
          <w:szCs w:val="21"/>
        </w:rPr>
        <w:t xml:space="preserve">10.1  </w:t>
      </w:r>
      <w:r>
        <w:rPr>
          <w:color w:val="191D32"/>
          <w:sz w:val="21"/>
          <w:szCs w:val="21"/>
        </w:rPr>
        <w:t xml:space="preserve">Where the Data Fiduciary has been notified as a Significant Data Fiduciary under section 10 of the Act, the Data Processor shall not process, and shall not permit a Sub-processor to process, in connection with this Addendum, any category of personal data or traffic data that the Central Government has specified under Rule 13(4) of the Rules as personal data or traffic data a Significant Data Fiduciary must ensure is not transferred outside India, and shall comply with any further written instruction the Data Fiduciary issues to meet its obligations under section 10 in relation to processing carried out under this Addendum.</w:t>
      </w:r>
    </w:p>
    <w:p>
      <w:pPr>
        <w:pStyle w:val="Heading1"/>
        <w:spacing w:after="160" w:before="340"/>
      </w:pPr>
      <w:r>
        <w:rPr>
          <w:b/>
          <w:bCs/>
          <w:color w:val="191D32"/>
          <w:sz w:val="26"/>
          <w:szCs w:val="26"/>
        </w:rPr>
        <w:t xml:space="preserve">11.  Term and relationship with the Principal Agreement</w:t>
      </w:r>
    </w:p>
    <w:p>
      <w:pPr>
        <w:spacing w:after="130" w:line="300"/>
        <w:ind w:left="480" w:hanging="480"/>
      </w:pPr>
      <w:r>
        <w:rPr>
          <w:b/>
          <w:bCs/>
          <w:color w:val="191D32"/>
          <w:sz w:val="21"/>
          <w:szCs w:val="21"/>
        </w:rPr>
        <w:t xml:space="preserve">11.1  </w:t>
      </w:r>
      <w:r>
        <w:rPr>
          <w:color w:val="191D32"/>
          <w:sz w:val="21"/>
          <w:szCs w:val="21"/>
        </w:rPr>
        <w:t xml:space="preserve">This Addendum takes effect on the Effective Date and continues for as long as the Data Processor processes personal data on the Data Fiduciary's behalf under the Principal Agreement, and terminates automatically on the later of the Principal Agreement's termination or expiry and the completion of the Data Processor's obligations under clause 8.</w:t>
      </w:r>
    </w:p>
    <w:p>
      <w:pPr>
        <w:spacing w:after="130" w:line="300"/>
        <w:ind w:left="480" w:hanging="480"/>
      </w:pPr>
      <w:r>
        <w:rPr>
          <w:b/>
          <w:bCs/>
          <w:color w:val="191D32"/>
          <w:sz w:val="21"/>
          <w:szCs w:val="21"/>
        </w:rPr>
        <w:t xml:space="preserve">11.2  </w:t>
      </w:r>
      <w:r>
        <w:rPr>
          <w:color w:val="191D32"/>
          <w:sz w:val="21"/>
          <w:szCs w:val="21"/>
        </w:rPr>
        <w:t xml:space="preserve">Clauses 2.2, 3, 5, 6, 7, 8 and 9 survive termination of this Addendum for as long as the Data Processor, or any Sub-processor, continues to hold personal data processed under it.</w:t>
      </w:r>
    </w:p>
    <w:p>
      <w:pPr>
        <w:pStyle w:val="Heading1"/>
        <w:spacing w:after="160" w:before="340"/>
      </w:pPr>
      <w:r>
        <w:rPr>
          <w:b/>
          <w:bCs/>
          <w:color w:val="191D32"/>
          <w:sz w:val="26"/>
          <w:szCs w:val="26"/>
        </w:rPr>
        <w:t xml:space="preserve">12.  Governing law and dispute resolution</w:t>
      </w:r>
    </w:p>
    <w:p>
      <w:pPr>
        <w:spacing w:after="130" w:line="300"/>
        <w:ind w:left="480" w:hanging="480"/>
      </w:pPr>
      <w:r>
        <w:rPr>
          <w:b/>
          <w:bCs/>
          <w:color w:val="191D32"/>
          <w:sz w:val="21"/>
          <w:szCs w:val="21"/>
        </w:rPr>
        <w:t xml:space="preserve">12.1  </w:t>
      </w:r>
      <w:r>
        <w:rPr>
          <w:color w:val="191D32"/>
          <w:sz w:val="21"/>
          <w:szCs w:val="21"/>
        </w:rPr>
        <w:t xml:space="preserve">This Addendum is governed by the same governing law, and is subject to the same dispute resolution mechanism, as the Principal Agreement.</w:t>
      </w:r>
    </w:p>
    <w:p>
      <w:pPr>
        <w:pStyle w:val="Heading1"/>
        <w:spacing w:after="160" w:before="340"/>
      </w:pPr>
      <w:r>
        <w:rPr>
          <w:b/>
          <w:bCs/>
          <w:color w:val="191D32"/>
          <w:sz w:val="26"/>
          <w:szCs w:val="26"/>
        </w:rPr>
        <w:t xml:space="preserve">13.  Execution</w:t>
      </w:r>
    </w:p>
    <w:p>
      <w:pPr>
        <w:spacing w:after="130" w:line="300"/>
        <w:ind w:left="480" w:hanging="480"/>
      </w:pPr>
      <w:r>
        <w:rPr>
          <w:b/>
          <w:bCs/>
          <w:color w:val="191D32"/>
          <w:sz w:val="21"/>
          <w:szCs w:val="21"/>
        </w:rPr>
        <w:t xml:space="preserve">13.1  </w:t>
      </w:r>
      <w:r>
        <w:rPr>
          <w:color w:val="191D32"/>
          <w:sz w:val="21"/>
          <w:szCs w:val="21"/>
        </w:rPr>
        <w:t xml:space="preserve">This Addendum may be executed in the same manner as the Principal Agreement, including by wet-ink signature or electronic signature, and forms part of the Principal Agreement once executed by both Parties.</w:t>
      </w:r>
    </w:p>
    <w:p>
      <w:pPr>
        <w:pageBreakBefore/>
      </w:pPr>
    </w:p>
    <w:p>
      <w:pPr>
        <w:pStyle w:val="Heading1"/>
        <w:spacing w:after="160" w:before="340"/>
      </w:pPr>
      <w:r>
        <w:rPr>
          <w:b/>
          <w:bCs/>
          <w:color w:val="191D32"/>
          <w:sz w:val="26"/>
          <w:szCs w:val="26"/>
        </w:rPr>
        <w:t xml:space="preserve">Signed by the Parties</w:t>
      </w:r>
    </w:p>
    <w:p>
      <w:pPr>
        <w:spacing w:after="200" w:line="300"/>
      </w:pPr>
      <w:r>
        <w:rPr>
          <w:color w:val="6B7280"/>
          <w:sz w:val="19"/>
          <w:szCs w:val="19"/>
        </w:rPr>
        <w:t xml:space="preserve">Each Party confirms it has read this Addendum and has had the opportunity to take independent advice on it before signing.</w:t>
      </w:r>
    </w:p>
    <w:p>
      <w:pPr>
        <w:spacing w:after="60" w:before="260"/>
      </w:pPr>
      <w:r>
        <w:rPr>
          <w:b/>
          <w:bCs/>
          <w:color w:val="191D32"/>
          <w:sz w:val="21"/>
          <w:szCs w:val="21"/>
        </w:rPr>
        <w:t xml:space="preserve">Data Fiduciary</w:t>
      </w:r>
    </w:p>
    <w:p>
      <w:pPr>
        <w:spacing w:after="70" w:line="300"/>
      </w:pPr>
      <w:r>
        <w:rPr>
          <w:color w:val="191D32"/>
          <w:sz w:val="21"/>
          <w:szCs w:val="21"/>
        </w:rPr>
        <w:t xml:space="preserve">Name: [ full legal name ]</w:t>
      </w:r>
    </w:p>
    <w:p>
      <w:pPr>
        <w:spacing w:after="70" w:line="300"/>
      </w:pPr>
      <w:r>
        <w:rPr>
          <w:color w:val="191D32"/>
          <w:sz w:val="21"/>
          <w:szCs w:val="21"/>
        </w:rPr>
        <w:t xml:space="preserve">Signing in the capacity of: [ director / partner / authorised signatory, with designation ]</w:t>
      </w:r>
    </w:p>
    <w:p>
      <w:pPr>
        <w:spacing w:after="70" w:line="300"/>
      </w:pPr>
      <w:r>
        <w:rPr>
          <w:color w:val="191D32"/>
          <w:sz w:val="21"/>
          <w:szCs w:val="21"/>
        </w:rPr>
        <w:t xml:space="preserve">Address: [ address ]</w:t>
      </w:r>
    </w:p>
    <w:p>
      <w:pPr>
        <w:spacing w:after="70" w:line="300"/>
      </w:pPr>
      <w:r>
        <w:rPr>
          <w:color w:val="191D32"/>
          <w:sz w:val="21"/>
          <w:szCs w:val="21"/>
        </w:rPr>
        <w:t xml:space="preserve">Signature: ______________________________     Date: [ DD/MM/YYYY ]</w:t>
      </w:r>
    </w:p>
    <w:p>
      <w:pPr>
        <w:spacing w:after="60" w:before="260"/>
      </w:pPr>
      <w:r>
        <w:rPr>
          <w:b/>
          <w:bCs/>
          <w:color w:val="191D32"/>
          <w:sz w:val="21"/>
          <w:szCs w:val="21"/>
        </w:rPr>
        <w:t xml:space="preserve">Data Processor</w:t>
      </w:r>
    </w:p>
    <w:p>
      <w:pPr>
        <w:spacing w:after="70" w:line="300"/>
      </w:pPr>
      <w:r>
        <w:rPr>
          <w:color w:val="191D32"/>
          <w:sz w:val="21"/>
          <w:szCs w:val="21"/>
        </w:rPr>
        <w:t xml:space="preserve">Name: [ full legal name ]</w:t>
      </w:r>
    </w:p>
    <w:p>
      <w:pPr>
        <w:spacing w:after="70" w:line="300"/>
      </w:pPr>
      <w:r>
        <w:rPr>
          <w:color w:val="191D32"/>
          <w:sz w:val="21"/>
          <w:szCs w:val="21"/>
        </w:rPr>
        <w:t xml:space="preserve">Signing in the capacity of: [ self / director / partner / authorised signatory, with designation ]</w:t>
      </w:r>
    </w:p>
    <w:p>
      <w:pPr>
        <w:spacing w:after="70" w:line="300"/>
      </w:pPr>
      <w:r>
        <w:rPr>
          <w:color w:val="191D32"/>
          <w:sz w:val="21"/>
          <w:szCs w:val="21"/>
        </w:rPr>
        <w:t xml:space="preserve">Address: [ address ]</w:t>
      </w:r>
    </w:p>
    <w:p>
      <w:pPr>
        <w:spacing w:after="70" w:line="300"/>
      </w:pPr>
      <w:r>
        <w:rPr>
          <w:color w:val="191D32"/>
          <w:sz w:val="21"/>
          <w:szCs w:val="21"/>
        </w:rPr>
        <w:t xml:space="preserve">Signature: ______________________________     Date: [ DD/MM/YYYY ]</w:t>
      </w:r>
    </w:p>
    <w:p>
      <w:pPr>
        <w:pageBreakBefore/>
      </w:pPr>
    </w:p>
    <w:p>
      <w:pPr>
        <w:pStyle w:val="Heading1"/>
        <w:spacing w:after="160" w:before="340"/>
      </w:pPr>
      <w:r>
        <w:rPr>
          <w:b/>
          <w:bCs/>
          <w:color w:val="191D32"/>
          <w:sz w:val="26"/>
          <w:szCs w:val="26"/>
        </w:rPr>
        <w:t xml:space="preserve">Annexure A: Processing particulars</w:t>
      </w:r>
    </w:p>
    <w:p>
      <w:pPr>
        <w:spacing w:after="200" w:line="300"/>
      </w:pPr>
      <w:r>
        <w:rPr>
          <w:color w:val="6B7280"/>
          <w:sz w:val="21"/>
          <w:szCs w:val="21"/>
        </w:rPr>
        <w:t xml:space="preserve">This Annexure is governed by, and forms part of, the Addendum referenced above. Where this Annexure conflicts with the Addendum, the Addendum governs.</w:t>
      </w:r>
    </w:p>
    <w:tbl>
      <w:tblPr>
        <w:tblW w:type="pct" w:w="100%"/>
        <w:tblBorders>
          <w:top w:val="single" w:color="D9DCE3" w:sz="4"/>
          <w:left w:val="single" w:color="D9DCE3" w:sz="4"/>
          <w:bottom w:val="single" w:color="D9DCE3" w:sz="4"/>
          <w:right w:val="single" w:color="D9DCE3" w:sz="4"/>
          <w:insideH w:val="single" w:color="D9DCE3" w:sz="4"/>
          <w:insideV w:val="single" w:color="D9DCE3" w:sz="4"/>
        </w:tblBorders>
      </w:tblPr>
      <w:tblGrid>
        <w:gridCol w:w="100"/>
        <w:gridCol w:w="100"/>
        <w:gridCol w:w="100"/>
      </w:tblGrid>
      <w:tr>
        <w:tc>
          <w:tcPr>
            <w:tcW w:type="pct" w:w="7%"/>
            <w:tcMar>
              <w:top w:type="dxa" w:w="110"/>
              <w:left w:type="dxa" w:w="140"/>
              <w:bottom w:type="dxa" w:w="110"/>
              <w:right w:type="dxa" w:w="140"/>
            </w:tcMar>
          </w:tcPr>
          <w:p>
            <w:r>
              <w:rPr>
                <w:color w:val="191D32"/>
                <w:sz w:val="19"/>
                <w:szCs w:val="19"/>
              </w:rPr>
              <w:t xml:space="preserve">1.</w:t>
            </w:r>
          </w:p>
        </w:tc>
        <w:tc>
          <w:tcPr>
            <w:tcW w:type="pct" w:w="40%"/>
            <w:tcMar>
              <w:top w:type="dxa" w:w="110"/>
              <w:left w:type="dxa" w:w="140"/>
              <w:bottom w:type="dxa" w:w="110"/>
              <w:right w:type="dxa" w:w="140"/>
            </w:tcMar>
          </w:tcPr>
          <w:p>
            <w:r>
              <w:rPr>
                <w:b/>
                <w:bCs/>
                <w:color w:val="191D32"/>
                <w:sz w:val="19"/>
                <w:szCs w:val="19"/>
              </w:rPr>
              <w:t xml:space="preserve">Categories of personal data processed</w:t>
            </w:r>
          </w:p>
        </w:tc>
        <w:tc>
          <w:tcPr>
            <w:tcW w:type="pct" w:w="53%"/>
            <w:tcMar>
              <w:top w:type="dxa" w:w="110"/>
              <w:left w:type="dxa" w:w="140"/>
              <w:bottom w:type="dxa" w:w="110"/>
              <w:right w:type="dxa" w:w="140"/>
            </w:tcMar>
          </w:tcPr>
          <w:p>
            <w:r>
              <w:rPr>
                <w:color w:val="191D32"/>
                <w:sz w:val="19"/>
                <w:szCs w:val="19"/>
              </w:rPr>
              <w:t xml:space="preserve">[ list each category, e.g. name, contact details, transaction history ]</w:t>
            </w:r>
          </w:p>
        </w:tc>
      </w:tr>
      <w:tr>
        <w:tc>
          <w:tcPr>
            <w:tcW w:type="pct" w:w="7%"/>
            <w:tcMar>
              <w:top w:type="dxa" w:w="110"/>
              <w:left w:type="dxa" w:w="140"/>
              <w:bottom w:type="dxa" w:w="110"/>
              <w:right w:type="dxa" w:w="140"/>
            </w:tcMar>
          </w:tcPr>
          <w:p>
            <w:r>
              <w:rPr>
                <w:color w:val="191D32"/>
                <w:sz w:val="19"/>
                <w:szCs w:val="19"/>
              </w:rPr>
              <w:t xml:space="preserve">2.</w:t>
            </w:r>
          </w:p>
        </w:tc>
        <w:tc>
          <w:tcPr>
            <w:tcW w:type="pct" w:w="40%"/>
            <w:tcMar>
              <w:top w:type="dxa" w:w="110"/>
              <w:left w:type="dxa" w:w="140"/>
              <w:bottom w:type="dxa" w:w="110"/>
              <w:right w:type="dxa" w:w="140"/>
            </w:tcMar>
          </w:tcPr>
          <w:p>
            <w:r>
              <w:rPr>
                <w:b/>
                <w:bCs/>
                <w:color w:val="191D32"/>
                <w:sz w:val="19"/>
                <w:szCs w:val="19"/>
              </w:rPr>
              <w:t xml:space="preserve">Categories of Data Principals</w:t>
            </w:r>
          </w:p>
        </w:tc>
        <w:tc>
          <w:tcPr>
            <w:tcW w:type="pct" w:w="53%"/>
            <w:tcMar>
              <w:top w:type="dxa" w:w="110"/>
              <w:left w:type="dxa" w:w="140"/>
              <w:bottom w:type="dxa" w:w="110"/>
              <w:right w:type="dxa" w:w="140"/>
            </w:tcMar>
          </w:tcPr>
          <w:p>
            <w:r>
              <w:rPr>
                <w:color w:val="191D32"/>
                <w:sz w:val="19"/>
                <w:szCs w:val="19"/>
              </w:rPr>
              <w:t xml:space="preserve">[ e.g. the Data Fiduciary's customers, employees, or end users ]</w:t>
            </w:r>
          </w:p>
        </w:tc>
      </w:tr>
      <w:tr>
        <w:tc>
          <w:tcPr>
            <w:tcW w:type="pct" w:w="7%"/>
            <w:tcMar>
              <w:top w:type="dxa" w:w="110"/>
              <w:left w:type="dxa" w:w="140"/>
              <w:bottom w:type="dxa" w:w="110"/>
              <w:right w:type="dxa" w:w="140"/>
            </w:tcMar>
          </w:tcPr>
          <w:p>
            <w:r>
              <w:rPr>
                <w:color w:val="191D32"/>
                <w:sz w:val="19"/>
                <w:szCs w:val="19"/>
              </w:rPr>
              <w:t xml:space="preserve">3.</w:t>
            </w:r>
          </w:p>
        </w:tc>
        <w:tc>
          <w:tcPr>
            <w:tcW w:type="pct" w:w="40%"/>
            <w:tcMar>
              <w:top w:type="dxa" w:w="110"/>
              <w:left w:type="dxa" w:w="140"/>
              <w:bottom w:type="dxa" w:w="110"/>
              <w:right w:type="dxa" w:w="140"/>
            </w:tcMar>
          </w:tcPr>
          <w:p>
            <w:r>
              <w:rPr>
                <w:b/>
                <w:bCs/>
                <w:color w:val="191D32"/>
                <w:sz w:val="19"/>
                <w:szCs w:val="19"/>
              </w:rPr>
              <w:t xml:space="preserve">Nature and purpose of processing</w:t>
            </w:r>
          </w:p>
        </w:tc>
        <w:tc>
          <w:tcPr>
            <w:tcW w:type="pct" w:w="53%"/>
            <w:tcMar>
              <w:top w:type="dxa" w:w="110"/>
              <w:left w:type="dxa" w:w="140"/>
              <w:bottom w:type="dxa" w:w="110"/>
              <w:right w:type="dxa" w:w="140"/>
            </w:tcMar>
          </w:tcPr>
          <w:p>
            <w:r>
              <w:rPr>
                <w:color w:val="191D32"/>
                <w:sz w:val="19"/>
                <w:szCs w:val="19"/>
              </w:rPr>
              <w:t xml:space="preserve">[ describe what the Data Processor does with the personal data, and why ]</w:t>
            </w:r>
          </w:p>
        </w:tc>
      </w:tr>
      <w:tr>
        <w:tc>
          <w:tcPr>
            <w:tcW w:type="pct" w:w="7%"/>
            <w:tcMar>
              <w:top w:type="dxa" w:w="110"/>
              <w:left w:type="dxa" w:w="140"/>
              <w:bottom w:type="dxa" w:w="110"/>
              <w:right w:type="dxa" w:w="140"/>
            </w:tcMar>
          </w:tcPr>
          <w:p>
            <w:r>
              <w:rPr>
                <w:color w:val="191D32"/>
                <w:sz w:val="19"/>
                <w:szCs w:val="19"/>
              </w:rPr>
              <w:t xml:space="preserve">4.</w:t>
            </w:r>
          </w:p>
        </w:tc>
        <w:tc>
          <w:tcPr>
            <w:tcW w:type="pct" w:w="40%"/>
            <w:tcMar>
              <w:top w:type="dxa" w:w="110"/>
              <w:left w:type="dxa" w:w="140"/>
              <w:bottom w:type="dxa" w:w="110"/>
              <w:right w:type="dxa" w:w="140"/>
            </w:tcMar>
          </w:tcPr>
          <w:p>
            <w:r>
              <w:rPr>
                <w:b/>
                <w:bCs/>
                <w:color w:val="191D32"/>
                <w:sz w:val="19"/>
                <w:szCs w:val="19"/>
              </w:rPr>
              <w:t xml:space="preserve">Duration of processing</w:t>
            </w:r>
          </w:p>
        </w:tc>
        <w:tc>
          <w:tcPr>
            <w:tcW w:type="pct" w:w="53%"/>
            <w:tcMar>
              <w:top w:type="dxa" w:w="110"/>
              <w:left w:type="dxa" w:w="140"/>
              <w:bottom w:type="dxa" w:w="110"/>
              <w:right w:type="dxa" w:w="140"/>
            </w:tcMar>
          </w:tcPr>
          <w:p>
            <w:r>
              <w:rPr>
                <w:color w:val="191D32"/>
                <w:sz w:val="19"/>
                <w:szCs w:val="19"/>
              </w:rPr>
              <w:t xml:space="preserve">[ period, or state that it runs for the term of the Principal Agreement ]</w:t>
            </w:r>
          </w:p>
        </w:tc>
      </w:tr>
      <w:tr>
        <w:tc>
          <w:tcPr>
            <w:tcW w:type="pct" w:w="7%"/>
            <w:tcMar>
              <w:top w:type="dxa" w:w="110"/>
              <w:left w:type="dxa" w:w="140"/>
              <w:bottom w:type="dxa" w:w="110"/>
              <w:right w:type="dxa" w:w="140"/>
            </w:tcMar>
          </w:tcPr>
          <w:p>
            <w:r>
              <w:rPr>
                <w:color w:val="191D32"/>
                <w:sz w:val="19"/>
                <w:szCs w:val="19"/>
              </w:rPr>
              <w:t xml:space="preserve">5.</w:t>
            </w:r>
          </w:p>
        </w:tc>
        <w:tc>
          <w:tcPr>
            <w:tcW w:type="pct" w:w="40%"/>
            <w:tcMar>
              <w:top w:type="dxa" w:w="110"/>
              <w:left w:type="dxa" w:w="140"/>
              <w:bottom w:type="dxa" w:w="110"/>
              <w:right w:type="dxa" w:w="140"/>
            </w:tcMar>
          </w:tcPr>
          <w:p>
            <w:r>
              <w:rPr>
                <w:b/>
                <w:bCs/>
                <w:color w:val="191D32"/>
                <w:sz w:val="19"/>
                <w:szCs w:val="19"/>
              </w:rPr>
              <w:t xml:space="preserve">Sub-processors authorised as of the Effective Date</w:t>
            </w:r>
          </w:p>
        </w:tc>
        <w:tc>
          <w:tcPr>
            <w:tcW w:type="pct" w:w="53%"/>
            <w:tcMar>
              <w:top w:type="dxa" w:w="110"/>
              <w:left w:type="dxa" w:w="140"/>
              <w:bottom w:type="dxa" w:w="110"/>
              <w:right w:type="dxa" w:w="140"/>
            </w:tcMar>
          </w:tcPr>
          <w:p>
            <w:r>
              <w:rPr>
                <w:color w:val="191D32"/>
                <w:sz w:val="19"/>
                <w:szCs w:val="19"/>
              </w:rPr>
              <w:t xml:space="preserve">[ name each Sub-processor and what it does, or state "none as of the Effective Date" ]</w:t>
            </w:r>
          </w:p>
        </w:tc>
      </w:tr>
    </w:tbl>
    <w:p>
      <w:pPr>
        <w:pBdr>
          <w:top w:val="single" w:color="D9DCE3" w:sz="6" w:space="16"/>
        </w:pBdr>
        <w:spacing w:before="420"/>
      </w:pPr>
    </w:p>
    <w:p>
      <w:pPr>
        <w:spacing w:after="90" w:line="300"/>
      </w:pPr>
      <w:r>
        <w:rPr>
          <w:color w:val="6B7280"/>
          <w:sz w:val="18"/>
          <w:szCs w:val="18"/>
        </w:rPr>
        <w:t xml:space="preserve">This template is provided free by BuildWright. It is a general document, it is not drafted for your situation, and it is not legal advice. Have it reviewed before you sign or file it. BuildWright provides documentation, filing, and compliance facilitation.</w:t>
      </w:r>
    </w:p>
    <w:p>
      <w:pPr>
        <w:spacing w:after="90" w:line="300"/>
      </w:pPr>
      <w:r>
        <w:rPr>
          <w:color w:val="6B7280"/>
          <w:sz w:val="18"/>
          <w:szCs w:val="18"/>
        </w:rPr>
        <w:t xml:space="preserve">Received this exact kind of addendum from a customer? BuildWright's DPDP Vendor Questionnaire &amp; DPA Response service reviews what they actually sent, marks it up against section 8(2) and the Rule 6(1) safeguard list, and tells you what has to be true before you sign: buildwright.co.in/services/documentation/dpdp-vendor-response</w:t>
      </w:r>
    </w:p>
    <w:p>
      <w:pPr>
        <w:spacing w:after="140" w:line="300"/>
      </w:pPr>
      <w:r>
        <w:rPr>
          <w:b/>
          <w:bCs/>
          <w:color w:val="FF6B35"/>
          <w:sz w:val="18"/>
          <w:szCs w:val="18"/>
        </w:rPr>
        <w:t xml:space="preserve">buildwright.co.in</w:t>
      </w:r>
    </w:p>
    <w:sectPr>
      <w:pgSz w:w="11906" w:h="16838" w:orient="portrait"/>
      <w:pgMar w:top="1150" w:right="1150" w:bottom="115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lowerRoman"/>
      <w:lvlText w:val="(%1)"/>
      <w:lvlJc w:val="start"/>
      <w:pPr>
        <w:ind w:left="900" w:hanging="3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91D32"/>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Processing Agreement Addendum, fillable template</dc:title>
  <dc:creator>BuildWright</dc:creator>
  <dc:description>A blank, fillable DPDP addendum for attaching to an existing services agreement between a Data Fiduciary and a Data Processor. A general document. It is not drafted for either party's specific situation and it is not legal advice.</dc:description>
  <cp:lastModifiedBy>BuildWright</cp:lastModifiedBy>
  <cp:revision>1</cp:revision>
  <dcterms:created xsi:type="dcterms:W3CDTF">2026-08-01T09:11:46.988Z</dcterms:created>
  <dcterms:modified xsi:type="dcterms:W3CDTF">2026-08-01T09:11:46.989Z</dcterms:modified>
</cp:coreProperties>
</file>

<file path=docProps/custom.xml><?xml version="1.0" encoding="utf-8"?>
<Properties xmlns="http://schemas.openxmlformats.org/officeDocument/2006/custom-properties" xmlns:vt="http://schemas.openxmlformats.org/officeDocument/2006/docPropsVTypes"/>
</file>