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60"/>
      </w:pPr>
      <w:r>
        <w:rPr>
          <w:b/>
          <w:bCs/>
          <w:color w:val="191D32"/>
          <w:sz w:val="40"/>
          <w:szCs w:val="40"/>
        </w:rPr>
        <w:t xml:space="preserve">MSME delayed-payment demand notice</w:t>
      </w:r>
    </w:p>
    <w:p>
      <w:pPr>
        <w:spacing w:after="300" w:line="300"/>
      </w:pPr>
      <w:r>
        <w:rPr>
          <w:color w:val="6B7280"/>
          <w:sz w:val="21"/>
          <w:szCs w:val="21"/>
        </w:rPr>
        <w:t xml:space="preserve">A blank, fillable notice for a registered MSME supplier chasing an overdue payment from a buyer, with a companion checklist of what the Samadhaan/ODR portal filing needs.</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is not drafted for your business and it is not legal advice. Fill every bracketed field, delete what does not apply, and have it reviewed before you send it. BuildWright provides documentation, filing, and compliance facilitation.</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You sign this notice and send it to the buyer yourself. It does not need to be notarised or attested. Send it by a method that gives you proof of despatch and delivery, and keep that proof, because the copy of the notice and its delivery record are what you will attach if you go on to file on the portal.</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Use this only if your supplier entity is registered on Udyam. The payment protection in sections 15 and 16 runs to registered micro and small enterprises. If you are not registered yet, register first.</w:t>
      </w:r>
    </w:p>
    <w:p>
      <w:pPr>
        <w:pStyle w:val="Heading1"/>
        <w:spacing w:after="160" w:before="340"/>
      </w:pPr>
      <w:r>
        <w:rPr>
          <w:b/>
          <w:bCs/>
          <w:color w:val="191D32"/>
          <w:sz w:val="26"/>
          <w:szCs w:val="26"/>
        </w:rPr>
        <w:t xml:space="preserve">Notice</w:t>
      </w:r>
    </w:p>
    <w:p>
      <w:pPr>
        <w:spacing w:after="90" w:line="300"/>
      </w:pPr>
      <w:r>
        <w:rPr>
          <w:color w:val="191D32"/>
          <w:sz w:val="21"/>
          <w:szCs w:val="21"/>
        </w:rPr>
        <w:t xml:space="preserve">Date: [ DD/MM/YYYY ]</w:t>
      </w:r>
    </w:p>
    <w:p>
      <w:pPr>
        <w:spacing w:after="220" w:line="300"/>
      </w:pPr>
      <w:r>
        <w:rPr>
          <w:color w:val="191D32"/>
          <w:sz w:val="21"/>
          <w:szCs w:val="21"/>
        </w:rPr>
        <w:t xml:space="preserve">Mode of despatch: [ registered post / speed post / courier / email. State which, and keep the receipt ]</w:t>
      </w:r>
    </w:p>
    <w:p>
      <w:pPr>
        <w:spacing w:after="60"/>
      </w:pPr>
      <w:r>
        <w:rPr>
          <w:b/>
          <w:bCs/>
          <w:color w:val="191D32"/>
          <w:sz w:val="21"/>
          <w:szCs w:val="21"/>
        </w:rPr>
        <w:t xml:space="preserve">From (supplier)</w:t>
      </w:r>
    </w:p>
    <w:p>
      <w:pPr>
        <w:spacing w:after="70" w:line="300"/>
      </w:pPr>
      <w:r>
        <w:rPr>
          <w:color w:val="191D32"/>
          <w:sz w:val="21"/>
          <w:szCs w:val="21"/>
        </w:rPr>
        <w:t xml:space="preserve">[ supplier's registered name ]</w:t>
      </w:r>
    </w:p>
    <w:p>
      <w:pPr>
        <w:spacing w:after="70" w:line="300"/>
      </w:pPr>
      <w:r>
        <w:rPr>
          <w:color w:val="191D32"/>
          <w:sz w:val="21"/>
          <w:szCs w:val="21"/>
        </w:rPr>
        <w:t xml:space="preserve">[ supplier's address ]</w:t>
      </w:r>
    </w:p>
    <w:p>
      <w:pPr>
        <w:spacing w:after="70" w:line="300"/>
      </w:pPr>
      <w:r>
        <w:rPr>
          <w:color w:val="191D32"/>
          <w:sz w:val="21"/>
          <w:szCs w:val="21"/>
        </w:rPr>
        <w:t xml:space="preserve">Udyam Registration Number: [ URN, in the form UDYAM-XX-00-0000000 ]</w:t>
      </w:r>
    </w:p>
    <w:p>
      <w:pPr>
        <w:spacing w:after="220" w:line="300"/>
      </w:pPr>
      <w:r>
        <w:rPr>
          <w:color w:val="191D32"/>
          <w:sz w:val="21"/>
          <w:szCs w:val="21"/>
        </w:rPr>
        <w:t xml:space="preserve">Udyam certificate: [ date of issue ], enclosed as Annexure A</w:t>
      </w:r>
    </w:p>
    <w:p>
      <w:pPr>
        <w:spacing w:after="60"/>
      </w:pPr>
      <w:r>
        <w:rPr>
          <w:b/>
          <w:bCs/>
          <w:color w:val="191D32"/>
          <w:sz w:val="21"/>
          <w:szCs w:val="21"/>
        </w:rPr>
        <w:t xml:space="preserve">To (buyer)</w:t>
      </w:r>
    </w:p>
    <w:p>
      <w:pPr>
        <w:spacing w:after="70" w:line="300"/>
      </w:pPr>
      <w:r>
        <w:rPr>
          <w:color w:val="191D32"/>
          <w:sz w:val="21"/>
          <w:szCs w:val="21"/>
        </w:rPr>
        <w:t xml:space="preserve">[ buyer's full legal name ]</w:t>
      </w:r>
    </w:p>
    <w:p>
      <w:pPr>
        <w:spacing w:after="70" w:line="300"/>
      </w:pPr>
      <w:r>
        <w:rPr>
          <w:color w:val="191D32"/>
          <w:sz w:val="21"/>
          <w:szCs w:val="21"/>
        </w:rPr>
        <w:t xml:space="preserve">[ buyer's registered address ]</w:t>
      </w:r>
    </w:p>
    <w:p>
      <w:pPr>
        <w:spacing w:after="220" w:line="300"/>
      </w:pPr>
      <w:r>
        <w:rPr>
          <w:color w:val="191D32"/>
          <w:sz w:val="21"/>
          <w:szCs w:val="21"/>
        </w:rPr>
        <w:t xml:space="preserve">Kind attention: [ name and designation, if known ]</w:t>
      </w:r>
    </w:p>
    <w:p>
      <w:pPr>
        <w:spacing w:after="200"/>
      </w:pPr>
      <w:r>
        <w:rPr>
          <w:b/>
          <w:bCs/>
          <w:color w:val="191D32"/>
          <w:sz w:val="21"/>
          <w:szCs w:val="21"/>
        </w:rPr>
        <w:t xml:space="preserve">Subject:  </w:t>
      </w:r>
      <w:r>
        <w:rPr>
          <w:color w:val="191D32"/>
          <w:sz w:val="21"/>
          <w:szCs w:val="21"/>
        </w:rPr>
        <w:t xml:space="preserve">Demand for payment of overdue amounts, and for interest under section 16 of the Micro, Small and Medium Enterprises Development Act, 2006</w:t>
      </w:r>
    </w:p>
    <w:p>
      <w:pPr>
        <w:spacing w:after="200" w:line="300"/>
      </w:pPr>
      <w:r>
        <w:rPr>
          <w:color w:val="191D32"/>
          <w:sz w:val="21"/>
          <w:szCs w:val="21"/>
        </w:rPr>
        <w:t xml:space="preserve">Dear Sir or Madam,</w:t>
      </w:r>
    </w:p>
    <w:p>
      <w:pPr>
        <w:spacing w:after="130" w:line="300"/>
        <w:ind w:left="480" w:hanging="480"/>
      </w:pPr>
      <w:r>
        <w:rPr>
          <w:b/>
          <w:bCs/>
          <w:color w:val="191D32"/>
          <w:sz w:val="21"/>
          <w:szCs w:val="21"/>
        </w:rPr>
        <w:t xml:space="preserve">1.  </w:t>
      </w:r>
      <w:r>
        <w:rPr>
          <w:color w:val="191D32"/>
          <w:sz w:val="21"/>
          <w:szCs w:val="21"/>
        </w:rPr>
        <w:t xml:space="preserve">I am a supplier registered as a micro or small enterprise under the Micro, Small and Medium Enterprises Development Act, 2006 (the "MSMED Act"). My Udyam Registration Number is [ URN ], and a copy of the Udyam certificate is enclosed as Annexure A.</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Give the URN exactly as it appears on the certificate. The buyer, and later the portal, will check the two against each other.</w:t>
      </w:r>
    </w:p>
    <w:p>
      <w:pPr>
        <w:spacing w:after="130" w:line="300"/>
        <w:ind w:left="480" w:hanging="480"/>
      </w:pPr>
      <w:r>
        <w:rPr>
          <w:b/>
          <w:bCs/>
          <w:color w:val="191D32"/>
          <w:sz w:val="21"/>
          <w:szCs w:val="21"/>
        </w:rPr>
        <w:t xml:space="preserve">2.  </w:t>
      </w:r>
      <w:r>
        <w:rPr>
          <w:color w:val="191D32"/>
          <w:sz w:val="21"/>
          <w:szCs w:val="21"/>
        </w:rPr>
        <w:t xml:space="preserve">I supplied [ describe the goods or services in one line ] to you against your purchase order / work order number [ PO or work order number ] dated [ DD/MM/YYYY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If the work ran across more than one purchase order, list each one with its own number and date, or attach a schedule and refer to it here. Every order you are claiming under has to be identified.</w:t>
      </w:r>
    </w:p>
    <w:p>
      <w:pPr>
        <w:spacing w:after="130" w:line="300"/>
        <w:ind w:left="480" w:hanging="480"/>
      </w:pPr>
      <w:r>
        <w:rPr>
          <w:b/>
          <w:bCs/>
          <w:color w:val="191D32"/>
          <w:sz w:val="21"/>
          <w:szCs w:val="21"/>
        </w:rPr>
        <w:t xml:space="preserve">3.  </w:t>
      </w:r>
      <w:r>
        <w:rPr>
          <w:color w:val="191D32"/>
          <w:sz w:val="21"/>
          <w:szCs w:val="21"/>
        </w:rPr>
        <w:t xml:space="preserve">The invoices raised for that supply, and the amounts still unpaid, are as follows.</w:t>
      </w:r>
    </w:p>
    <w:p>
      <w:pPr>
        <w:spacing w:after="130" w:before="60"/>
      </w:pP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gridCol w:w="100"/>
      </w:tblGrid>
      <w:tr>
        <w:trPr>
          <w:tblHeader/>
        </w:trPr>
        <w:tc>
          <w:tcPr>
            <w:tcW w:type="pct" w:w="25%"/>
            <w:tcMar>
              <w:top w:type="dxa" w:w="110"/>
              <w:left w:type="dxa" w:w="140"/>
              <w:bottom w:type="dxa" w:w="110"/>
              <w:right w:type="dxa" w:w="140"/>
            </w:tcMar>
          </w:tcPr>
          <w:p>
            <w:r>
              <w:rPr>
                <w:b/>
                <w:bCs/>
                <w:color w:val="191D32"/>
                <w:sz w:val="19"/>
                <w:szCs w:val="19"/>
              </w:rPr>
              <w:t xml:space="preserve">Invoice number</w:t>
            </w:r>
          </w:p>
        </w:tc>
        <w:tc>
          <w:tcPr>
            <w:tcW w:type="pct" w:w="25%"/>
            <w:tcMar>
              <w:top w:type="dxa" w:w="110"/>
              <w:left w:type="dxa" w:w="140"/>
              <w:bottom w:type="dxa" w:w="110"/>
              <w:right w:type="dxa" w:w="140"/>
            </w:tcMar>
          </w:tcPr>
          <w:p>
            <w:r>
              <w:rPr>
                <w:b/>
                <w:bCs/>
                <w:color w:val="191D32"/>
                <w:sz w:val="19"/>
                <w:szCs w:val="19"/>
              </w:rPr>
              <w:t xml:space="preserve">Invoice date</w:t>
            </w:r>
          </w:p>
        </w:tc>
        <w:tc>
          <w:tcPr>
            <w:tcW w:type="pct" w:w="25%"/>
            <w:tcMar>
              <w:top w:type="dxa" w:w="110"/>
              <w:left w:type="dxa" w:w="140"/>
              <w:bottom w:type="dxa" w:w="110"/>
              <w:right w:type="dxa" w:w="140"/>
            </w:tcMar>
          </w:tcPr>
          <w:p>
            <w:r>
              <w:rPr>
                <w:b/>
                <w:bCs/>
                <w:color w:val="191D32"/>
                <w:sz w:val="19"/>
                <w:szCs w:val="19"/>
              </w:rPr>
              <w:t xml:space="preserve">Invoice amount (INR)</w:t>
            </w:r>
          </w:p>
        </w:tc>
        <w:tc>
          <w:tcPr>
            <w:tcW w:type="pct" w:w="25%"/>
            <w:tcMar>
              <w:top w:type="dxa" w:w="110"/>
              <w:left w:type="dxa" w:w="140"/>
              <w:bottom w:type="dxa" w:w="110"/>
              <w:right w:type="dxa" w:w="140"/>
            </w:tcMar>
          </w:tcPr>
          <w:p>
            <w:r>
              <w:rPr>
                <w:b/>
                <w:bCs/>
                <w:color w:val="191D32"/>
                <w:sz w:val="19"/>
                <w:szCs w:val="19"/>
              </w:rPr>
              <w:t xml:space="preserve">Amount still unpaid (INR)</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number ]</w:t>
            </w:r>
          </w:p>
        </w:tc>
        <w:tc>
          <w:tcPr>
            <w:tcW w:type="pct" w:w="25%"/>
            <w:tcMar>
              <w:top w:type="dxa" w:w="110"/>
              <w:left w:type="dxa" w:w="140"/>
              <w:bottom w:type="dxa" w:w="110"/>
              <w:right w:type="dxa" w:w="140"/>
            </w:tcMar>
          </w:tcPr>
          <w:p>
            <w:r>
              <w:rPr>
                <w:b w:val="false"/>
                <w:bCs w:val="false"/>
                <w:color w:val="191D32"/>
                <w:sz w:val="19"/>
                <w:szCs w:val="19"/>
              </w:rPr>
              <w:t xml:space="preserve">[ DD/MM/YYYY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amount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number ]</w:t>
            </w:r>
          </w:p>
        </w:tc>
        <w:tc>
          <w:tcPr>
            <w:tcW w:type="pct" w:w="25%"/>
            <w:tcMar>
              <w:top w:type="dxa" w:w="110"/>
              <w:left w:type="dxa" w:w="140"/>
              <w:bottom w:type="dxa" w:w="110"/>
              <w:right w:type="dxa" w:w="140"/>
            </w:tcMar>
          </w:tcPr>
          <w:p>
            <w:r>
              <w:rPr>
                <w:b w:val="false"/>
                <w:bCs w:val="false"/>
                <w:color w:val="191D32"/>
                <w:sz w:val="19"/>
                <w:szCs w:val="19"/>
              </w:rPr>
              <w:t xml:space="preserve">[ DD/MM/YYYY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amount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 add or delete rows ]</w:t>
            </w:r>
          </w:p>
        </w:tc>
        <w:tc>
          <w:tcPr>
            <w:tcW w:type="pct" w:w="25%"/>
            <w:tcMar>
              <w:top w:type="dxa" w:w="110"/>
              <w:left w:type="dxa" w:w="140"/>
              <w:bottom w:type="dxa" w:w="110"/>
              <w:right w:type="dxa" w:w="140"/>
            </w:tcMar>
          </w:tcPr>
          <w:p>
            <w:r>
              <w:rPr>
                <w:b w:val="false"/>
                <w:bCs w:val="false"/>
                <w:color w:val="191D32"/>
                <w:sz w:val="19"/>
                <w:szCs w:val="19"/>
              </w:rPr>
              <w:t xml:space="preserve">[ DD/MM/YYYY ]</w:t>
            </w:r>
          </w:p>
        </w:tc>
        <w:tc>
          <w:tcPr>
            <w:tcW w:type="pct" w:w="25%"/>
            <w:tcMar>
              <w:top w:type="dxa" w:w="110"/>
              <w:left w:type="dxa" w:w="140"/>
              <w:bottom w:type="dxa" w:w="110"/>
              <w:right w:type="dxa" w:w="140"/>
            </w:tcMar>
          </w:tcPr>
          <w:p>
            <w:r>
              <w:rPr>
                <w:b w:val="false"/>
                <w:bCs w:val="false"/>
                <w:color w:val="191D32"/>
                <w:sz w:val="19"/>
                <w:szCs w:val="19"/>
              </w:rPr>
              <w:t xml:space="preserve">[ amount ]</w:t>
            </w:r>
          </w:p>
        </w:tc>
        <w:tc>
          <w:tcPr>
            <w:tcW w:type="pct" w:w="25%"/>
            <w:tcMar>
              <w:top w:type="dxa" w:w="110"/>
              <w:left w:type="dxa" w:w="140"/>
              <w:bottom w:type="dxa" w:w="110"/>
              <w:right w:type="dxa" w:w="140"/>
            </w:tcMar>
          </w:tcPr>
          <w:p>
            <w:r>
              <w:rPr>
                <w:b w:val="false"/>
                <w:bCs w:val="false"/>
                <w:color w:val="191D32"/>
                <w:sz w:val="19"/>
                <w:szCs w:val="19"/>
              </w:rPr>
              <w:t xml:space="preserve">[ amount ]</w:t>
            </w:r>
          </w:p>
        </w:tc>
      </w:tr>
      <w:tr>
        <w:trPr>
          <w:tblHeader w:val="false"/>
        </w:trPr>
        <w:tc>
          <w:tcPr>
            <w:tcW w:type="pct" w:w="25%"/>
            <w:tcMar>
              <w:top w:type="dxa" w:w="110"/>
              <w:left w:type="dxa" w:w="140"/>
              <w:bottom w:type="dxa" w:w="110"/>
              <w:right w:type="dxa" w:w="140"/>
            </w:tcMar>
          </w:tcPr>
          <w:p>
            <w:r>
              <w:rPr>
                <w:b w:val="false"/>
                <w:bCs w:val="false"/>
                <w:color w:val="191D32"/>
                <w:sz w:val="19"/>
                <w:szCs w:val="19"/>
              </w:rPr>
              <w:t xml:space="preserve">Total</w:t>
            </w:r>
          </w:p>
        </w:tc>
        <w:tc>
          <w:tcPr>
            <w:tcW w:type="pct" w:w="25%"/>
            <w:tcMar>
              <w:top w:type="dxa" w:w="110"/>
              <w:left w:type="dxa" w:w="140"/>
              <w:bottom w:type="dxa" w:w="110"/>
              <w:right w:type="dxa" w:w="140"/>
            </w:tcMar>
          </w:tcPr>
          <w:p>
            <w:r>
              <w:rPr>
                <w:b w:val="false"/>
                <w:bCs w:val="false"/>
                <w:color w:val="191D32"/>
                <w:sz w:val="19"/>
                <w:szCs w:val="19"/>
              </w:rPr>
              <w:t xml:space="preserve"/>
            </w:r>
          </w:p>
        </w:tc>
        <w:tc>
          <w:tcPr>
            <w:tcW w:type="pct" w:w="25%"/>
            <w:tcMar>
              <w:top w:type="dxa" w:w="110"/>
              <w:left w:type="dxa" w:w="140"/>
              <w:bottom w:type="dxa" w:w="110"/>
              <w:right w:type="dxa" w:w="140"/>
            </w:tcMar>
          </w:tcPr>
          <w:p>
            <w:r>
              <w:rPr>
                <w:b w:val="false"/>
                <w:bCs w:val="false"/>
                <w:color w:val="191D32"/>
                <w:sz w:val="19"/>
                <w:szCs w:val="19"/>
              </w:rPr>
              <w:t xml:space="preserve">[ total ]</w:t>
            </w:r>
          </w:p>
        </w:tc>
        <w:tc>
          <w:tcPr>
            <w:tcW w:type="pct" w:w="25%"/>
            <w:tcMar>
              <w:top w:type="dxa" w:w="110"/>
              <w:left w:type="dxa" w:w="140"/>
              <w:bottom w:type="dxa" w:w="110"/>
              <w:right w:type="dxa" w:w="140"/>
            </w:tcMar>
          </w:tcPr>
          <w:p>
            <w:r>
              <w:rPr>
                <w:b w:val="false"/>
                <w:bCs w:val="false"/>
                <w:color w:val="191D32"/>
                <w:sz w:val="19"/>
                <w:szCs w:val="19"/>
              </w:rPr>
              <w:t xml:space="preserve">[ total unpaid ]</w:t>
            </w:r>
          </w:p>
        </w:tc>
      </w:tr>
    </w:tbl>
    <w:p>
      <w:pPr>
        <w:spacing w:after="160"/>
      </w:pPr>
    </w:p>
    <w:p>
      <w:pPr>
        <w:spacing w:after="130" w:line="300"/>
        <w:ind w:left="480" w:hanging="480"/>
      </w:pPr>
      <w:r>
        <w:rPr>
          <w:b/>
          <w:bCs/>
          <w:color w:val="191D32"/>
          <w:sz w:val="21"/>
          <w:szCs w:val="21"/>
        </w:rPr>
        <w:t xml:space="preserve">4.  </w:t>
      </w:r>
      <w:r>
        <w:rPr>
          <w:color w:val="191D32"/>
          <w:sz w:val="21"/>
          <w:szCs w:val="21"/>
        </w:rPr>
        <w:t xml:space="preserve">The goods or services were delivered on [ DD/MM/YYYY ] and were accepted by you on [ DD/MM/YYYY ], on the basis that [ state the basis and what evidences it: your written acceptance, sign-off, goods receipt note, or delivery record ]. Proof of delivery and acceptance is enclosed as Annexure C.</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The acceptance date is the date every other date in this notice is measured from, so record it carefully and be able to evidence it. If the buyer never signed anything off, say what you are treating as acceptance and what you are relying on, rather than leaving the date unexplained.</w:t>
      </w:r>
    </w:p>
    <w:p>
      <w:pPr>
        <w:spacing w:after="130" w:line="300"/>
        <w:ind w:left="480" w:hanging="480"/>
      </w:pPr>
      <w:r>
        <w:rPr>
          <w:b/>
          <w:bCs/>
          <w:color w:val="191D32"/>
          <w:sz w:val="21"/>
          <w:szCs w:val="21"/>
        </w:rPr>
        <w:t xml:space="preserve">5.  </w:t>
      </w:r>
      <w:r>
        <w:rPr>
          <w:color w:val="191D32"/>
          <w:sz w:val="21"/>
          <w:szCs w:val="21"/>
        </w:rPr>
        <w:t xml:space="preserve">[ Choose (a) or (b) and delete the other. ]</w:t>
      </w:r>
    </w:p>
    <w:p>
      <w:pPr>
        <w:spacing w:after="130" w:line="300"/>
        <w:ind w:left="480" w:hanging="480"/>
      </w:pPr>
      <w:r>
        <w:rPr>
          <w:b/>
          <w:bCs/>
          <w:color w:val="191D32"/>
          <w:sz w:val="21"/>
          <w:szCs w:val="21"/>
        </w:rPr>
        <w:t xml:space="preserve">(a)  </w:t>
      </w:r>
      <w:r>
        <w:rPr>
          <w:color w:val="191D32"/>
          <w:sz w:val="21"/>
          <w:szCs w:val="21"/>
        </w:rPr>
        <w:t xml:space="preserve">There is a written agreement between us on the payment period. Under section 15 of the MSMED Act you were required to pay on or before the date agreed in writing, which was [ DD/MM/YYYY ]. That agreed period cannot in any case exceed forty-five days from the day of acceptance or the day of deemed acceptance.</w:t>
      </w:r>
    </w:p>
    <w:p>
      <w:pPr>
        <w:spacing w:after="130" w:line="300"/>
        <w:ind w:left="480" w:hanging="480"/>
      </w:pPr>
      <w:r>
        <w:rPr>
          <w:b/>
          <w:bCs/>
          <w:color w:val="191D32"/>
          <w:sz w:val="21"/>
          <w:szCs w:val="21"/>
        </w:rPr>
        <w:t xml:space="preserve">(b)  </w:t>
      </w:r>
      <w:r>
        <w:rPr>
          <w:color w:val="191D32"/>
          <w:sz w:val="21"/>
          <w:szCs w:val="21"/>
        </w:rPr>
        <w:t xml:space="preserve">There is no written agreement between us on the payment period. Under section 15 of the MSMED Act you were therefore required to pay before the appointed day, being fifteen days from the day of acceptance or the day of deemed acceptance of the goods or services. That date was [ DD/MM/YYYY ].</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Pick the route that matches your paperwork, because it decides both the due date and the date interest starts running. Route (a) needs a payment period actually agreed in writing. A purchase order term or a signed contract clause counts. A verbal understanding does not, and in that case route (b) applies. If the written period you agreed runs beyond forty-five days from acceptance, claim to the forty-five day cap in section 15 rather than to the longer period you agreed.</w:t>
      </w:r>
    </w:p>
    <w:p>
      <w:pPr>
        <w:spacing w:after="130" w:line="300"/>
        <w:ind w:left="480" w:hanging="480"/>
      </w:pPr>
      <w:r>
        <w:rPr>
          <w:b/>
          <w:bCs/>
          <w:color w:val="191D32"/>
          <w:sz w:val="21"/>
          <w:szCs w:val="21"/>
        </w:rPr>
        <w:t xml:space="preserve">6.  </w:t>
      </w:r>
      <w:r>
        <w:rPr>
          <w:color w:val="191D32"/>
          <w:sz w:val="21"/>
          <w:szCs w:val="21"/>
        </w:rPr>
        <w:t xml:space="preserve">The sum of [ amount in figures ] (Rupees [ amount in words ]) remains unpaid as at [ DD/MM/YYYY ]. That is [ number ] days after the date on which payment fell due under paragraph 5.</w:t>
      </w:r>
    </w:p>
    <w:p>
      <w:pPr>
        <w:spacing w:after="130" w:line="300"/>
        <w:ind w:left="480" w:hanging="480"/>
      </w:pPr>
      <w:r>
        <w:rPr>
          <w:b/>
          <w:bCs/>
          <w:color w:val="191D32"/>
          <w:sz w:val="21"/>
          <w:szCs w:val="21"/>
        </w:rPr>
        <w:t xml:space="preserve">7.  </w:t>
      </w:r>
      <w:r>
        <w:rPr>
          <w:color w:val="191D32"/>
          <w:sz w:val="21"/>
          <w:szCs w:val="21"/>
        </w:rPr>
        <w:t xml:space="preserve">Under section 16 of the MSMED Act you are liable to pay me compound interest, with monthly rests, on that amount, at three times the bank rate notified by the Reserve Bank of India. That interest runs from [ the appointed day, or the day immediately following the date agreed upon for payment. Pick the one matching paragraph 5 ], being [ DD/MM/YYYY ], until the date the amount is actually paid to me.</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Section 16 fixes the rate as a formula rather than a number: three times the bank rate notified by the Reserve Bank of India, compounded with monthly rests. State it that way and do not substitute a flat percentage, a per-day figure, or a worked total. The notified bank rate changes, so a number written into the notice today can be wrong by the time the money is paid, and an understated claim is hard to walk back. Work out the actual figure at the point of settlement, against the notified rate for the period.</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Section 16 applies notwithstanding anything in the agreement between you and the buyer, and notwithstanding any other law in force. So this interest is not something you needed to negotiate into the purchase order. If the contract waives interest on late payment, or caps it at some lower rate, that term does not displace section 16 and the statutory interest still accrues. Buyers do sometimes point at such a clause. It does not answer the claim.</w:t>
      </w:r>
    </w:p>
    <w:p>
      <w:pPr>
        <w:spacing w:after="130" w:line="300"/>
        <w:ind w:left="480" w:hanging="480"/>
      </w:pPr>
      <w:r>
        <w:rPr>
          <w:b/>
          <w:bCs/>
          <w:color w:val="191D32"/>
          <w:sz w:val="21"/>
          <w:szCs w:val="21"/>
        </w:rPr>
        <w:t xml:space="preserve">8.  </w:t>
      </w:r>
      <w:r>
        <w:rPr>
          <w:color w:val="191D32"/>
          <w:sz w:val="21"/>
          <w:szCs w:val="21"/>
        </w:rPr>
        <w:t xml:space="preserve">I have already followed this up with you as set out below. Copies are enclosed as Annexure D. [ Delete this paragraph and Annexure D if this is your first written follow-up. ]</w:t>
      </w:r>
    </w:p>
    <w:p>
      <w:pPr>
        <w:spacing w:after="130" w:before="60"/>
      </w:pP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rPr>
          <w:tblHeader/>
        </w:trPr>
        <w:tc>
          <w:tcPr>
            <w:tcW w:type="pct" w:w="33.333333333333336%"/>
            <w:tcMar>
              <w:top w:type="dxa" w:w="110"/>
              <w:left w:type="dxa" w:w="140"/>
              <w:bottom w:type="dxa" w:w="110"/>
              <w:right w:type="dxa" w:w="140"/>
            </w:tcMar>
          </w:tcPr>
          <w:p>
            <w:r>
              <w:rPr>
                <w:b/>
                <w:bCs/>
                <w:color w:val="191D32"/>
                <w:sz w:val="19"/>
                <w:szCs w:val="19"/>
              </w:rPr>
              <w:t xml:space="preserve">Date</w:t>
            </w:r>
          </w:p>
        </w:tc>
        <w:tc>
          <w:tcPr>
            <w:tcW w:type="pct" w:w="33.333333333333336%"/>
            <w:tcMar>
              <w:top w:type="dxa" w:w="110"/>
              <w:left w:type="dxa" w:w="140"/>
              <w:bottom w:type="dxa" w:w="110"/>
              <w:right w:type="dxa" w:w="140"/>
            </w:tcMar>
          </w:tcPr>
          <w:p>
            <w:r>
              <w:rPr>
                <w:b/>
                <w:bCs/>
                <w:color w:val="191D32"/>
                <w:sz w:val="19"/>
                <w:szCs w:val="19"/>
              </w:rPr>
              <w:t xml:space="preserve">How it was sent</w:t>
            </w:r>
          </w:p>
        </w:tc>
        <w:tc>
          <w:tcPr>
            <w:tcW w:type="pct" w:w="33.333333333333336%"/>
            <w:tcMar>
              <w:top w:type="dxa" w:w="110"/>
              <w:left w:type="dxa" w:w="140"/>
              <w:bottom w:type="dxa" w:w="110"/>
              <w:right w:type="dxa" w:w="140"/>
            </w:tcMar>
          </w:tcPr>
          <w:p>
            <w:r>
              <w:rPr>
                <w:b/>
                <w:bCs/>
                <w:color w:val="191D32"/>
                <w:sz w:val="19"/>
                <w:szCs w:val="19"/>
              </w:rPr>
              <w:t xml:space="preserve">What was sent, and any response</w:t>
            </w:r>
          </w:p>
        </w:tc>
      </w:tr>
      <w:tr>
        <w:trPr>
          <w:tblHeader w:val="false"/>
        </w:trPr>
        <w:tc>
          <w:tcPr>
            <w:tcW w:type="pct" w:w="33.333333333333336%"/>
            <w:tcMar>
              <w:top w:type="dxa" w:w="110"/>
              <w:left w:type="dxa" w:w="140"/>
              <w:bottom w:type="dxa" w:w="110"/>
              <w:right w:type="dxa" w:w="140"/>
            </w:tcMar>
          </w:tcPr>
          <w:p>
            <w:r>
              <w:rPr>
                <w:b w:val="false"/>
                <w:bCs w:val="false"/>
                <w:color w:val="191D32"/>
                <w:sz w:val="19"/>
                <w:szCs w:val="19"/>
              </w:rPr>
              <w:t xml:space="preserve">[ DD/MM/YYYY ]</w:t>
            </w:r>
          </w:p>
        </w:tc>
        <w:tc>
          <w:tcPr>
            <w:tcW w:type="pct" w:w="33.333333333333336%"/>
            <w:tcMar>
              <w:top w:type="dxa" w:w="110"/>
              <w:left w:type="dxa" w:w="140"/>
              <w:bottom w:type="dxa" w:w="110"/>
              <w:right w:type="dxa" w:w="140"/>
            </w:tcMar>
          </w:tcPr>
          <w:p>
            <w:r>
              <w:rPr>
                <w:b w:val="false"/>
                <w:bCs w:val="false"/>
                <w:color w:val="191D32"/>
                <w:sz w:val="19"/>
                <w:szCs w:val="19"/>
              </w:rPr>
              <w:t xml:space="preserve">[ email / letter / call ]</w:t>
            </w:r>
          </w:p>
        </w:tc>
        <w:tc>
          <w:tcPr>
            <w:tcW w:type="pct" w:w="33.333333333333336%"/>
            <w:tcMar>
              <w:top w:type="dxa" w:w="110"/>
              <w:left w:type="dxa" w:w="140"/>
              <w:bottom w:type="dxa" w:w="110"/>
              <w:right w:type="dxa" w:w="140"/>
            </w:tcMar>
          </w:tcPr>
          <w:p>
            <w:r>
              <w:rPr>
                <w:b w:val="false"/>
                <w:bCs w:val="false"/>
                <w:color w:val="191D32"/>
                <w:sz w:val="19"/>
                <w:szCs w:val="19"/>
              </w:rPr>
              <w:t xml:space="preserve">[ reminder, statement of account, response received ]</w:t>
            </w:r>
          </w:p>
        </w:tc>
      </w:tr>
      <w:tr>
        <w:trPr>
          <w:tblHeader w:val="false"/>
        </w:trPr>
        <w:tc>
          <w:tcPr>
            <w:tcW w:type="pct" w:w="33.333333333333336%"/>
            <w:tcMar>
              <w:top w:type="dxa" w:w="110"/>
              <w:left w:type="dxa" w:w="140"/>
              <w:bottom w:type="dxa" w:w="110"/>
              <w:right w:type="dxa" w:w="140"/>
            </w:tcMar>
          </w:tcPr>
          <w:p>
            <w:r>
              <w:rPr>
                <w:b w:val="false"/>
                <w:bCs w:val="false"/>
                <w:color w:val="191D32"/>
                <w:sz w:val="19"/>
                <w:szCs w:val="19"/>
              </w:rPr>
              <w:t xml:space="preserve">[ DD/MM/YYYY ]</w:t>
            </w:r>
          </w:p>
        </w:tc>
        <w:tc>
          <w:tcPr>
            <w:tcW w:type="pct" w:w="33.333333333333336%"/>
            <w:tcMar>
              <w:top w:type="dxa" w:w="110"/>
              <w:left w:type="dxa" w:w="140"/>
              <w:bottom w:type="dxa" w:w="110"/>
              <w:right w:type="dxa" w:w="140"/>
            </w:tcMar>
          </w:tcPr>
          <w:p>
            <w:r>
              <w:rPr>
                <w:b w:val="false"/>
                <w:bCs w:val="false"/>
                <w:color w:val="191D32"/>
                <w:sz w:val="19"/>
                <w:szCs w:val="19"/>
              </w:rPr>
              <w:t xml:space="preserve">[ email / letter / call ]</w:t>
            </w:r>
          </w:p>
        </w:tc>
        <w:tc>
          <w:tcPr>
            <w:tcW w:type="pct" w:w="33.333333333333336%"/>
            <w:tcMar>
              <w:top w:type="dxa" w:w="110"/>
              <w:left w:type="dxa" w:w="140"/>
              <w:bottom w:type="dxa" w:w="110"/>
              <w:right w:type="dxa" w:w="140"/>
            </w:tcMar>
          </w:tcPr>
          <w:p>
            <w:r>
              <w:rPr>
                <w:b w:val="false"/>
                <w:bCs w:val="false"/>
                <w:color w:val="191D32"/>
                <w:sz w:val="19"/>
                <w:szCs w:val="19"/>
              </w:rPr>
              <w:t xml:space="preserve">[ add or delete rows ]</w:t>
            </w:r>
          </w:p>
        </w:tc>
      </w:tr>
    </w:tbl>
    <w:p>
      <w:pPr>
        <w:spacing w:after="160"/>
      </w:pP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Reconstruct this from your sent folder before you send the notice. The portal filing asks for prior correspondence, and a documented trail of reminders is the part most suppliers cannot produce later.</w:t>
      </w:r>
    </w:p>
    <w:p>
      <w:pPr>
        <w:spacing w:after="130" w:line="300"/>
        <w:ind w:left="480" w:hanging="480"/>
      </w:pPr>
      <w:r>
        <w:rPr>
          <w:b/>
          <w:bCs/>
          <w:color w:val="191D32"/>
          <w:sz w:val="21"/>
          <w:szCs w:val="21"/>
        </w:rPr>
        <w:t xml:space="preserve">9.  </w:t>
      </w:r>
      <w:r>
        <w:rPr>
          <w:color w:val="191D32"/>
          <w:sz w:val="21"/>
          <w:szCs w:val="21"/>
        </w:rPr>
        <w:t xml:space="preserve">I call upon you to pay the sum of [ amount ], together with interest calculated under section 16 of the MSMED Act as set out in paragraph 7, within [ number ] days of receiving this notice, by [ bank transfer to the account below / cheque ].</w:t>
      </w:r>
    </w:p>
    <w:p>
      <w:pPr>
        <w:spacing w:after="130" w:line="300"/>
        <w:ind w:left="480" w:hanging="480"/>
      </w:pPr>
      <w:r>
        <w:rPr>
          <w:b/>
          <w:bCs/>
          <w:color w:val="191D32"/>
          <w:sz w:val="21"/>
          <w:szCs w:val="21"/>
        </w:rPr>
        <w:t xml:space="preserve">10.  </w:t>
      </w:r>
      <w:r>
        <w:rPr>
          <w:color w:val="191D32"/>
          <w:sz w:val="21"/>
          <w:szCs w:val="21"/>
        </w:rPr>
        <w:t xml:space="preserve">If payment is not received within that period, I reserve the right to refer the matter to the Micro and Small Enterprises Facilitation Council under the MSMED Act, and to pursue the remedies available to me under sections 15 and 16 of that Act, without further notice to you.</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Set a cure period you are willing to hold to. Naming a date and then doing nothing on it weakens the next letter you send. This notice reserves your position; it does not start the reference itself.</w:t>
      </w:r>
    </w:p>
    <w:p>
      <w:pPr>
        <w:spacing w:after="60" w:before="160"/>
      </w:pPr>
      <w:r>
        <w:rPr>
          <w:b/>
          <w:bCs/>
          <w:color w:val="191D32"/>
          <w:sz w:val="21"/>
          <w:szCs w:val="21"/>
        </w:rPr>
        <w:t xml:space="preserve">Payment details</w:t>
      </w:r>
    </w:p>
    <w:p>
      <w:pPr>
        <w:spacing w:after="220" w:line="300"/>
      </w:pPr>
      <w:r>
        <w:rPr>
          <w:color w:val="191D32"/>
          <w:sz w:val="21"/>
          <w:szCs w:val="21"/>
        </w:rPr>
        <w:t xml:space="preserve">Account name: [ account name ]      Account number: [ account number ]      IFSC: [ IFSC ]      Bank and branch: [ bank and branch ]</w:t>
      </w:r>
    </w:p>
    <w:p>
      <w:pPr>
        <w:spacing w:after="260" w:line="300"/>
      </w:pPr>
      <w:r>
        <w:rPr>
          <w:color w:val="191D32"/>
          <w:sz w:val="21"/>
          <w:szCs w:val="21"/>
        </w:rPr>
        <w:t xml:space="preserve">Yours faithfully,</w:t>
      </w:r>
    </w:p>
    <w:p>
      <w:pPr>
        <w:spacing w:after="90" w:line="300"/>
      </w:pPr>
      <w:r>
        <w:rPr>
          <w:color w:val="191D32"/>
          <w:sz w:val="21"/>
          <w:szCs w:val="21"/>
        </w:rPr>
        <w:t xml:space="preserve">Signature: ______________________________</w:t>
      </w:r>
    </w:p>
    <w:p>
      <w:pPr>
        <w:spacing w:after="70" w:line="300"/>
      </w:pPr>
      <w:r>
        <w:rPr>
          <w:color w:val="191D32"/>
          <w:sz w:val="21"/>
          <w:szCs w:val="21"/>
        </w:rPr>
        <w:t xml:space="preserve">Name: [ full name of the person signing ]</w:t>
      </w:r>
    </w:p>
    <w:p>
      <w:pPr>
        <w:spacing w:after="70" w:line="300"/>
      </w:pPr>
      <w:r>
        <w:rPr>
          <w:color w:val="191D32"/>
          <w:sz w:val="21"/>
          <w:szCs w:val="21"/>
        </w:rPr>
        <w:t xml:space="preserve">Designation: [ proprietor / partner / director / authorised signatory ]</w:t>
      </w:r>
    </w:p>
    <w:p>
      <w:pPr>
        <w:spacing w:after="70" w:line="300"/>
      </w:pPr>
      <w:r>
        <w:rPr>
          <w:color w:val="191D32"/>
          <w:sz w:val="21"/>
          <w:szCs w:val="21"/>
        </w:rPr>
        <w:t xml:space="preserve">For and on behalf of: [ supplier's registered name ]</w:t>
      </w:r>
    </w:p>
    <w:p>
      <w:pPr>
        <w:spacing w:after="200" w:line="300"/>
      </w:pPr>
      <w:r>
        <w:rPr>
          <w:color w:val="191D32"/>
          <w:sz w:val="21"/>
          <w:szCs w:val="21"/>
        </w:rPr>
        <w:t xml:space="preserve">Date: [ DD/MM/YYYY ]      Place: [ place ]</w:t>
      </w:r>
    </w:p>
    <w:p>
      <w:pPr>
        <w:spacing w:after="60" w:before="120"/>
      </w:pPr>
      <w:r>
        <w:rPr>
          <w:b/>
          <w:bCs/>
          <w:color w:val="191D32"/>
          <w:sz w:val="21"/>
          <w:szCs w:val="21"/>
        </w:rPr>
        <w:t xml:space="preserve">Enclosures</w:t>
      </w:r>
    </w:p>
    <w:p>
      <w:pPr>
        <w:spacing w:after="60" w:line="300"/>
      </w:pPr>
      <w:r>
        <w:rPr>
          <w:color w:val="191D32"/>
          <w:sz w:val="21"/>
          <w:szCs w:val="21"/>
        </w:rPr>
        <w:t xml:space="preserve">Annexure A: Udyam registration certificate.</w:t>
      </w:r>
    </w:p>
    <w:p>
      <w:pPr>
        <w:spacing w:after="60" w:line="300"/>
      </w:pPr>
      <w:r>
        <w:rPr>
          <w:color w:val="191D32"/>
          <w:sz w:val="21"/>
          <w:szCs w:val="21"/>
        </w:rPr>
        <w:t xml:space="preserve">Annexure B: Purchase order or work order, and the invoices listed in paragraph 3.</w:t>
      </w:r>
    </w:p>
    <w:p>
      <w:pPr>
        <w:spacing w:after="60" w:line="300"/>
      </w:pPr>
      <w:r>
        <w:rPr>
          <w:color w:val="191D32"/>
          <w:sz w:val="21"/>
          <w:szCs w:val="21"/>
        </w:rPr>
        <w:t xml:space="preserve">Annexure C: Proof of delivery and acceptance.</w:t>
      </w:r>
    </w:p>
    <w:p>
      <w:pPr>
        <w:spacing w:after="60" w:line="300"/>
      </w:pPr>
      <w:r>
        <w:rPr>
          <w:color w:val="191D32"/>
          <w:sz w:val="21"/>
          <w:szCs w:val="21"/>
        </w:rPr>
        <w:t xml:space="preserve">Annexure D: Prior correspondence and reminders.</w:t>
      </w:r>
    </w:p>
    <w:p>
      <w:pPr>
        <w:pageBreakBefore/>
      </w:pPr>
    </w:p>
    <w:p>
      <w:pPr>
        <w:spacing w:after="40"/>
      </w:pPr>
      <w:r>
        <w:rPr>
          <w:b/>
          <w:bCs/>
          <w:color w:val="FF6B35"/>
          <w:spacing w:val="60"/>
          <w:sz w:val="19"/>
          <w:szCs w:val="19"/>
        </w:rPr>
        <w:t xml:space="preserve">COMPANION CHECKLIST</w:t>
      </w:r>
    </w:p>
    <w:p>
      <w:pPr>
        <w:spacing w:after="60"/>
      </w:pPr>
      <w:r>
        <w:rPr>
          <w:b/>
          <w:bCs/>
          <w:color w:val="191D32"/>
          <w:sz w:val="34"/>
          <w:szCs w:val="34"/>
        </w:rPr>
        <w:t xml:space="preserve">Filing on the Samadhaan/ODR portal</w:t>
      </w:r>
    </w:p>
    <w:p>
      <w:pPr>
        <w:spacing w:after="260" w:line="300"/>
      </w:pPr>
      <w:r>
        <w:rPr>
          <w:color w:val="6B7280"/>
          <w:sz w:val="21"/>
          <w:szCs w:val="21"/>
        </w:rPr>
        <w:t xml:space="preserve">What to have ready before you start the online filing at odr.msme.gov.in.</w:t>
      </w:r>
    </w:p>
    <w:p>
      <w:pPr>
        <w:spacing w:after="220" w:line="300"/>
      </w:pPr>
      <w:r>
        <w:rPr>
          <w:color w:val="191D32"/>
          <w:sz w:val="21"/>
          <w:szCs w:val="21"/>
        </w:rPr>
        <w:t xml:space="preserve">If the cure period in your notice passes without payment, the next step is a delayed-payment complaint against the buyer. The portal at odr.msme.gov.in has been live since 15 October 2025. Filing there is free and you do it yourself. BuildWright does not represent founders before the Facilitation Council, and this filing stays your own action.</w:t>
      </w:r>
    </w:p>
    <w:p>
      <w:pPr>
        <w:pStyle w:val="Heading1"/>
        <w:spacing w:after="160" w:before="340"/>
      </w:pPr>
      <w:r>
        <w:rPr>
          <w:b/>
          <w:bCs/>
          <w:color w:val="191D32"/>
          <w:sz w:val="26"/>
          <w:szCs w:val="26"/>
        </w:rPr>
        <w:t xml:space="preserve">The five attachments the filing requires</w:t>
      </w:r>
    </w:p>
    <w:p>
      <w:pPr>
        <w:spacing w:after="150" w:line="300"/>
        <w:ind w:left="420" w:hanging="420"/>
      </w:pPr>
      <w:r>
        <w:rPr>
          <w:color w:val="FF6B35"/>
          <w:sz w:val="24"/>
          <w:szCs w:val="24"/>
        </w:rPr>
        <w:t xml:space="preserve">☐   </w:t>
      </w:r>
      <w:r>
        <w:rPr>
          <w:b/>
          <w:bCs/>
          <w:color w:val="191D32"/>
          <w:sz w:val="21"/>
          <w:szCs w:val="21"/>
        </w:rPr>
        <w:t xml:space="preserve">Udyam registration certificate</w:t>
      </w:r>
      <w:r>
        <w:rPr>
          <w:color w:val="6B7280"/>
          <w:sz w:val="19"/>
          <w:szCs w:val="19"/>
        </w:rPr>
        <w:t xml:space="preserve">  For the supplier entity making the claim. The URN on it has to match the one in your notice.</w:t>
      </w:r>
    </w:p>
    <w:p>
      <w:pPr>
        <w:spacing w:after="150" w:line="300"/>
        <w:ind w:left="420" w:hanging="420"/>
      </w:pPr>
      <w:r>
        <w:rPr>
          <w:color w:val="FF6B35"/>
          <w:sz w:val="24"/>
          <w:szCs w:val="24"/>
        </w:rPr>
        <w:t xml:space="preserve">☐   </w:t>
      </w:r>
      <w:r>
        <w:rPr>
          <w:b/>
          <w:bCs/>
          <w:color w:val="191D32"/>
          <w:sz w:val="21"/>
          <w:szCs w:val="21"/>
        </w:rPr>
        <w:t xml:space="preserve">Purchase order or work order</w:t>
      </w:r>
      <w:r>
        <w:rPr>
          <w:color w:val="6B7280"/>
          <w:sz w:val="19"/>
          <w:szCs w:val="19"/>
        </w:rPr>
        <w:t xml:space="preserve">  The order the supply was made against, with its number and date. Attach each one you are claiming under.</w:t>
      </w:r>
    </w:p>
    <w:p>
      <w:pPr>
        <w:spacing w:after="150" w:line="300"/>
        <w:ind w:left="420" w:hanging="420"/>
      </w:pPr>
      <w:r>
        <w:rPr>
          <w:color w:val="FF6B35"/>
          <w:sz w:val="24"/>
          <w:szCs w:val="24"/>
        </w:rPr>
        <w:t xml:space="preserve">☐   </w:t>
      </w:r>
      <w:r>
        <w:rPr>
          <w:b/>
          <w:bCs/>
          <w:color w:val="191D32"/>
          <w:sz w:val="21"/>
          <w:szCs w:val="21"/>
        </w:rPr>
        <w:t xml:space="preserve">Invoices</w:t>
      </w:r>
      <w:r>
        <w:rPr>
          <w:color w:val="6B7280"/>
          <w:sz w:val="19"/>
          <w:szCs w:val="19"/>
        </w:rPr>
        <w:t xml:space="preserve">  Every invoice that remains unpaid, with numbers, dates, and amounts matching the table in your notice.</w:t>
      </w:r>
    </w:p>
    <w:p>
      <w:pPr>
        <w:spacing w:after="150" w:line="300"/>
        <w:ind w:left="420" w:hanging="420"/>
      </w:pPr>
      <w:r>
        <w:rPr>
          <w:color w:val="FF6B35"/>
          <w:sz w:val="24"/>
          <w:szCs w:val="24"/>
        </w:rPr>
        <w:t xml:space="preserve">☐   </w:t>
      </w:r>
      <w:r>
        <w:rPr>
          <w:b/>
          <w:bCs/>
          <w:color w:val="191D32"/>
          <w:sz w:val="21"/>
          <w:szCs w:val="21"/>
        </w:rPr>
        <w:t xml:space="preserve">Proof of delivery and acceptance</w:t>
      </w:r>
      <w:r>
        <w:rPr>
          <w:color w:val="6B7280"/>
          <w:sz w:val="19"/>
          <w:szCs w:val="19"/>
        </w:rPr>
        <w:t xml:space="preserve">  Delivery challans, goods receipt notes, sign-offs, acceptance emails, or whatever else evidences the acceptance date you relied on.</w:t>
      </w:r>
    </w:p>
    <w:p>
      <w:pPr>
        <w:spacing w:after="150" w:line="300"/>
        <w:ind w:left="420" w:hanging="420"/>
      </w:pPr>
      <w:r>
        <w:rPr>
          <w:color w:val="FF6B35"/>
          <w:sz w:val="24"/>
          <w:szCs w:val="24"/>
        </w:rPr>
        <w:t xml:space="preserve">☐   </w:t>
      </w:r>
      <w:r>
        <w:rPr>
          <w:b/>
          <w:bCs/>
          <w:color w:val="191D32"/>
          <w:sz w:val="21"/>
          <w:szCs w:val="21"/>
        </w:rPr>
        <w:t xml:space="preserve">Prior correspondence</w:t>
      </w:r>
      <w:r>
        <w:rPr>
          <w:color w:val="6B7280"/>
          <w:sz w:val="19"/>
          <w:szCs w:val="19"/>
        </w:rPr>
        <w:t xml:space="preserve">  Your reminders and this demand notice, with proof of despatch and delivery, and any reply the buyer sent.</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That is the full list the portal filing requires. If a buyer disputes the claim, the acceptance evidence is usually what the argument turns on, so put the strongest version of it in rather than the most recent.</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Check the portal's current file format and upload size limits when you file. We have not been able to verify a page-count or file-size cap, so scan to PDF at a readable resolution and be ready to split a large annexure.</w:t>
      </w:r>
    </w:p>
    <w:p>
      <w:pPr>
        <w:pStyle w:val="Heading1"/>
        <w:spacing w:after="160" w:before="340"/>
      </w:pPr>
      <w:r>
        <w:rPr>
          <w:b/>
          <w:bCs/>
          <w:color w:val="191D32"/>
          <w:sz w:val="26"/>
          <w:szCs w:val="26"/>
        </w:rPr>
        <w:t xml:space="preserve">Before you file, check these line up</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tblGrid>
      <w:tr>
        <w:trPr>
          <w:tblHeader/>
        </w:trPr>
        <w:tc>
          <w:tcPr>
            <w:tcW w:type="pct" w:w="50%"/>
            <w:tcMar>
              <w:top w:type="dxa" w:w="110"/>
              <w:left w:type="dxa" w:w="140"/>
              <w:bottom w:type="dxa" w:w="110"/>
              <w:right w:type="dxa" w:w="140"/>
            </w:tcMar>
          </w:tcPr>
          <w:p>
            <w:r>
              <w:rPr>
                <w:b/>
                <w:bCs/>
                <w:color w:val="191D32"/>
                <w:sz w:val="19"/>
                <w:szCs w:val="19"/>
              </w:rPr>
              <w:t xml:space="preserve">Check</w:t>
            </w:r>
          </w:p>
        </w:tc>
        <w:tc>
          <w:tcPr>
            <w:tcW w:type="pct" w:w="50%"/>
            <w:tcMar>
              <w:top w:type="dxa" w:w="110"/>
              <w:left w:type="dxa" w:w="140"/>
              <w:bottom w:type="dxa" w:w="110"/>
              <w:right w:type="dxa" w:w="140"/>
            </w:tcMar>
          </w:tcPr>
          <w:p>
            <w:r>
              <w:rPr>
                <w:b/>
                <w:bCs/>
                <w:color w:val="191D32"/>
                <w:sz w:val="19"/>
                <w:szCs w:val="19"/>
              </w:rPr>
              <w:t xml:space="preserve">Why it matters</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The URN on the certificate matches the URN in your notice</w:t>
            </w:r>
          </w:p>
        </w:tc>
        <w:tc>
          <w:tcPr>
            <w:tcW w:type="pct" w:w="50%"/>
            <w:tcMar>
              <w:top w:type="dxa" w:w="110"/>
              <w:left w:type="dxa" w:w="140"/>
              <w:bottom w:type="dxa" w:w="110"/>
              <w:right w:type="dxa" w:w="140"/>
            </w:tcMar>
          </w:tcPr>
          <w:p>
            <w:r>
              <w:rPr>
                <w:b w:val="false"/>
                <w:bCs w:val="false"/>
                <w:color w:val="191D32"/>
                <w:sz w:val="19"/>
                <w:szCs w:val="19"/>
              </w:rPr>
              <w:t xml:space="preserve">A mismatch is the simplest reason for a filing to stall.</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Invoice numbers and amounts match between the notice and the attachments</w:t>
            </w:r>
          </w:p>
        </w:tc>
        <w:tc>
          <w:tcPr>
            <w:tcW w:type="pct" w:w="50%"/>
            <w:tcMar>
              <w:top w:type="dxa" w:w="110"/>
              <w:left w:type="dxa" w:w="140"/>
              <w:bottom w:type="dxa" w:w="110"/>
              <w:right w:type="dxa" w:w="140"/>
            </w:tcMar>
          </w:tcPr>
          <w:p>
            <w:r>
              <w:rPr>
                <w:b w:val="false"/>
                <w:bCs w:val="false"/>
                <w:color w:val="191D32"/>
                <w:sz w:val="19"/>
                <w:szCs w:val="19"/>
              </w:rPr>
              <w:t xml:space="preserve">The claim amount is read off both.</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The acceptance date you state is the one your proof actually shows</w:t>
            </w:r>
          </w:p>
        </w:tc>
        <w:tc>
          <w:tcPr>
            <w:tcW w:type="pct" w:w="50%"/>
            <w:tcMar>
              <w:top w:type="dxa" w:w="110"/>
              <w:left w:type="dxa" w:w="140"/>
              <w:bottom w:type="dxa" w:w="110"/>
              <w:right w:type="dxa" w:w="140"/>
            </w:tcMar>
          </w:tcPr>
          <w:p>
            <w:r>
              <w:rPr>
                <w:b w:val="false"/>
                <w:bCs w:val="false"/>
                <w:color w:val="191D32"/>
                <w:sz w:val="19"/>
                <w:szCs w:val="19"/>
              </w:rPr>
              <w:t xml:space="preserve">Every deadline in the claim is counted from it.</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Your due-date basis is the right one</w:t>
            </w:r>
          </w:p>
        </w:tc>
        <w:tc>
          <w:tcPr>
            <w:tcW w:type="pct" w:w="50%"/>
            <w:tcMar>
              <w:top w:type="dxa" w:w="110"/>
              <w:left w:type="dxa" w:w="140"/>
              <w:bottom w:type="dxa" w:w="110"/>
              <w:right w:type="dxa" w:w="140"/>
            </w:tcMar>
          </w:tcPr>
          <w:p>
            <w:r>
              <w:rPr>
                <w:b w:val="false"/>
                <w:bCs w:val="false"/>
                <w:color w:val="191D32"/>
                <w:sz w:val="19"/>
                <w:szCs w:val="19"/>
              </w:rPr>
              <w:t xml:space="preserve">Written agreement capped at forty-five days, or the fifteen-day appointed-day default. They give different dates.</w:t>
            </w:r>
          </w:p>
        </w:tc>
      </w:tr>
      <w:tr>
        <w:trPr>
          <w:tblHeader w:val="false"/>
        </w:trPr>
        <w:tc>
          <w:tcPr>
            <w:tcW w:type="pct" w:w="50%"/>
            <w:tcMar>
              <w:top w:type="dxa" w:w="110"/>
              <w:left w:type="dxa" w:w="140"/>
              <w:bottom w:type="dxa" w:w="110"/>
              <w:right w:type="dxa" w:w="140"/>
            </w:tcMar>
          </w:tcPr>
          <w:p>
            <w:r>
              <w:rPr>
                <w:b w:val="false"/>
                <w:bCs w:val="false"/>
                <w:color w:val="191D32"/>
                <w:sz w:val="19"/>
                <w:szCs w:val="19"/>
              </w:rPr>
              <w:t xml:space="preserve">You have proof the notice was despatched and delivered</w:t>
            </w:r>
          </w:p>
        </w:tc>
        <w:tc>
          <w:tcPr>
            <w:tcW w:type="pct" w:w="50%"/>
            <w:tcMar>
              <w:top w:type="dxa" w:w="110"/>
              <w:left w:type="dxa" w:w="140"/>
              <w:bottom w:type="dxa" w:w="110"/>
              <w:right w:type="dxa" w:w="140"/>
            </w:tcMar>
          </w:tcPr>
          <w:p>
            <w:r>
              <w:rPr>
                <w:b w:val="false"/>
                <w:bCs w:val="false"/>
                <w:color w:val="191D32"/>
                <w:sz w:val="19"/>
                <w:szCs w:val="19"/>
              </w:rPr>
              <w:t xml:space="preserve">Prior correspondence is one of the required attachments, and an undelivered notice is hard to rely on.</w:t>
            </w:r>
          </w:p>
        </w:tc>
      </w:tr>
    </w:tbl>
    <w:p>
      <w:pPr>
        <w:spacing w:after="160"/>
      </w:pPr>
    </w:p>
    <w:p>
      <w:pPr>
        <w:pStyle w:val="Heading1"/>
        <w:spacing w:after="160" w:before="340"/>
      </w:pPr>
      <w:r>
        <w:rPr>
          <w:b/>
          <w:bCs/>
          <w:color w:val="191D32"/>
          <w:sz w:val="26"/>
          <w:szCs w:val="26"/>
        </w:rPr>
        <w:t xml:space="preserve">How the interest is claimed</w:t>
      </w:r>
    </w:p>
    <w:p>
      <w:pPr>
        <w:spacing w:after="200" w:line="300"/>
      </w:pPr>
      <w:r>
        <w:rPr>
          <w:color w:val="191D32"/>
          <w:sz w:val="21"/>
          <w:szCs w:val="21"/>
        </w:rPr>
        <w:t xml:space="preserve">State the interest the way section 16 of the MSMED Act states it: compound interest with monthly rests, at three times the bank rate notified by the Reserve Bank of India, running from the appointed day or from the day immediately following the date agreed upon for payment. Do not convert that into a flat rate or a per-day amount in your filing. The notified rate moves, and the figure is worked out for the period the money was outstanding.</w:t>
      </w:r>
    </w:p>
    <w:p>
      <w:pPr>
        <w:pBdr>
          <w:top w:val="single" w:color="D9DCE3" w:sz="6" w:space="16"/>
        </w:pBdr>
        <w:spacing w:before="420"/>
      </w:pPr>
    </w:p>
    <w:p>
      <w:pPr>
        <w:spacing w:after="90" w:line="300"/>
      </w:pPr>
      <w:r>
        <w:rPr>
          <w:color w:val="6B7280"/>
          <w:sz w:val="18"/>
          <w:szCs w:val="18"/>
        </w:rPr>
        <w:t xml:space="preserve">Want to understand your rights before you send this? Read MSME 45-Day Payment Protection Explained (MSME-A5) for the full statutory mechanism behind this notice.</w:t>
      </w:r>
    </w:p>
    <w:p>
      <w:pPr>
        <w:spacing w:after="90" w:line="300"/>
      </w:pPr>
      <w:r>
        <w:rPr>
          <w:color w:val="6B7280"/>
          <w:sz w:val="18"/>
          <w:szCs w:val="18"/>
        </w:rPr>
        <w:t xml:space="preserve">This template is provided free by BuildWright. It is a general document, it is not drafted for your business, and it is not legal advice. Have it reviewed before you send it.</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 delayed-payment demand notice, fillable template</dc:title>
  <dc:creator>BuildWright</dc:creator>
  <dc:description>A blank, fillable demand notice for a registered MSME supplier chasing an overdue payment under sections 15 and 16 of the MSMED Act 2006, with a companion checklist of what the Samadhaan/ODR portal filing needs. A general template that has not been drafted for any specific business.</dc:description>
  <cp:lastModifiedBy>BuildWright</cp:lastModifiedBy>
  <cp:revision>1</cp:revision>
  <dcterms:created xsi:type="dcterms:W3CDTF">2026-07-25T17:14:58.325Z</dcterms:created>
  <dcterms:modified xsi:type="dcterms:W3CDTF">2026-07-25T17:14:58.326Z</dcterms:modified>
</cp:coreProperties>
</file>

<file path=docProps/custom.xml><?xml version="1.0" encoding="utf-8"?>
<Properties xmlns="http://schemas.openxmlformats.org/officeDocument/2006/custom-properties" xmlns:vt="http://schemas.openxmlformats.org/officeDocument/2006/docPropsVTypes"/>
</file>