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40"/>
      </w:pPr>
      <w:r>
        <w:rPr>
          <w:b/>
          <w:bCs/>
          <w:color w:val="191D32"/>
          <w:sz w:val="44"/>
          <w:szCs w:val="44"/>
        </w:rPr>
        <w:t xml:space="preserve">Mutual Non-Disclosure Agreement</w:t>
      </w:r>
    </w:p>
    <w:p>
      <w:pPr>
        <w:spacing w:after="60"/>
      </w:pPr>
      <w:r>
        <w:rPr>
          <w:b/>
          <w:bCs/>
          <w:color w:val="191D32"/>
          <w:sz w:val="24"/>
          <w:szCs w:val="24"/>
        </w:rPr>
        <w:t xml:space="preserve">Mutual confidentiality agreement</w:t>
      </w:r>
    </w:p>
    <w:p>
      <w:pPr>
        <w:spacing w:after="300" w:line="300"/>
      </w:pPr>
      <w:r>
        <w:rPr>
          <w:color w:val="6B7280"/>
          <w:sz w:val="21"/>
          <w:szCs w:val="21"/>
        </w:rPr>
        <w:t xml:space="preserve">A blank, fillable two-way NDA for two parties in India who will each disclose and each receive confidential information.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either party's specific situation and it is not legal advice. Fill every bracketed field and have it reviewed before either party signs. BuildWright provides documentation, filing, and compliance facilitation.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Agreement is a private contract between the two Parties, valid and enforceable under section 10 of the Indian Contract Act, 1872 once it has free consent, lawful consideration, competent parties, and a lawful object. It is not filed with any government authority. Both Parties sign it and each keeps a copy.</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Stamp duty on this Agreement varies by state, and BuildWright has not researched the duty or the correct manner of stamping for any specific state for this template. Confirm the current requirement for the state where you will execute it before signing. Do not treat the absence of a figure here as meaning no duty applies or that this Agreement is stamp-duty exempt; it means the figure has not been verified and is deliberately left out rather than guessed at.</w:t>
      </w:r>
    </w:p>
    <w:p>
      <w:pPr>
        <w:pStyle w:val="Heading1"/>
        <w:spacing w:after="160" w:before="340"/>
      </w:pPr>
      <w:r>
        <w:rPr>
          <w:b/>
          <w:bCs/>
          <w:color w:val="191D32"/>
          <w:sz w:val="26"/>
          <w:szCs w:val="26"/>
        </w:rPr>
        <w:t xml:space="preserve">1.  Parties and effective date</w:t>
      </w:r>
    </w:p>
    <w:p>
      <w:pPr>
        <w:spacing w:after="140" w:line="300"/>
      </w:pPr>
      <w:r>
        <w:rPr>
          <w:color w:val="191D32"/>
          <w:sz w:val="21"/>
          <w:szCs w:val="21"/>
        </w:rPr>
        <w:t xml:space="preserve">This Mutual Non-Disclosure Agreement (this "Agreement") is made on the Effective Date below, between the following two Parties, each of whom may disclose confidential information to the other and may also receive it from the other, which is what makes this Agreement mutual rather than one-way.</w:t>
      </w:r>
    </w:p>
    <w:p>
      <w:pPr>
        <w:spacing w:after="60"/>
      </w:pP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Party A - full legal name</w:t>
            </w:r>
          </w:p>
        </w:tc>
        <w:tc>
          <w:tcPr>
            <w:tcW w:type="pct" w:w="53%"/>
            <w:tcMar>
              <w:top w:type="dxa" w:w="110"/>
              <w:left w:type="dxa" w:w="140"/>
              <w:bottom w:type="dxa" w:w="110"/>
              <w:right w:type="dxa" w:w="140"/>
            </w:tcMar>
          </w:tcPr>
          <w:p>
            <w:r>
              <w:rPr>
                <w:color w:val="191D32"/>
                <w:sz w:val="19"/>
                <w:szCs w:val="19"/>
              </w:rPr>
              <w:t xml:space="preserve">[ individual's full name, or entity's registered name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Party A - address</w:t>
            </w:r>
          </w:p>
        </w:tc>
        <w:tc>
          <w:tcPr>
            <w:tcW w:type="pct" w:w="53%"/>
            <w:tcMar>
              <w:top w:type="dxa" w:w="110"/>
              <w:left w:type="dxa" w:w="140"/>
              <w:bottom w:type="dxa" w:w="110"/>
              <w:right w:type="dxa" w:w="140"/>
            </w:tcMar>
          </w:tcPr>
          <w:p>
            <w:r>
              <w:rPr>
                <w:color w:val="191D32"/>
                <w:sz w:val="19"/>
                <w:szCs w:val="19"/>
              </w:rPr>
              <w:t xml:space="preserve">[ registered office address, or residential address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Party A - entity type and signatory</w:t>
            </w:r>
          </w:p>
        </w:tc>
        <w:tc>
          <w:tcPr>
            <w:tcW w:type="pct" w:w="53%"/>
            <w:tcMar>
              <w:top w:type="dxa" w:w="110"/>
              <w:left w:type="dxa" w:w="140"/>
              <w:bottom w:type="dxa" w:w="110"/>
              <w:right w:type="dxa" w:w="140"/>
            </w:tcMar>
          </w:tcPr>
          <w:p>
            <w:r>
              <w:rPr>
                <w:color w:val="191D32"/>
                <w:sz w:val="19"/>
                <w:szCs w:val="19"/>
              </w:rPr>
              <w:t xml:space="preserve">[ individual / company / LLP / partnership; if an entity, name and designation of authorized signatory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Party B - full legal name</w:t>
            </w:r>
          </w:p>
        </w:tc>
        <w:tc>
          <w:tcPr>
            <w:tcW w:type="pct" w:w="53%"/>
            <w:tcMar>
              <w:top w:type="dxa" w:w="110"/>
              <w:left w:type="dxa" w:w="140"/>
              <w:bottom w:type="dxa" w:w="110"/>
              <w:right w:type="dxa" w:w="140"/>
            </w:tcMar>
          </w:tcPr>
          <w:p>
            <w:r>
              <w:rPr>
                <w:color w:val="191D32"/>
                <w:sz w:val="19"/>
                <w:szCs w:val="19"/>
              </w:rPr>
              <w:t xml:space="preserve">[ individual's full name, or entity's registered name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Party B - address</w:t>
            </w:r>
          </w:p>
        </w:tc>
        <w:tc>
          <w:tcPr>
            <w:tcW w:type="pct" w:w="53%"/>
            <w:tcMar>
              <w:top w:type="dxa" w:w="110"/>
              <w:left w:type="dxa" w:w="140"/>
              <w:bottom w:type="dxa" w:w="110"/>
              <w:right w:type="dxa" w:w="140"/>
            </w:tcMar>
          </w:tcPr>
          <w:p>
            <w:r>
              <w:rPr>
                <w:color w:val="191D32"/>
                <w:sz w:val="19"/>
                <w:szCs w:val="19"/>
              </w:rPr>
              <w:t xml:space="preserve">[ registered office address, or residential address ]</w:t>
            </w:r>
          </w:p>
        </w:tc>
      </w:tr>
      <w:tr>
        <w:tc>
          <w:tcPr>
            <w:tcW w:type="pct" w:w="7%"/>
            <w:tcMar>
              <w:top w:type="dxa" w:w="110"/>
              <w:left w:type="dxa" w:w="140"/>
              <w:bottom w:type="dxa" w:w="110"/>
              <w:right w:type="dxa" w:w="140"/>
            </w:tcMar>
          </w:tcPr>
          <w:p>
            <w:r>
              <w:rPr>
                <w:color w:val="191D32"/>
                <w:sz w:val="19"/>
                <w:szCs w:val="19"/>
              </w:rPr>
              <w:t xml:space="preserve">6.</w:t>
            </w:r>
          </w:p>
        </w:tc>
        <w:tc>
          <w:tcPr>
            <w:tcW w:type="pct" w:w="40%"/>
            <w:tcMar>
              <w:top w:type="dxa" w:w="110"/>
              <w:left w:type="dxa" w:w="140"/>
              <w:bottom w:type="dxa" w:w="110"/>
              <w:right w:type="dxa" w:w="140"/>
            </w:tcMar>
          </w:tcPr>
          <w:p>
            <w:r>
              <w:rPr>
                <w:b/>
                <w:bCs/>
                <w:color w:val="191D32"/>
                <w:sz w:val="19"/>
                <w:szCs w:val="19"/>
              </w:rPr>
              <w:t xml:space="preserve">Party B - entity type and signatory</w:t>
            </w:r>
          </w:p>
        </w:tc>
        <w:tc>
          <w:tcPr>
            <w:tcW w:type="pct" w:w="53%"/>
            <w:tcMar>
              <w:top w:type="dxa" w:w="110"/>
              <w:left w:type="dxa" w:w="140"/>
              <w:bottom w:type="dxa" w:w="110"/>
              <w:right w:type="dxa" w:w="140"/>
            </w:tcMar>
          </w:tcPr>
          <w:p>
            <w:r>
              <w:rPr>
                <w:color w:val="191D32"/>
                <w:sz w:val="19"/>
                <w:szCs w:val="19"/>
              </w:rPr>
              <w:t xml:space="preserve">[ individual / company / LLP / partnership; if an entity, name and designation of authorized signatory ]</w:t>
            </w:r>
          </w:p>
        </w:tc>
      </w:tr>
      <w:tr>
        <w:tc>
          <w:tcPr>
            <w:tcW w:type="pct" w:w="7%"/>
            <w:tcMar>
              <w:top w:type="dxa" w:w="110"/>
              <w:left w:type="dxa" w:w="140"/>
              <w:bottom w:type="dxa" w:w="110"/>
              <w:right w:type="dxa" w:w="140"/>
            </w:tcMar>
          </w:tcPr>
          <w:p>
            <w:r>
              <w:rPr>
                <w:color w:val="191D32"/>
                <w:sz w:val="19"/>
                <w:szCs w:val="19"/>
              </w:rPr>
              <w:t xml:space="preserve">7.</w:t>
            </w:r>
          </w:p>
        </w:tc>
        <w:tc>
          <w:tcPr>
            <w:tcW w:type="pct" w:w="40%"/>
            <w:tcMar>
              <w:top w:type="dxa" w:w="110"/>
              <w:left w:type="dxa" w:w="140"/>
              <w:bottom w:type="dxa" w:w="110"/>
              <w:right w:type="dxa" w:w="140"/>
            </w:tcMar>
          </w:tcPr>
          <w:p>
            <w:r>
              <w:rPr>
                <w:b/>
                <w:bCs/>
                <w:color w:val="191D32"/>
                <w:sz w:val="19"/>
                <w:szCs w:val="19"/>
              </w:rPr>
              <w:t xml:space="preserve">Effective Date</w:t>
            </w:r>
          </w:p>
        </w:tc>
        <w:tc>
          <w:tcPr>
            <w:tcW w:type="pct" w:w="53%"/>
            <w:tcMar>
              <w:top w:type="dxa" w:w="110"/>
              <w:left w:type="dxa" w:w="140"/>
              <w:bottom w:type="dxa" w:w="110"/>
              <w:right w:type="dxa" w:w="140"/>
            </w:tcMar>
          </w:tcPr>
          <w:p>
            <w:r>
              <w:rPr>
                <w:color w:val="191D32"/>
                <w:sz w:val="19"/>
                <w:szCs w:val="19"/>
              </w:rPr>
              <w:t xml:space="preserve">[ DD/MM/YYYY ]</w:t>
            </w:r>
          </w:p>
        </w:tc>
      </w:tr>
    </w:tbl>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Name both Parties precisely, with the exact legal name and address each would use to sign a contract. These are the details a court uses to identify who agreed to what, and an inexact name is the easiest way to leave this Agreement unenforceable against the party that actually breaches it.</w:t>
      </w:r>
    </w:p>
    <w:p>
      <w:pPr>
        <w:pStyle w:val="Heading1"/>
        <w:spacing w:after="160" w:before="340"/>
      </w:pPr>
      <w:r>
        <w:rPr>
          <w:b/>
          <w:bCs/>
          <w:color w:val="191D32"/>
          <w:sz w:val="26"/>
          <w:szCs w:val="26"/>
        </w:rPr>
        <w:t xml:space="preserve">2.  Purpose</w:t>
      </w:r>
    </w:p>
    <w:p>
      <w:pPr>
        <w:spacing w:after="130" w:line="300"/>
        <w:ind w:left="480" w:hanging="480"/>
      </w:pPr>
      <w:r>
        <w:rPr>
          <w:b/>
          <w:bCs/>
          <w:color w:val="191D32"/>
          <w:sz w:val="21"/>
          <w:szCs w:val="21"/>
        </w:rPr>
        <w:t xml:space="preserve">2.1  </w:t>
      </w:r>
      <w:r>
        <w:rPr>
          <w:color w:val="191D32"/>
          <w:sz w:val="21"/>
          <w:szCs w:val="21"/>
        </w:rPr>
        <w:t xml:space="preserve">The Parties wish to explore, discuss, or carry out [ describe the purpose precisely, e.g. "a potential investment by Party A in Party B" or "a proposed supply arrangement between the Parties" ] (the "Purpose"), and in doing so each Party may disclose Confidential Information to the other.</w:t>
      </w:r>
    </w:p>
    <w:p>
      <w:pPr>
        <w:spacing w:after="130" w:line="300"/>
        <w:ind w:left="480" w:hanging="480"/>
      </w:pPr>
      <w:r>
        <w:rPr>
          <w:b/>
          <w:bCs/>
          <w:color w:val="191D32"/>
          <w:sz w:val="21"/>
          <w:szCs w:val="21"/>
        </w:rPr>
        <w:t xml:space="preserve">2.2  </w:t>
      </w:r>
      <w:r>
        <w:rPr>
          <w:color w:val="191D32"/>
          <w:sz w:val="21"/>
          <w:szCs w:val="21"/>
        </w:rPr>
        <w:t xml:space="preserve">Each Party will use Confidential Information it receives from the other only for the Purpose, and for no other purpose.</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Name the Purpose specifically. "General business discussions" is broad enough that a Party could argue almost any later use of the information still falls inside it. A precise Purpose is also what section 2.2 actually restricts use to, so a vague one weakens that restriction along with it.</w:t>
      </w:r>
    </w:p>
    <w:p>
      <w:pPr>
        <w:pStyle w:val="Heading1"/>
        <w:spacing w:after="160" w:before="340"/>
      </w:pPr>
      <w:r>
        <w:rPr>
          <w:b/>
          <w:bCs/>
          <w:color w:val="191D32"/>
          <w:sz w:val="26"/>
          <w:szCs w:val="26"/>
        </w:rPr>
        <w:t xml:space="preserve">3.  Definition of Confidential Information</w:t>
      </w:r>
    </w:p>
    <w:p>
      <w:pPr>
        <w:spacing w:after="130" w:line="300"/>
        <w:ind w:left="480" w:hanging="480"/>
      </w:pPr>
      <w:r>
        <w:rPr>
          <w:b/>
          <w:bCs/>
          <w:color w:val="191D32"/>
          <w:sz w:val="21"/>
          <w:szCs w:val="21"/>
        </w:rPr>
        <w:t xml:space="preserve">3.1  </w:t>
      </w:r>
      <w:r>
        <w:rPr>
          <w:color w:val="191D32"/>
          <w:sz w:val="21"/>
          <w:szCs w:val="21"/>
        </w:rPr>
        <w:t xml:space="preserve">"Confidential Information" means any information disclosed by either Party (in that instance, the "Disclosing Party") to the other (in that instance, the "Receiving Party"), whether in writing, orally, electronically, or by any other means, before or after the Effective Date, that is marked or described as confidential at the time of disclosure, or that a reasonable person would understand to be confidential given its nature and the circumstances of disclosure.</w:t>
      </w:r>
    </w:p>
    <w:p>
      <w:pPr>
        <w:spacing w:after="130" w:line="300"/>
        <w:ind w:left="480" w:hanging="480"/>
      </w:pPr>
      <w:r>
        <w:rPr>
          <w:b/>
          <w:bCs/>
          <w:color w:val="191D32"/>
          <w:sz w:val="21"/>
          <w:szCs w:val="21"/>
        </w:rPr>
        <w:t xml:space="preserve">3.2  </w:t>
      </w:r>
      <w:r>
        <w:rPr>
          <w:color w:val="191D32"/>
          <w:sz w:val="21"/>
          <w:szCs w:val="21"/>
        </w:rPr>
        <w:t xml:space="preserve">This includes, without limitation, technical information, business and financial information, product and pricing information, customer and supplier information, and the fact that discussions between the Parties are taking place at all, unless the Parties agree in writing that a specific piece of information falls outside this definition.</w:t>
      </w:r>
    </w:p>
    <w:p>
      <w:pPr>
        <w:pStyle w:val="Heading1"/>
        <w:spacing w:after="160" w:before="340"/>
      </w:pPr>
      <w:r>
        <w:rPr>
          <w:b/>
          <w:bCs/>
          <w:color w:val="191D32"/>
          <w:sz w:val="26"/>
          <w:szCs w:val="26"/>
        </w:rPr>
        <w:t xml:space="preserve">4.  Confidentiality obligations</w:t>
      </w:r>
    </w:p>
    <w:p>
      <w:pPr>
        <w:spacing w:after="130" w:line="300"/>
        <w:ind w:left="480" w:hanging="480"/>
      </w:pPr>
      <w:r>
        <w:rPr>
          <w:b/>
          <w:bCs/>
          <w:color w:val="191D32"/>
          <w:sz w:val="21"/>
          <w:szCs w:val="21"/>
        </w:rPr>
        <w:t xml:space="preserve">4.1  </w:t>
      </w:r>
      <w:r>
        <w:rPr>
          <w:color w:val="191D32"/>
          <w:sz w:val="21"/>
          <w:szCs w:val="21"/>
        </w:rPr>
        <w:t xml:space="preserve">Each Party, whenever it is the Receiving Party, will: (a) keep the other Party's Confidential Information confidential and not disclose it to any third party except as permitted under this Agreement; (b) use it only for the Purpose; and (c) protect it with at least the same degree of care it uses for its own confidential information of similar importance, and in any case with no less than reasonable care.</w:t>
      </w:r>
    </w:p>
    <w:p>
      <w:pPr>
        <w:spacing w:after="130" w:line="300"/>
        <w:ind w:left="480" w:hanging="480"/>
      </w:pPr>
      <w:r>
        <w:rPr>
          <w:b/>
          <w:bCs/>
          <w:color w:val="191D32"/>
          <w:sz w:val="21"/>
          <w:szCs w:val="21"/>
        </w:rPr>
        <w:t xml:space="preserve">4.2  </w:t>
      </w:r>
      <w:r>
        <w:rPr>
          <w:color w:val="191D32"/>
          <w:sz w:val="21"/>
          <w:szCs w:val="21"/>
        </w:rPr>
        <w:t xml:space="preserve">A Receiving Party may disclose Confidential Information to its own employees, directors, and professional advisors who need to know it for the Purpose, provided each of them is bound by confidentiality obligations at least as protective as this Agreement, and the Receiving Party remains responsible for their compliance with it.</w:t>
      </w:r>
    </w:p>
    <w:p>
      <w:pPr>
        <w:spacing w:after="130" w:line="300"/>
        <w:ind w:left="480" w:hanging="480"/>
      </w:pPr>
      <w:r>
        <w:rPr>
          <w:b/>
          <w:bCs/>
          <w:color w:val="191D32"/>
          <w:sz w:val="21"/>
          <w:szCs w:val="21"/>
        </w:rPr>
        <w:t xml:space="preserve">4.3  </w:t>
      </w:r>
      <w:r>
        <w:rPr>
          <w:color w:val="191D32"/>
          <w:sz w:val="21"/>
          <w:szCs w:val="21"/>
        </w:rPr>
        <w:t xml:space="preserve">The obligations in this section 4 apply equally and on the same terms to both Parties. Either Party may be the Disclosing Party or the Receiving Party at different points under this Agreement, and its obligations as Receiving Party apply whenever it is the one receiving Confidential Information, regardless of which Party disclosed first or discloses more often.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A confidentiality obligation of this kind, reasonable in time and scope and tied to genuinely confidential information, is the category of restriction Indian courts actually enforce after a relationship ends. That is a different, much stronger position than a blanket restraint on a Party's ability to work or trade: a broad restriction of that kind is void as an unlawful restraint of trade under section 27 of the Indian Contract Act, 1872. This Agreement is deliberately limited to confidentiality. It does not restrict either Party from working, trading, or competing in any field.</w:t>
      </w:r>
    </w:p>
    <w:p>
      <w:pPr>
        <w:pStyle w:val="Heading1"/>
        <w:spacing w:after="160" w:before="340"/>
      </w:pPr>
      <w:r>
        <w:rPr>
          <w:b/>
          <w:bCs/>
          <w:color w:val="191D32"/>
          <w:sz w:val="26"/>
          <w:szCs w:val="26"/>
        </w:rPr>
        <w:t xml:space="preserve">5.  Carve-out exceptions</w:t>
      </w:r>
    </w:p>
    <w:p>
      <w:pPr>
        <w:spacing w:after="130" w:line="300"/>
        <w:ind w:left="480" w:hanging="480"/>
      </w:pPr>
      <w:r>
        <w:rPr>
          <w:b/>
          <w:bCs/>
          <w:color w:val="191D32"/>
          <w:sz w:val="21"/>
          <w:szCs w:val="21"/>
        </w:rPr>
        <w:t xml:space="preserve">5.1  </w:t>
      </w:r>
      <w:r>
        <w:rPr>
          <w:color w:val="191D32"/>
          <w:sz w:val="21"/>
          <w:szCs w:val="21"/>
        </w:rPr>
        <w:t xml:space="preserve">The obligations in section 4 do not apply to information that:</w:t>
      </w:r>
    </w:p>
    <w:p>
      <w:pPr>
        <w:spacing w:after="130" w:line="300"/>
        <w:ind w:left="480" w:hanging="480"/>
      </w:pPr>
      <w:r>
        <w:rPr>
          <w:b/>
          <w:bCs/>
          <w:color w:val="191D32"/>
          <w:sz w:val="21"/>
          <w:szCs w:val="21"/>
        </w:rPr>
        <w:t xml:space="preserve">(a)  </w:t>
      </w:r>
      <w:r>
        <w:rPr>
          <w:color w:val="191D32"/>
          <w:sz w:val="21"/>
          <w:szCs w:val="21"/>
        </w:rPr>
        <w:t xml:space="preserve">is or becomes publicly available other than through a breach of this Agreement by the Receiving Party;</w:t>
      </w:r>
    </w:p>
    <w:p>
      <w:pPr>
        <w:spacing w:after="130" w:line="300"/>
        <w:ind w:left="480" w:hanging="480"/>
      </w:pPr>
      <w:r>
        <w:rPr>
          <w:b/>
          <w:bCs/>
          <w:color w:val="191D32"/>
          <w:sz w:val="21"/>
          <w:szCs w:val="21"/>
        </w:rPr>
        <w:t xml:space="preserve">(b)  </w:t>
      </w:r>
      <w:r>
        <w:rPr>
          <w:color w:val="191D32"/>
          <w:sz w:val="21"/>
          <w:szCs w:val="21"/>
        </w:rPr>
        <w:t xml:space="preserve">the Receiving Party can show, by contemporaneous written evidence, that it developed independently, without reference to or use of the Disclosing Party's Confidential Information; or</w:t>
      </w:r>
    </w:p>
    <w:p>
      <w:pPr>
        <w:spacing w:after="130" w:line="300"/>
        <w:ind w:left="480" w:hanging="480"/>
      </w:pPr>
      <w:r>
        <w:rPr>
          <w:b/>
          <w:bCs/>
          <w:color w:val="191D32"/>
          <w:sz w:val="21"/>
          <w:szCs w:val="21"/>
        </w:rPr>
        <w:t xml:space="preserve">(c)  </w:t>
      </w:r>
      <w:r>
        <w:rPr>
          <w:color w:val="191D32"/>
          <w:sz w:val="21"/>
          <w:szCs w:val="21"/>
        </w:rPr>
        <w:t xml:space="preserve">the Receiving Party is legally compelled to disclose by a court, regulator, or applicable law, provided that, where it is not itself prohibited from doing so, it gives the Disclosing Party prompt written notice before disclosing, so the Disclosing Party has the chance to seek protective measures first.</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These are the three standard, narrow exceptions to a confidentiality obligation: information already public, information a Party can prove it built independently, and disclosure a law or court actually requires. Keep them this narrow. A carve-out drafted broadly enough to swallow the obligation defeats the reason either Party signed this Agreement in the first place.</w:t>
      </w:r>
    </w:p>
    <w:p>
      <w:pPr>
        <w:pStyle w:val="Heading1"/>
        <w:spacing w:after="160" w:before="340"/>
      </w:pPr>
      <w:r>
        <w:rPr>
          <w:b/>
          <w:bCs/>
          <w:color w:val="191D32"/>
          <w:sz w:val="26"/>
          <w:szCs w:val="26"/>
        </w:rPr>
        <w:t xml:space="preserve">6.  Duration</w:t>
      </w:r>
    </w:p>
    <w:p>
      <w:pPr>
        <w:spacing w:after="130" w:line="300"/>
        <w:ind w:left="480" w:hanging="480"/>
      </w:pPr>
      <w:r>
        <w:rPr>
          <w:b/>
          <w:bCs/>
          <w:color w:val="191D32"/>
          <w:sz w:val="21"/>
          <w:szCs w:val="21"/>
        </w:rPr>
        <w:t xml:space="preserve">6.1  </w:t>
      </w:r>
      <w:r>
        <w:rPr>
          <w:color w:val="191D32"/>
          <w:sz w:val="21"/>
          <w:szCs w:val="21"/>
        </w:rPr>
        <w:t xml:space="preserve">This Agreement takes effect on the Effective Date and continues for [ term, e.g. 2 years ] unless the Parties agree in writing to end it earlier.</w:t>
      </w:r>
    </w:p>
    <w:p>
      <w:pPr>
        <w:spacing w:after="130" w:line="300"/>
        <w:ind w:left="480" w:hanging="480"/>
      </w:pPr>
      <w:r>
        <w:rPr>
          <w:b/>
          <w:bCs/>
          <w:color w:val="191D32"/>
          <w:sz w:val="21"/>
          <w:szCs w:val="21"/>
        </w:rPr>
        <w:t xml:space="preserve">6.2  </w:t>
      </w:r>
      <w:r>
        <w:rPr>
          <w:color w:val="191D32"/>
          <w:sz w:val="21"/>
          <w:szCs w:val="21"/>
        </w:rPr>
        <w:t xml:space="preserve">The confidentiality obligations in section 4 survive the end of this Agreement and continue to apply for a further [ survival period, e.g. 3 years ] from the date this Agreement ends.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Fix a real number in both blanks rather than leaving either open-ended. Indian courts enforce confidentiality obligations that are reasonable in time and scope; an obligation with no end date reads as an indefinite, unlimited restraint rather than a reasonable one. Set the survival period to what is proportionate to how sensitive the information actually is. Resist reaching for the longest number either Party can think of.</w:t>
      </w:r>
    </w:p>
    <w:p>
      <w:pPr>
        <w:pStyle w:val="Heading1"/>
        <w:spacing w:after="160" w:before="340"/>
      </w:pPr>
      <w:r>
        <w:rPr>
          <w:b/>
          <w:bCs/>
          <w:color w:val="191D32"/>
          <w:sz w:val="26"/>
          <w:szCs w:val="26"/>
        </w:rPr>
        <w:t xml:space="preserve">7.  Governing law and jurisdiction</w:t>
      </w:r>
    </w:p>
    <w:p>
      <w:pPr>
        <w:spacing w:after="130" w:line="300"/>
        <w:ind w:left="480" w:hanging="480"/>
      </w:pPr>
      <w:r>
        <w:rPr>
          <w:b/>
          <w:bCs/>
          <w:color w:val="191D32"/>
          <w:sz w:val="21"/>
          <w:szCs w:val="21"/>
        </w:rPr>
        <w:t xml:space="preserve">7.1  </w:t>
      </w:r>
      <w:r>
        <w:rPr>
          <w:color w:val="191D32"/>
          <w:sz w:val="21"/>
          <w:szCs w:val="21"/>
        </w:rPr>
        <w:t xml:space="preserve">This Agreement is governed by the laws of India, and the courts at [ city ], [ state ] have exclusive jurisdiction over any dispute arising out of or in connection with it.</w:t>
      </w:r>
    </w:p>
    <w:p>
      <w:pPr>
        <w:pStyle w:val="Heading1"/>
        <w:spacing w:after="160" w:before="340"/>
      </w:pPr>
      <w:r>
        <w:rPr>
          <w:b/>
          <w:bCs/>
          <w:color w:val="191D32"/>
          <w:sz w:val="26"/>
          <w:szCs w:val="26"/>
        </w:rPr>
        <w:t xml:space="preserve">8.  Other terms</w:t>
      </w:r>
    </w:p>
    <w:p>
      <w:pPr>
        <w:spacing w:after="130" w:line="300"/>
        <w:ind w:left="480" w:hanging="480"/>
      </w:pPr>
      <w:r>
        <w:rPr>
          <w:b/>
          <w:bCs/>
          <w:color w:val="191D32"/>
          <w:sz w:val="21"/>
          <w:szCs w:val="21"/>
        </w:rPr>
        <w:t xml:space="preserve">8.1  </w:t>
      </w:r>
      <w:r>
        <w:rPr>
          <w:color w:val="191D32"/>
          <w:sz w:val="21"/>
          <w:szCs w:val="21"/>
        </w:rPr>
        <w:t xml:space="preserve">Nothing in this Agreement grants either Party any licence, ownership interest, or other right in the other Party's Confidential Information, beyond the limited right to use it for the Purpose.</w:t>
      </w:r>
    </w:p>
    <w:p>
      <w:pPr>
        <w:spacing w:after="130" w:line="300"/>
        <w:ind w:left="480" w:hanging="480"/>
      </w:pPr>
      <w:r>
        <w:rPr>
          <w:b/>
          <w:bCs/>
          <w:color w:val="191D32"/>
          <w:sz w:val="21"/>
          <w:szCs w:val="21"/>
        </w:rPr>
        <w:t xml:space="preserve">8.2  </w:t>
      </w:r>
      <w:r>
        <w:rPr>
          <w:color w:val="191D32"/>
          <w:sz w:val="21"/>
          <w:szCs w:val="21"/>
        </w:rPr>
        <w:t xml:space="preserve">At the Disclosing Party's written request, or once the Purpose has ended, the Receiving Party will, at the Disclosing Party's choice, return or destroy the Confidential Information in its possession, other than copies it is required to retain by law or by its own internal compliance policy, which remain subject to the obligations in section 4 for as long as they are retained.</w:t>
      </w:r>
    </w:p>
    <w:p>
      <w:pPr>
        <w:spacing w:after="130" w:line="300"/>
        <w:ind w:left="480" w:hanging="480"/>
      </w:pPr>
      <w:r>
        <w:rPr>
          <w:b/>
          <w:bCs/>
          <w:color w:val="191D32"/>
          <w:sz w:val="21"/>
          <w:szCs w:val="21"/>
        </w:rPr>
        <w:t xml:space="preserve">8.3  </w:t>
      </w:r>
      <w:r>
        <w:rPr>
          <w:color w:val="191D32"/>
          <w:sz w:val="21"/>
          <w:szCs w:val="21"/>
        </w:rPr>
        <w:t xml:space="preserve">If a Party breaches this Agreement, the other Party has the remedies generally available for breach of contract, including damages and, where a court is satisfied it is appropriate, an injunction. This clause does not fix or cap that amount in advance and is not a penalty clause.</w:t>
      </w:r>
    </w:p>
    <w:p>
      <w:pPr>
        <w:spacing w:after="130" w:line="300"/>
        <w:ind w:left="480" w:hanging="480"/>
      </w:pPr>
      <w:r>
        <w:rPr>
          <w:b/>
          <w:bCs/>
          <w:color w:val="191D32"/>
          <w:sz w:val="21"/>
          <w:szCs w:val="21"/>
        </w:rPr>
        <w:t xml:space="preserve">8.4  </w:t>
      </w:r>
      <w:r>
        <w:rPr>
          <w:color w:val="191D32"/>
          <w:sz w:val="21"/>
          <w:szCs w:val="21"/>
        </w:rPr>
        <w:t xml:space="preserve">This Agreement is the whole agreement between the Parties about its subject and replaces anything agreed before it, whether spoken or written. It may only be amended in writing, signed by both Parties. If any clause is found to be unenforceable, the rest of the Agreement continues to apply. It may be signed in counterparts, each of which is an original, and together they form one agreement.</w:t>
      </w:r>
    </w:p>
    <w:p>
      <w:pPr>
        <w:pageBreakBefore/>
      </w:pPr>
    </w:p>
    <w:p>
      <w:pPr>
        <w:pStyle w:val="Heading1"/>
        <w:spacing w:after="160" w:before="340"/>
      </w:pPr>
      <w:r>
        <w:rPr>
          <w:b/>
          <w:bCs/>
          <w:color w:val="191D32"/>
          <w:sz w:val="26"/>
          <w:szCs w:val="26"/>
        </w:rPr>
        <w:t xml:space="preserve">Signed by the Parties</w:t>
      </w:r>
    </w:p>
    <w:p>
      <w:pPr>
        <w:spacing w:after="200" w:line="300"/>
      </w:pPr>
      <w:r>
        <w:rPr>
          <w:color w:val="6B7280"/>
          <w:sz w:val="19"/>
          <w:szCs w:val="19"/>
        </w:rPr>
        <w:t xml:space="preserve">Each Party confirms it has read this Agreement and has had the opportunity to take independent advice on it before signing.</w:t>
      </w:r>
    </w:p>
    <w:p>
      <w:pPr>
        <w:spacing w:after="60" w:before="260"/>
      </w:pPr>
      <w:r>
        <w:rPr>
          <w:b/>
          <w:bCs/>
          <w:color w:val="191D32"/>
          <w:sz w:val="21"/>
          <w:szCs w:val="21"/>
        </w:rPr>
        <w:t xml:space="preserve">Party A</w:t>
      </w:r>
    </w:p>
    <w:p>
      <w:pPr>
        <w:spacing w:after="70" w:line="300"/>
      </w:pPr>
      <w:r>
        <w:rPr>
          <w:color w:val="191D32"/>
          <w:sz w:val="21"/>
          <w:szCs w:val="21"/>
        </w:rPr>
        <w:t xml:space="preserve">Name: [ full legal name ]</w:t>
      </w:r>
    </w:p>
    <w:p>
      <w:pPr>
        <w:spacing w:after="70" w:line="300"/>
      </w:pPr>
      <w:r>
        <w:rPr>
          <w:color w:val="191D32"/>
          <w:sz w:val="21"/>
          <w:szCs w:val="21"/>
        </w:rPr>
        <w:t xml:space="preserve">Signing in the capacity of: [ self / director / partner / authorized signatory, with designation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Party B</w:t>
      </w:r>
    </w:p>
    <w:p>
      <w:pPr>
        <w:spacing w:after="70" w:line="300"/>
      </w:pPr>
      <w:r>
        <w:rPr>
          <w:color w:val="191D32"/>
          <w:sz w:val="21"/>
          <w:szCs w:val="21"/>
        </w:rPr>
        <w:t xml:space="preserve">Name: [ full legal name ]</w:t>
      </w:r>
    </w:p>
    <w:p>
      <w:pPr>
        <w:spacing w:after="70" w:line="300"/>
      </w:pPr>
      <w:r>
        <w:rPr>
          <w:color w:val="191D32"/>
          <w:sz w:val="21"/>
          <w:szCs w:val="21"/>
        </w:rPr>
        <w:t xml:space="preserve">Signing in the capacity of: [ self / director / partner / authorized signatory, with designation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Need this tailored to a specific, higher-stakes relationship, such as a funding conversation or M&amp;A talks? BuildWright's NDA drafting service scopes the duration and coverage to that actual engagement rather than leaving you to guess at the blanks in a general template.</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fillable template</dc:title>
  <dc:creator>BuildWright</dc:creator>
  <dc:description>A blank, fillable two-way NDA for two parties in India who will each share confidential information with the other. A general document. It is not drafted for either party's specific situation and it is not legal advice.</dc:description>
  <cp:lastModifiedBy>BuildWright</cp:lastModifiedBy>
  <cp:revision>1</cp:revision>
  <dcterms:created xsi:type="dcterms:W3CDTF">2026-07-26T07:17:10.726Z</dcterms:created>
  <dcterms:modified xsi:type="dcterms:W3CDTF">2026-07-26T07:17:10.727Z</dcterms:modified>
</cp:coreProperties>
</file>

<file path=docProps/custom.xml><?xml version="1.0" encoding="utf-8"?>
<Properties xmlns="http://schemas.openxmlformats.org/officeDocument/2006/custom-properties" xmlns:vt="http://schemas.openxmlformats.org/officeDocument/2006/docPropsVTypes"/>
</file>