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40"/>
      </w:pPr>
      <w:r>
        <w:rPr>
          <w:b/>
          <w:bCs/>
          <w:color w:val="191D32"/>
          <w:sz w:val="44"/>
          <w:szCs w:val="44"/>
        </w:rPr>
        <w:t xml:space="preserve">Board resolution</w:t>
      </w:r>
    </w:p>
    <w:p>
      <w:pPr>
        <w:spacing w:after="60"/>
      </w:pPr>
      <w:r>
        <w:rPr>
          <w:b/>
          <w:bCs/>
          <w:color w:val="191D32"/>
          <w:sz w:val="24"/>
          <w:szCs w:val="24"/>
        </w:rPr>
        <w:t xml:space="preserve">Share transfer approval and registration</w:t>
      </w:r>
    </w:p>
    <w:p>
      <w:pPr>
        <w:spacing w:after="300" w:line="300"/>
      </w:pPr>
      <w:r>
        <w:rPr>
          <w:color w:val="6B7280"/>
          <w:sz w:val="21"/>
          <w:szCs w:val="21"/>
        </w:rPr>
        <w:t xml:space="preserve">A blank, fillable board resolution approving a share transfer and authorising its registration. No separate MCA e-form filing exists for the transfer act itself.</w:t>
      </w:r>
    </w:p>
    <w:p>
      <w:pPr>
        <w:spacing w:after="280" w:line="300"/>
      </w:pPr>
      <w:r>
        <w:rPr>
          <w:color w:val="6B7280"/>
          <w:sz w:val="19"/>
          <w:szCs w:val="19"/>
        </w:rPr>
        <w:t xml:space="preserve">Section 56 of the Companies Act, 2013, read with the Indian Stamp Act, 1899.</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your company's specific situation and it is not legal advice. Fill every bracketed field, delete what does not apply, and have it reviewed before the Board signs it. BuildWright provides documentation, filing, and compliance facilitation.</w:t>
      </w:r>
    </w:p>
    <w:p>
      <w:pPr>
        <w:pStyle w:val="Heading1"/>
        <w:spacing w:after="160" w:before="340"/>
      </w:pPr>
      <w:r>
        <w:rPr>
          <w:b/>
          <w:bCs/>
          <w:color w:val="191D32"/>
          <w:sz w:val="26"/>
          <w:szCs w:val="26"/>
        </w:rPr>
        <w:t xml:space="preserve">Particulars of the meeting</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Company name</w:t>
            </w:r>
          </w:p>
        </w:tc>
        <w:tc>
          <w:tcPr>
            <w:tcW w:type="pct" w:w="53%"/>
            <w:tcMar>
              <w:top w:type="dxa" w:w="110"/>
              <w:left w:type="dxa" w:w="140"/>
              <w:bottom w:type="dxa" w:w="110"/>
              <w:right w:type="dxa" w:w="140"/>
            </w:tcMar>
          </w:tcPr>
          <w:p>
            <w:r>
              <w:rPr>
                <w:color w:val="191D32"/>
                <w:sz w:val="19"/>
                <w:szCs w:val="19"/>
              </w:rPr>
              <w:t xml:space="preserve">[ registered company name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CIN</w:t>
            </w:r>
          </w:p>
        </w:tc>
        <w:tc>
          <w:tcPr>
            <w:tcW w:type="pct" w:w="53%"/>
            <w:tcMar>
              <w:top w:type="dxa" w:w="110"/>
              <w:left w:type="dxa" w:w="140"/>
              <w:bottom w:type="dxa" w:w="110"/>
              <w:right w:type="dxa" w:w="140"/>
            </w:tcMar>
          </w:tcPr>
          <w:p>
            <w:r>
              <w:rPr>
                <w:color w:val="191D32"/>
                <w:sz w:val="19"/>
                <w:szCs w:val="19"/>
              </w:rPr>
              <w:t xml:space="preserve">[ Corporate Identification Number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Registered office address</w:t>
            </w:r>
          </w:p>
        </w:tc>
        <w:tc>
          <w:tcPr>
            <w:tcW w:type="pct" w:w="53%"/>
            <w:tcMar>
              <w:top w:type="dxa" w:w="110"/>
              <w:left w:type="dxa" w:w="140"/>
              <w:bottom w:type="dxa" w:w="110"/>
              <w:right w:type="dxa" w:w="140"/>
            </w:tcMar>
          </w:tcPr>
          <w:p>
            <w:r>
              <w:rPr>
                <w:color w:val="191D32"/>
                <w:sz w:val="19"/>
                <w:szCs w:val="19"/>
              </w:rPr>
              <w:t xml:space="preserve">[ full registered office address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Date of board meeting</w:t>
            </w:r>
          </w:p>
        </w:tc>
        <w:tc>
          <w:tcPr>
            <w:tcW w:type="pct" w:w="53%"/>
            <w:tcMar>
              <w:top w:type="dxa" w:w="110"/>
              <w:left w:type="dxa" w:w="140"/>
              <w:bottom w:type="dxa" w:w="110"/>
              <w:right w:type="dxa" w:w="140"/>
            </w:tcMar>
          </w:tcPr>
          <w:p>
            <w:r>
              <w:rPr>
                <w:color w:val="191D32"/>
                <w:sz w:val="19"/>
                <w:szCs w:val="19"/>
              </w:rPr>
              <w:t xml:space="preserve">[ DD/MM/YYYY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Time of board meeting</w:t>
            </w:r>
          </w:p>
        </w:tc>
        <w:tc>
          <w:tcPr>
            <w:tcW w:type="pct" w:w="53%"/>
            <w:tcMar>
              <w:top w:type="dxa" w:w="110"/>
              <w:left w:type="dxa" w:w="140"/>
              <w:bottom w:type="dxa" w:w="110"/>
              <w:right w:type="dxa" w:w="140"/>
            </w:tcMar>
          </w:tcPr>
          <w:p>
            <w:r>
              <w:rPr>
                <w:color w:val="191D32"/>
                <w:sz w:val="19"/>
                <w:szCs w:val="19"/>
              </w:rPr>
              <w:t xml:space="preserve">[ HH:MM ]</w:t>
            </w:r>
          </w:p>
        </w:tc>
      </w:tr>
      <w:tr>
        <w:tc>
          <w:tcPr>
            <w:tcW w:type="pct" w:w="7%"/>
            <w:tcMar>
              <w:top w:type="dxa" w:w="110"/>
              <w:left w:type="dxa" w:w="140"/>
              <w:bottom w:type="dxa" w:w="110"/>
              <w:right w:type="dxa" w:w="140"/>
            </w:tcMar>
          </w:tcPr>
          <w:p>
            <w:r>
              <w:rPr>
                <w:color w:val="191D32"/>
                <w:sz w:val="19"/>
                <w:szCs w:val="19"/>
              </w:rPr>
              <w:t xml:space="preserve">6.</w:t>
            </w:r>
          </w:p>
        </w:tc>
        <w:tc>
          <w:tcPr>
            <w:tcW w:type="pct" w:w="40%"/>
            <w:tcMar>
              <w:top w:type="dxa" w:w="110"/>
              <w:left w:type="dxa" w:w="140"/>
              <w:bottom w:type="dxa" w:w="110"/>
              <w:right w:type="dxa" w:w="140"/>
            </w:tcMar>
          </w:tcPr>
          <w:p>
            <w:r>
              <w:rPr>
                <w:b/>
                <w:bCs/>
                <w:color w:val="191D32"/>
                <w:sz w:val="19"/>
                <w:szCs w:val="19"/>
              </w:rPr>
              <w:t xml:space="preserve">Place of board meeting</w:t>
            </w:r>
          </w:p>
        </w:tc>
        <w:tc>
          <w:tcPr>
            <w:tcW w:type="pct" w:w="53%"/>
            <w:tcMar>
              <w:top w:type="dxa" w:w="110"/>
              <w:left w:type="dxa" w:w="140"/>
              <w:bottom w:type="dxa" w:w="110"/>
              <w:right w:type="dxa" w:w="140"/>
            </w:tcMar>
          </w:tcPr>
          <w:p>
            <w:r>
              <w:rPr>
                <w:color w:val="191D32"/>
                <w:sz w:val="19"/>
                <w:szCs w:val="19"/>
              </w:rPr>
              <w:t xml:space="preserve">[ registered office, or other venue ]</w:t>
            </w:r>
          </w:p>
        </w:tc>
      </w:tr>
      <w:tr>
        <w:tc>
          <w:tcPr>
            <w:tcW w:type="pct" w:w="7%"/>
            <w:tcMar>
              <w:top w:type="dxa" w:w="110"/>
              <w:left w:type="dxa" w:w="140"/>
              <w:bottom w:type="dxa" w:w="110"/>
              <w:right w:type="dxa" w:w="140"/>
            </w:tcMar>
          </w:tcPr>
          <w:p>
            <w:r>
              <w:rPr>
                <w:color w:val="191D32"/>
                <w:sz w:val="19"/>
                <w:szCs w:val="19"/>
              </w:rPr>
              <w:t xml:space="preserve">7.</w:t>
            </w:r>
          </w:p>
        </w:tc>
        <w:tc>
          <w:tcPr>
            <w:tcW w:type="pct" w:w="40%"/>
            <w:tcMar>
              <w:top w:type="dxa" w:w="110"/>
              <w:left w:type="dxa" w:w="140"/>
              <w:bottom w:type="dxa" w:w="110"/>
              <w:right w:type="dxa" w:w="140"/>
            </w:tcMar>
          </w:tcPr>
          <w:p>
            <w:r>
              <w:rPr>
                <w:b/>
                <w:bCs/>
                <w:color w:val="191D32"/>
                <w:sz w:val="19"/>
                <w:szCs w:val="19"/>
              </w:rPr>
              <w:t xml:space="preserve">Directors present (confirming quorum)</w:t>
            </w:r>
          </w:p>
        </w:tc>
        <w:tc>
          <w:tcPr>
            <w:tcW w:type="pct" w:w="53%"/>
            <w:tcMar>
              <w:top w:type="dxa" w:w="110"/>
              <w:left w:type="dxa" w:w="140"/>
              <w:bottom w:type="dxa" w:w="110"/>
              <w:right w:type="dxa" w:w="140"/>
            </w:tcMar>
          </w:tcPr>
          <w:p>
            <w:r>
              <w:rPr>
                <w:color w:val="191D32"/>
                <w:sz w:val="19"/>
                <w:szCs w:val="19"/>
              </w:rPr>
              <w:t xml:space="preserve">[ names of all directors present ]</w:t>
            </w:r>
          </w:p>
        </w:tc>
      </w:tr>
      <w:tr>
        <w:tc>
          <w:tcPr>
            <w:tcW w:type="pct" w:w="7%"/>
            <w:tcMar>
              <w:top w:type="dxa" w:w="110"/>
              <w:left w:type="dxa" w:w="140"/>
              <w:bottom w:type="dxa" w:w="110"/>
              <w:right w:type="dxa" w:w="140"/>
            </w:tcMar>
          </w:tcPr>
          <w:p>
            <w:r>
              <w:rPr>
                <w:color w:val="191D32"/>
                <w:sz w:val="19"/>
                <w:szCs w:val="19"/>
              </w:rPr>
              <w:t xml:space="preserve">8.</w:t>
            </w:r>
          </w:p>
        </w:tc>
        <w:tc>
          <w:tcPr>
            <w:tcW w:type="pct" w:w="40%"/>
            <w:tcMar>
              <w:top w:type="dxa" w:w="110"/>
              <w:left w:type="dxa" w:w="140"/>
              <w:bottom w:type="dxa" w:w="110"/>
              <w:right w:type="dxa" w:w="140"/>
            </w:tcMar>
          </w:tcPr>
          <w:p>
            <w:r>
              <w:rPr>
                <w:b/>
                <w:bCs/>
                <w:color w:val="191D32"/>
                <w:sz w:val="19"/>
                <w:szCs w:val="19"/>
              </w:rPr>
              <w:t xml:space="preserve">Chairman of the meeting</w:t>
            </w:r>
          </w:p>
        </w:tc>
        <w:tc>
          <w:tcPr>
            <w:tcW w:type="pct" w:w="53%"/>
            <w:tcMar>
              <w:top w:type="dxa" w:w="110"/>
              <w:left w:type="dxa" w:w="140"/>
              <w:bottom w:type="dxa" w:w="110"/>
              <w:right w:type="dxa" w:w="140"/>
            </w:tcMar>
          </w:tcPr>
          <w:p>
            <w:r>
              <w:rPr>
                <w:color w:val="191D32"/>
                <w:sz w:val="19"/>
                <w:szCs w:val="19"/>
              </w:rPr>
              <w:t xml:space="preserve">[ name of the director chairing this meeting ]</w:t>
            </w:r>
          </w:p>
        </w:tc>
      </w:tr>
    </w:tbl>
    <w:p>
      <w:pPr>
        <w:spacing w:after="180"/>
      </w:pPr>
    </w:p>
    <w:p>
      <w:pPr>
        <w:pStyle w:val="Heading1"/>
        <w:spacing w:after="160" w:before="340"/>
      </w:pPr>
      <w:r>
        <w:rPr>
          <w:b/>
          <w:bCs/>
          <w:color w:val="191D32"/>
          <w:sz w:val="26"/>
          <w:szCs w:val="26"/>
        </w:rPr>
        <w:t xml:space="preserve">Particulars of the transfer</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9.</w:t>
            </w:r>
          </w:p>
        </w:tc>
        <w:tc>
          <w:tcPr>
            <w:tcW w:type="pct" w:w="40%"/>
            <w:tcMar>
              <w:top w:type="dxa" w:w="110"/>
              <w:left w:type="dxa" w:w="140"/>
              <w:bottom w:type="dxa" w:w="110"/>
              <w:right w:type="dxa" w:w="140"/>
            </w:tcMar>
          </w:tcPr>
          <w:p>
            <w:r>
              <w:rPr>
                <w:b/>
                <w:bCs/>
                <w:color w:val="191D32"/>
                <w:sz w:val="19"/>
                <w:szCs w:val="19"/>
              </w:rPr>
              <w:t xml:space="preserve">Transferor</w:t>
            </w:r>
          </w:p>
        </w:tc>
        <w:tc>
          <w:tcPr>
            <w:tcW w:type="pct" w:w="53%"/>
            <w:tcMar>
              <w:top w:type="dxa" w:w="110"/>
              <w:left w:type="dxa" w:w="140"/>
              <w:bottom w:type="dxa" w:w="110"/>
              <w:right w:type="dxa" w:w="140"/>
            </w:tcMar>
          </w:tcPr>
          <w:p>
            <w:r>
              <w:rPr>
                <w:color w:val="191D32"/>
                <w:sz w:val="19"/>
                <w:szCs w:val="19"/>
              </w:rPr>
              <w:t xml:space="preserve">[ name, address, PAN, existing share certificate number(s), number and class of shares held ]</w:t>
            </w:r>
          </w:p>
        </w:tc>
      </w:tr>
      <w:tr>
        <w:tc>
          <w:tcPr>
            <w:tcW w:type="pct" w:w="7%"/>
            <w:tcMar>
              <w:top w:type="dxa" w:w="110"/>
              <w:left w:type="dxa" w:w="140"/>
              <w:bottom w:type="dxa" w:w="110"/>
              <w:right w:type="dxa" w:w="140"/>
            </w:tcMar>
          </w:tcPr>
          <w:p>
            <w:r>
              <w:rPr>
                <w:color w:val="191D32"/>
                <w:sz w:val="19"/>
                <w:szCs w:val="19"/>
              </w:rPr>
              <w:t xml:space="preserve">10.</w:t>
            </w:r>
          </w:p>
        </w:tc>
        <w:tc>
          <w:tcPr>
            <w:tcW w:type="pct" w:w="40%"/>
            <w:tcMar>
              <w:top w:type="dxa" w:w="110"/>
              <w:left w:type="dxa" w:w="140"/>
              <w:bottom w:type="dxa" w:w="110"/>
              <w:right w:type="dxa" w:w="140"/>
            </w:tcMar>
          </w:tcPr>
          <w:p>
            <w:r>
              <w:rPr>
                <w:b/>
                <w:bCs/>
                <w:color w:val="191D32"/>
                <w:sz w:val="19"/>
                <w:szCs w:val="19"/>
              </w:rPr>
              <w:t xml:space="preserve">Transferee</w:t>
            </w:r>
          </w:p>
        </w:tc>
        <w:tc>
          <w:tcPr>
            <w:tcW w:type="pct" w:w="53%"/>
            <w:tcMar>
              <w:top w:type="dxa" w:w="110"/>
              <w:left w:type="dxa" w:w="140"/>
              <w:bottom w:type="dxa" w:w="110"/>
              <w:right w:type="dxa" w:w="140"/>
            </w:tcMar>
          </w:tcPr>
          <w:p>
            <w:r>
              <w:rPr>
                <w:color w:val="191D32"/>
                <w:sz w:val="19"/>
                <w:szCs w:val="19"/>
              </w:rPr>
              <w:t xml:space="preserve">[ name, address, PAN ]</w:t>
            </w:r>
          </w:p>
        </w:tc>
      </w:tr>
      <w:tr>
        <w:tc>
          <w:tcPr>
            <w:tcW w:type="pct" w:w="7%"/>
            <w:tcMar>
              <w:top w:type="dxa" w:w="110"/>
              <w:left w:type="dxa" w:w="140"/>
              <w:bottom w:type="dxa" w:w="110"/>
              <w:right w:type="dxa" w:w="140"/>
            </w:tcMar>
          </w:tcPr>
          <w:p>
            <w:r>
              <w:rPr>
                <w:color w:val="191D32"/>
                <w:sz w:val="19"/>
                <w:szCs w:val="19"/>
              </w:rPr>
              <w:t xml:space="preserve">11.</w:t>
            </w:r>
          </w:p>
        </w:tc>
        <w:tc>
          <w:tcPr>
            <w:tcW w:type="pct" w:w="40%"/>
            <w:tcMar>
              <w:top w:type="dxa" w:w="110"/>
              <w:left w:type="dxa" w:w="140"/>
              <w:bottom w:type="dxa" w:w="110"/>
              <w:right w:type="dxa" w:w="140"/>
            </w:tcMar>
          </w:tcPr>
          <w:p>
            <w:r>
              <w:rPr>
                <w:b/>
                <w:bCs/>
                <w:color w:val="191D32"/>
                <w:sz w:val="19"/>
                <w:szCs w:val="19"/>
              </w:rPr>
              <w:t xml:space="preserve">Number of shares transferred and consideration amount</w:t>
            </w:r>
          </w:p>
        </w:tc>
        <w:tc>
          <w:tcPr>
            <w:tcW w:type="pct" w:w="53%"/>
            <w:tcMar>
              <w:top w:type="dxa" w:w="110"/>
              <w:left w:type="dxa" w:w="140"/>
              <w:bottom w:type="dxa" w:w="110"/>
              <w:right w:type="dxa" w:w="140"/>
            </w:tcMar>
          </w:tcPr>
          <w:p>
            <w:r>
              <w:rPr>
                <w:color w:val="191D32"/>
                <w:sz w:val="19"/>
                <w:szCs w:val="19"/>
              </w:rPr>
              <w:t xml:space="preserve">[ number of shares; consideration amount ]</w:t>
            </w:r>
          </w:p>
        </w:tc>
      </w:tr>
      <w:tr>
        <w:tc>
          <w:tcPr>
            <w:tcW w:type="pct" w:w="7%"/>
            <w:tcMar>
              <w:top w:type="dxa" w:w="110"/>
              <w:left w:type="dxa" w:w="140"/>
              <w:bottom w:type="dxa" w:w="110"/>
              <w:right w:type="dxa" w:w="140"/>
            </w:tcMar>
          </w:tcPr>
          <w:p>
            <w:r>
              <w:rPr>
                <w:color w:val="191D32"/>
                <w:sz w:val="19"/>
                <w:szCs w:val="19"/>
              </w:rPr>
              <w:t xml:space="preserve">12.</w:t>
            </w:r>
          </w:p>
        </w:tc>
        <w:tc>
          <w:tcPr>
            <w:tcW w:type="pct" w:w="40%"/>
            <w:tcMar>
              <w:top w:type="dxa" w:w="110"/>
              <w:left w:type="dxa" w:w="140"/>
              <w:bottom w:type="dxa" w:w="110"/>
              <w:right w:type="dxa" w:w="140"/>
            </w:tcMar>
          </w:tcPr>
          <w:p>
            <w:r>
              <w:rPr>
                <w:b/>
                <w:bCs/>
                <w:color w:val="191D32"/>
                <w:sz w:val="19"/>
                <w:szCs w:val="19"/>
              </w:rPr>
              <w:t xml:space="preserve">Right of first refusal under the Articles</w:t>
            </w:r>
          </w:p>
        </w:tc>
        <w:tc>
          <w:tcPr>
            <w:tcW w:type="pct" w:w="53%"/>
            <w:tcMar>
              <w:top w:type="dxa" w:w="110"/>
              <w:left w:type="dxa" w:w="140"/>
              <w:bottom w:type="dxa" w:w="110"/>
              <w:right w:type="dxa" w:w="140"/>
            </w:tcMar>
          </w:tcPr>
          <w:p>
            <w:r>
              <w:rPr>
                <w:color w:val="191D32"/>
                <w:sz w:val="19"/>
                <w:szCs w:val="19"/>
              </w:rPr>
              <w:t xml:space="preserve">[ offered to and waived by existing members, or 'not applicable' if the Articles impose no such restriction ]</w:t>
            </w:r>
          </w:p>
        </w:tc>
      </w:tr>
      <w:tr>
        <w:tc>
          <w:tcPr>
            <w:tcW w:type="pct" w:w="7%"/>
            <w:tcMar>
              <w:top w:type="dxa" w:w="110"/>
              <w:left w:type="dxa" w:w="140"/>
              <w:bottom w:type="dxa" w:w="110"/>
              <w:right w:type="dxa" w:w="140"/>
            </w:tcMar>
          </w:tcPr>
          <w:p>
            <w:r>
              <w:rPr>
                <w:color w:val="191D32"/>
                <w:sz w:val="19"/>
                <w:szCs w:val="19"/>
              </w:rPr>
              <w:t xml:space="preserve">13.</w:t>
            </w:r>
          </w:p>
        </w:tc>
        <w:tc>
          <w:tcPr>
            <w:tcW w:type="pct" w:w="40%"/>
            <w:tcMar>
              <w:top w:type="dxa" w:w="110"/>
              <w:left w:type="dxa" w:w="140"/>
              <w:bottom w:type="dxa" w:w="110"/>
              <w:right w:type="dxa" w:w="140"/>
            </w:tcMar>
          </w:tcPr>
          <w:p>
            <w:r>
              <w:rPr>
                <w:b/>
                <w:bCs/>
                <w:color w:val="191D32"/>
                <w:sz w:val="19"/>
                <w:szCs w:val="19"/>
              </w:rPr>
              <w:t xml:space="preserve">SH-4 instrument reference</w:t>
            </w:r>
          </w:p>
        </w:tc>
        <w:tc>
          <w:tcPr>
            <w:tcW w:type="pct" w:w="53%"/>
            <w:tcMar>
              <w:top w:type="dxa" w:w="110"/>
              <w:left w:type="dxa" w:w="140"/>
              <w:bottom w:type="dxa" w:w="110"/>
              <w:right w:type="dxa" w:w="140"/>
            </w:tcMar>
          </w:tcPr>
          <w:p>
            <w:r>
              <w:rPr>
                <w:color w:val="191D32"/>
                <w:sz w:val="19"/>
                <w:szCs w:val="19"/>
              </w:rPr>
              <w:t xml:space="preserve">[ date of execution, confirming the instrument is signed by both the transferor and the transferee ]</w:t>
            </w:r>
          </w:p>
        </w:tc>
      </w:tr>
      <w:tr>
        <w:tc>
          <w:tcPr>
            <w:tcW w:type="pct" w:w="7%"/>
            <w:tcMar>
              <w:top w:type="dxa" w:w="110"/>
              <w:left w:type="dxa" w:w="140"/>
              <w:bottom w:type="dxa" w:w="110"/>
              <w:right w:type="dxa" w:w="140"/>
            </w:tcMar>
          </w:tcPr>
          <w:p>
            <w:r>
              <w:rPr>
                <w:color w:val="191D32"/>
                <w:sz w:val="19"/>
                <w:szCs w:val="19"/>
              </w:rPr>
              <w:t xml:space="preserve">14.</w:t>
            </w:r>
          </w:p>
        </w:tc>
        <w:tc>
          <w:tcPr>
            <w:tcW w:type="pct" w:w="40%"/>
            <w:tcMar>
              <w:top w:type="dxa" w:w="110"/>
              <w:left w:type="dxa" w:w="140"/>
              <w:bottom w:type="dxa" w:w="110"/>
              <w:right w:type="dxa" w:w="140"/>
            </w:tcMar>
          </w:tcPr>
          <w:p>
            <w:r>
              <w:rPr>
                <w:b/>
                <w:bCs/>
                <w:color w:val="191D32"/>
                <w:sz w:val="19"/>
                <w:szCs w:val="19"/>
              </w:rPr>
              <w:t xml:space="preserve">Stamp duty payable (0.015% of consideration or market value)</w:t>
            </w:r>
          </w:p>
        </w:tc>
        <w:tc>
          <w:tcPr>
            <w:tcW w:type="pct" w:w="53%"/>
            <w:tcMar>
              <w:top w:type="dxa" w:w="110"/>
              <w:left w:type="dxa" w:w="140"/>
              <w:bottom w:type="dxa" w:w="110"/>
              <w:right w:type="dxa" w:w="140"/>
            </w:tcMar>
          </w:tcPr>
          <w:p>
            <w:r>
              <w:rPr>
                <w:color w:val="191D32"/>
                <w:sz w:val="19"/>
                <w:szCs w:val="19"/>
              </w:rPr>
              <w:t xml:space="preserve">[ computed amount ]</w:t>
            </w:r>
          </w:p>
        </w:tc>
      </w:tr>
      <w:tr>
        <w:tc>
          <w:tcPr>
            <w:tcW w:type="pct" w:w="7%"/>
            <w:tcMar>
              <w:top w:type="dxa" w:w="110"/>
              <w:left w:type="dxa" w:w="140"/>
              <w:bottom w:type="dxa" w:w="110"/>
              <w:right w:type="dxa" w:w="140"/>
            </w:tcMar>
          </w:tcPr>
          <w:p>
            <w:r>
              <w:rPr>
                <w:color w:val="191D32"/>
                <w:sz w:val="19"/>
                <w:szCs w:val="19"/>
              </w:rPr>
              <w:t xml:space="preserve">15.</w:t>
            </w:r>
          </w:p>
        </w:tc>
        <w:tc>
          <w:tcPr>
            <w:tcW w:type="pct" w:w="40%"/>
            <w:tcMar>
              <w:top w:type="dxa" w:w="110"/>
              <w:left w:type="dxa" w:w="140"/>
              <w:bottom w:type="dxa" w:w="110"/>
              <w:right w:type="dxa" w:w="140"/>
            </w:tcMar>
          </w:tcPr>
          <w:p>
            <w:r>
              <w:rPr>
                <w:b/>
                <w:bCs/>
                <w:color w:val="191D32"/>
                <w:sz w:val="19"/>
                <w:szCs w:val="19"/>
              </w:rPr>
              <w:t xml:space="preserve">Stamp duty borne by</w:t>
            </w:r>
          </w:p>
        </w:tc>
        <w:tc>
          <w:tcPr>
            <w:tcW w:type="pct" w:w="53%"/>
            <w:tcMar>
              <w:top w:type="dxa" w:w="110"/>
              <w:left w:type="dxa" w:w="140"/>
              <w:bottom w:type="dxa" w:w="110"/>
              <w:right w:type="dxa" w:w="140"/>
            </w:tcMar>
          </w:tcPr>
          <w:p>
            <w:r>
              <w:rPr>
                <w:color w:val="191D32"/>
                <w:sz w:val="19"/>
                <w:szCs w:val="19"/>
              </w:rPr>
              <w:t xml:space="preserve">[ transferor / transferee, per the agreement for this transfer ]</w:t>
            </w:r>
          </w:p>
        </w:tc>
      </w:tr>
    </w:tbl>
    <w:p>
      <w:pPr>
        <w:spacing w:after="180"/>
      </w:pPr>
    </w:p>
    <w:p>
      <w:pPr>
        <w:pStyle w:val="Heading1"/>
        <w:spacing w:after="160" w:before="340"/>
      </w:pPr>
      <w:r>
        <w:rPr>
          <w:b/>
          <w:bCs/>
          <w:color w:val="191D32"/>
          <w:sz w:val="26"/>
          <w:szCs w:val="26"/>
        </w:rPr>
        <w:t xml:space="preserve">Resolution</w:t>
      </w:r>
    </w:p>
    <w:p>
      <w:pPr>
        <w:spacing w:after="180" w:line="300"/>
      </w:pPr>
      <w:r>
        <w:rPr>
          <w:b/>
          <w:bCs/>
          <w:color w:val="191D32"/>
          <w:sz w:val="21"/>
          <w:szCs w:val="21"/>
        </w:rPr>
        <w:t xml:space="preserve">RESOLVED THAT  </w:t>
      </w:r>
      <w:r>
        <w:rPr>
          <w:color w:val="191D32"/>
          <w:sz w:val="21"/>
          <w:szCs w:val="21"/>
        </w:rPr>
        <w:t xml:space="preserve">the Board approves the transfer of shares as set out in items 9 to 11 above, having confirmed the transfer complies with the transfer-restriction clause of the Company's Articles of Association as recorded in item 12, and having noted the executed Form SH-4 instrument referenced in item 13, signed by both the transferor and the transferee, with stamp duty as recorded in items 14 and 15.</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Stamp duty on this transfer is 0.015% of the consideration or market value, the uniform central rate for transfer of securities on a delivery basis since 1 July 2020, including a physical, non-depository transfer of this kind. Do not use the older 0.25% figure. That rate was omitted from the Indian Stamp Act, 1899 by the Finance Act, 2019 and still circulates in some secondary sources. Compute the amount for this specific transfer and record it in item 14.</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Who bears the duty is genuinely contested and is not settled by flat assertion either way. The legal default, absent a contrary agreement, places it on the transferor for a physical, off-market transfer of this kind. Market convention routinely reallocates it to the transferee by contract. Do not leave item 15 blank: state expressly, in this resolution and in the SH-4 instrument itself, which side bears it for this transfer.</w:t>
      </w:r>
    </w:p>
    <w:p>
      <w:pPr>
        <w:spacing w:after="180" w:line="300"/>
      </w:pPr>
      <w:r>
        <w:rPr>
          <w:b/>
          <w:bCs/>
          <w:color w:val="191D32"/>
          <w:sz w:val="21"/>
          <w:szCs w:val="21"/>
        </w:rPr>
        <w:t xml:space="preserve">RESOLVED FURTHER THAT  </w:t>
      </w:r>
      <w:r>
        <w:rPr>
          <w:color w:val="191D32"/>
          <w:sz w:val="21"/>
          <w:szCs w:val="21"/>
        </w:rPr>
        <w:t xml:space="preserve">[ name of the authorised director, or the Company Secretary where the Company has one ] be and is hereby authorised, on behalf of the Company, to register the transfer in the Company's register of members and to issue an updated share certificate to the transferee.</w:t>
      </w:r>
    </w:p>
    <w:p>
      <w:pPr>
        <w:pStyle w:val="Heading1"/>
        <w:spacing w:after="160" w:before="340"/>
      </w:pPr>
      <w:r>
        <w:rPr>
          <w:b/>
          <w:bCs/>
          <w:color w:val="191D32"/>
          <w:sz w:val="26"/>
          <w:szCs w:val="26"/>
        </w:rPr>
        <w:t xml:space="preserve">How this is registered</w:t>
      </w:r>
    </w:p>
    <w:p>
      <w:pPr>
        <w:spacing w:after="180" w:line="300"/>
      </w:pPr>
      <w:r>
        <w:rPr>
          <w:color w:val="191D32"/>
          <w:sz w:val="21"/>
          <w:szCs w:val="21"/>
        </w:rPr>
        <w:t xml:space="preserve">A share transfer between existing or incoming shareholders, restricted by the Articles rather than by statute, is a company-secretarial act. The company registers it internally and updates the register of members. There is no separate ROC e-form filing requirement for the transfer act itself, unlike an allotment, which triggers PAS-3.</w:t>
      </w:r>
    </w:p>
    <w:p>
      <w:pPr>
        <w:pBdr>
          <w:left w:val="single" w:color="FF6B35" w:sz="24" w:space="14"/>
        </w:pBdr>
        <w:spacing w:after="220" w:before="100" w:line="290"/>
        <w:ind w:left="300"/>
      </w:pPr>
      <w:r>
        <w:rPr>
          <w:b/>
          <w:bCs/>
          <w:color w:val="FF6B35"/>
          <w:sz w:val="19"/>
          <w:szCs w:val="19"/>
        </w:rPr>
        <w:t xml:space="preserve">Not covered by this template.  </w:t>
      </w:r>
      <w:r>
        <w:rPr>
          <w:color w:val="191D32"/>
          <w:sz w:val="19"/>
          <w:szCs w:val="19"/>
        </w:rPr>
        <w:t xml:space="preserve">No separate MCA e-form filing exists for the transfer act itself. Properly executed, this resolution is the full internal-approval step. See CHG-S4, BuildWright's share transfer service, for hands-on SH-4 drafting and stamp duty facilitation.</w:t>
      </w:r>
    </w:p>
    <w:p>
      <w:pPr>
        <w:pStyle w:val="Heading1"/>
        <w:spacing w:after="160" w:before="340"/>
      </w:pPr>
      <w:r>
        <w:rPr>
          <w:b/>
          <w:bCs/>
          <w:color w:val="191D32"/>
          <w:sz w:val="26"/>
          <w:szCs w:val="26"/>
        </w:rPr>
        <w:t xml:space="preserve">Minutes and signing</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Minutes of this meeting, recording this resolution, must be signed by the Chairman of this meeting, or by the Chairman of the next succeeding meeting, under Section 118 of the Companies Act, 2013. Every page of the minutes must be initialled, and the last page must be signed in full, with the date and place at which it was signed.</w:t>
      </w:r>
    </w:p>
    <w:p>
      <w:pPr>
        <w:spacing w:after="220" w:line="300"/>
      </w:pPr>
      <w:r>
        <w:rPr>
          <w:color w:val="191D32"/>
          <w:sz w:val="21"/>
          <w:szCs w:val="21"/>
        </w:rPr>
        <w:t xml:space="preserve">Signature of Chairman: ______________________________     Date: [ DD/MM/YYYY ]     Place: [ city, state ]</w:t>
      </w:r>
    </w:p>
    <w:p>
      <w:pPr>
        <w:pStyle w:val="Heading1"/>
        <w:spacing w:after="160" w:before="340"/>
      </w:pPr>
      <w:r>
        <w:rPr>
          <w:b/>
          <w:bCs/>
          <w:color w:val="191D32"/>
          <w:sz w:val="26"/>
          <w:szCs w:val="26"/>
        </w:rPr>
        <w:t xml:space="preserve">Certified true copy, for submission outside the company</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A certified true copy of this resolution, for submission to a bank, the Registrar of Companies, or any other external party, must be signed by the Managing Director, by any two directors acting jointly, or by the Company Secretary where the company has one. No single statutory provision names one exclusive signatory for a certified true copy, but every source reviewed agrees on the same boundary: a director, the Managing Director, or the Company Secretary, never an unauthorised member of staff.</w:t>
      </w:r>
    </w:p>
    <w:p>
      <w:pPr>
        <w:spacing w:after="100" w:line="300"/>
      </w:pPr>
      <w:r>
        <w:rPr>
          <w:color w:val="191D32"/>
          <w:sz w:val="21"/>
          <w:szCs w:val="21"/>
        </w:rPr>
        <w:t xml:space="preserve">Certified to be a true copy of the resolution passed at the meeting of the Board of Directors held on [ DD/MM/YYYY ].</w:t>
      </w:r>
    </w:p>
    <w:p>
      <w:pPr>
        <w:spacing w:after="200" w:line="300"/>
      </w:pPr>
      <w:r>
        <w:rPr>
          <w:color w:val="6B7280"/>
          <w:sz w:val="19"/>
          <w:szCs w:val="19"/>
        </w:rPr>
        <w:t xml:space="preserve">Sign whichever one of the three below applies. Strike out the other two.</w:t>
      </w:r>
    </w:p>
    <w:p>
      <w:pPr>
        <w:spacing w:after="60" w:before="260"/>
      </w:pPr>
      <w:r>
        <w:rPr>
          <w:b/>
          <w:bCs/>
          <w:color w:val="191D32"/>
          <w:sz w:val="21"/>
          <w:szCs w:val="21"/>
        </w:rPr>
        <w:t xml:space="preserve">Managing Director</w:t>
      </w:r>
    </w:p>
    <w:p>
      <w:pPr>
        <w:spacing w:after="70" w:line="300"/>
      </w:pPr>
      <w:r>
        <w:rPr>
          <w:color w:val="191D32"/>
          <w:sz w:val="21"/>
          <w:szCs w:val="21"/>
        </w:rPr>
        <w:t xml:space="preserve">Name: [ full legal name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Director 1 and Director 2, jointly</w:t>
      </w:r>
    </w:p>
    <w:p>
      <w:pPr>
        <w:spacing w:after="70" w:line="300"/>
      </w:pPr>
      <w:r>
        <w:rPr>
          <w:color w:val="191D32"/>
          <w:sz w:val="21"/>
          <w:szCs w:val="21"/>
        </w:rPr>
        <w:t xml:space="preserve">Name (Director 1): [ full legal name ]</w:t>
      </w:r>
    </w:p>
    <w:p>
      <w:pPr>
        <w:spacing w:after="160" w:line="300"/>
      </w:pPr>
      <w:r>
        <w:rPr>
          <w:color w:val="191D32"/>
          <w:sz w:val="21"/>
          <w:szCs w:val="21"/>
        </w:rPr>
        <w:t xml:space="preserve">Signature: ______________________________     Date: [ DD/MM/YYYY ]</w:t>
      </w:r>
    </w:p>
    <w:p>
      <w:pPr>
        <w:spacing w:after="70" w:line="300"/>
      </w:pPr>
      <w:r>
        <w:rPr>
          <w:color w:val="191D32"/>
          <w:sz w:val="21"/>
          <w:szCs w:val="21"/>
        </w:rPr>
        <w:t xml:space="preserve">Name (Director 2): [ full legal name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Company Secretary</w:t>
      </w:r>
    </w:p>
    <w:p>
      <w:pPr>
        <w:spacing w:after="70" w:line="300"/>
      </w:pPr>
      <w:r>
        <w:rPr>
          <w:color w:val="191D32"/>
          <w:sz w:val="21"/>
          <w:szCs w:val="21"/>
        </w:rPr>
        <w:t xml:space="preserve">Name: [ full legal name ]</w:t>
      </w:r>
    </w:p>
    <w:p>
      <w:pPr>
        <w:spacing w:after="70" w:line="300"/>
      </w:pPr>
      <w:r>
        <w:rPr>
          <w:color w:val="191D32"/>
          <w:sz w:val="21"/>
          <w:szCs w:val="21"/>
        </w:rPr>
        <w:t xml:space="preserve">Signature: ______________________________     Date: [ DD/MM/YYYY ]</w:t>
      </w:r>
    </w:p>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Need more than the resolution, the actual ROC filing done for you? BuildWright handles the full filing sequence: PAS-3 for share allotments and SH-4 registration with the correct stamp duty for share transfers (both coming via CHG-S3/CHG-S4), DIR-12 for adding a director (live today: add-director-dir12) and INC-22 for a same-state office move (live today: inc-22-office-change), or the fuller special-resolution-plus-Regional-Director process if you're moving to another state (coming via CHG-S2).</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resolution, share transfer approval and registration, fillable template</dc:title>
  <dc:creator>BuildWright</dc:creator>
  <dc:description>A blank, fillable board resolution approving a share transfer and authorising its registration in the register of members, under Section 56 of the Companies Act, 2013. A general document. It has not been drafted for your company's specific situation.</dc:description>
  <cp:lastModifiedBy>BuildWright</cp:lastModifiedBy>
  <cp:revision>1</cp:revision>
  <dcterms:created xsi:type="dcterms:W3CDTF">2026-07-26T18:27:04.520Z</dcterms:created>
  <dcterms:modified xsi:type="dcterms:W3CDTF">2026-07-26T18:27:04.520Z</dcterms:modified>
</cp:coreProperties>
</file>

<file path=docProps/custom.xml><?xml version="1.0" encoding="utf-8"?>
<Properties xmlns="http://schemas.openxmlformats.org/officeDocument/2006/custom-properties" xmlns:vt="http://schemas.openxmlformats.org/officeDocument/2006/docPropsVTypes"/>
</file>