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FF6B35"/>
          <w:spacing w:val="60"/>
          <w:sz w:val="19"/>
          <w:szCs w:val="19"/>
        </w:rPr>
        <w:t xml:space="preserve">BUILDWRIGHT</w:t>
      </w:r>
    </w:p>
    <w:p>
      <w:pPr>
        <w:spacing w:after="40"/>
      </w:pPr>
      <w:r>
        <w:rPr>
          <w:b/>
          <w:bCs/>
          <w:color w:val="191D32"/>
          <w:sz w:val="44"/>
          <w:szCs w:val="44"/>
        </w:rPr>
        <w:t xml:space="preserve">Board resolution</w:t>
      </w:r>
    </w:p>
    <w:p>
      <w:pPr>
        <w:spacing w:after="60"/>
      </w:pPr>
      <w:r>
        <w:rPr>
          <w:b/>
          <w:bCs/>
          <w:color w:val="191D32"/>
          <w:sz w:val="24"/>
          <w:szCs w:val="24"/>
        </w:rPr>
        <w:t xml:space="preserve">Registered office change, same state, same local limits</w:t>
      </w:r>
    </w:p>
    <w:p>
      <w:pPr>
        <w:spacing w:after="300" w:line="300"/>
      </w:pPr>
      <w:r>
        <w:rPr>
          <w:color w:val="6B7280"/>
          <w:sz w:val="21"/>
          <w:szCs w:val="21"/>
        </w:rPr>
        <w:t xml:space="preserve">A blank, fillable board resolution changing a registered office address within the same State and within the local limits of the same city, town, or village. Does not cover a move that crosses those local limits, and does not cover a move to a different state.</w:t>
      </w:r>
    </w:p>
    <w:p>
      <w:pPr>
        <w:spacing w:after="280" w:line="300"/>
      </w:pPr>
      <w:r>
        <w:rPr>
          <w:color w:val="6B7280"/>
          <w:sz w:val="19"/>
          <w:szCs w:val="19"/>
        </w:rPr>
        <w:t xml:space="preserve">Section 12 of the Companies Act, 2013.</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This is a general template. It has not been drafted for your company's specific situation and it is not legal advice. Fill every bracketed field, delete what does not apply, and have it reviewed before the Board signs it. BuildWright provides documentation, filing, and compliance facilitation.</w:t>
      </w: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This resolution covers only a move that stays within the same State AND within the local limits of the same city, town, or village, filed under Section 12 through Form INC-22. A move that crosses those local limits within the same State may need a special resolution instead of board approval alone, and moving to a different State is a materially heavier process again. Neither is covered here. See the non-coverage box below before you use this template for either case.</w:t>
      </w:r>
    </w:p>
    <w:p>
      <w:pPr>
        <w:pStyle w:val="Heading1"/>
        <w:spacing w:after="160" w:before="340"/>
      </w:pPr>
      <w:r>
        <w:rPr>
          <w:b/>
          <w:bCs/>
          <w:color w:val="191D32"/>
          <w:sz w:val="26"/>
          <w:szCs w:val="26"/>
        </w:rPr>
        <w:t xml:space="preserve">Particulars of the meeting</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gridCol w:w="100"/>
      </w:tblGrid>
      <w:tr>
        <w:tc>
          <w:tcPr>
            <w:tcW w:type="pct" w:w="7%"/>
            <w:tcMar>
              <w:top w:type="dxa" w:w="110"/>
              <w:left w:type="dxa" w:w="140"/>
              <w:bottom w:type="dxa" w:w="110"/>
              <w:right w:type="dxa" w:w="140"/>
            </w:tcMar>
          </w:tcPr>
          <w:p>
            <w:r>
              <w:rPr>
                <w:color w:val="191D32"/>
                <w:sz w:val="19"/>
                <w:szCs w:val="19"/>
              </w:rPr>
              <w:t xml:space="preserve">1.</w:t>
            </w:r>
          </w:p>
        </w:tc>
        <w:tc>
          <w:tcPr>
            <w:tcW w:type="pct" w:w="40%"/>
            <w:tcMar>
              <w:top w:type="dxa" w:w="110"/>
              <w:left w:type="dxa" w:w="140"/>
              <w:bottom w:type="dxa" w:w="110"/>
              <w:right w:type="dxa" w:w="140"/>
            </w:tcMar>
          </w:tcPr>
          <w:p>
            <w:r>
              <w:rPr>
                <w:b/>
                <w:bCs/>
                <w:color w:val="191D32"/>
                <w:sz w:val="19"/>
                <w:szCs w:val="19"/>
              </w:rPr>
              <w:t xml:space="preserve">Company name</w:t>
            </w:r>
          </w:p>
        </w:tc>
        <w:tc>
          <w:tcPr>
            <w:tcW w:type="pct" w:w="53%"/>
            <w:tcMar>
              <w:top w:type="dxa" w:w="110"/>
              <w:left w:type="dxa" w:w="140"/>
              <w:bottom w:type="dxa" w:w="110"/>
              <w:right w:type="dxa" w:w="140"/>
            </w:tcMar>
          </w:tcPr>
          <w:p>
            <w:r>
              <w:rPr>
                <w:color w:val="191D32"/>
                <w:sz w:val="19"/>
                <w:szCs w:val="19"/>
              </w:rPr>
              <w:t xml:space="preserve">[ registered company name ]</w:t>
            </w:r>
          </w:p>
        </w:tc>
      </w:tr>
      <w:tr>
        <w:tc>
          <w:tcPr>
            <w:tcW w:type="pct" w:w="7%"/>
            <w:tcMar>
              <w:top w:type="dxa" w:w="110"/>
              <w:left w:type="dxa" w:w="140"/>
              <w:bottom w:type="dxa" w:w="110"/>
              <w:right w:type="dxa" w:w="140"/>
            </w:tcMar>
          </w:tcPr>
          <w:p>
            <w:r>
              <w:rPr>
                <w:color w:val="191D32"/>
                <w:sz w:val="19"/>
                <w:szCs w:val="19"/>
              </w:rPr>
              <w:t xml:space="preserve">2.</w:t>
            </w:r>
          </w:p>
        </w:tc>
        <w:tc>
          <w:tcPr>
            <w:tcW w:type="pct" w:w="40%"/>
            <w:tcMar>
              <w:top w:type="dxa" w:w="110"/>
              <w:left w:type="dxa" w:w="140"/>
              <w:bottom w:type="dxa" w:w="110"/>
              <w:right w:type="dxa" w:w="140"/>
            </w:tcMar>
          </w:tcPr>
          <w:p>
            <w:r>
              <w:rPr>
                <w:b/>
                <w:bCs/>
                <w:color w:val="191D32"/>
                <w:sz w:val="19"/>
                <w:szCs w:val="19"/>
              </w:rPr>
              <w:t xml:space="preserve">CIN</w:t>
            </w:r>
          </w:p>
        </w:tc>
        <w:tc>
          <w:tcPr>
            <w:tcW w:type="pct" w:w="53%"/>
            <w:tcMar>
              <w:top w:type="dxa" w:w="110"/>
              <w:left w:type="dxa" w:w="140"/>
              <w:bottom w:type="dxa" w:w="110"/>
              <w:right w:type="dxa" w:w="140"/>
            </w:tcMar>
          </w:tcPr>
          <w:p>
            <w:r>
              <w:rPr>
                <w:color w:val="191D32"/>
                <w:sz w:val="19"/>
                <w:szCs w:val="19"/>
              </w:rPr>
              <w:t xml:space="preserve">[ Corporate Identification Number ]</w:t>
            </w:r>
          </w:p>
        </w:tc>
      </w:tr>
      <w:tr>
        <w:tc>
          <w:tcPr>
            <w:tcW w:type="pct" w:w="7%"/>
            <w:tcMar>
              <w:top w:type="dxa" w:w="110"/>
              <w:left w:type="dxa" w:w="140"/>
              <w:bottom w:type="dxa" w:w="110"/>
              <w:right w:type="dxa" w:w="140"/>
            </w:tcMar>
          </w:tcPr>
          <w:p>
            <w:r>
              <w:rPr>
                <w:color w:val="191D32"/>
                <w:sz w:val="19"/>
                <w:szCs w:val="19"/>
              </w:rPr>
              <w:t xml:space="preserve">3.</w:t>
            </w:r>
          </w:p>
        </w:tc>
        <w:tc>
          <w:tcPr>
            <w:tcW w:type="pct" w:w="40%"/>
            <w:tcMar>
              <w:top w:type="dxa" w:w="110"/>
              <w:left w:type="dxa" w:w="140"/>
              <w:bottom w:type="dxa" w:w="110"/>
              <w:right w:type="dxa" w:w="140"/>
            </w:tcMar>
          </w:tcPr>
          <w:p>
            <w:r>
              <w:rPr>
                <w:b/>
                <w:bCs/>
                <w:color w:val="191D32"/>
                <w:sz w:val="19"/>
                <w:szCs w:val="19"/>
              </w:rPr>
              <w:t xml:space="preserve">Current registered office address</w:t>
            </w:r>
          </w:p>
        </w:tc>
        <w:tc>
          <w:tcPr>
            <w:tcW w:type="pct" w:w="53%"/>
            <w:tcMar>
              <w:top w:type="dxa" w:w="110"/>
              <w:left w:type="dxa" w:w="140"/>
              <w:bottom w:type="dxa" w:w="110"/>
              <w:right w:type="dxa" w:w="140"/>
            </w:tcMar>
          </w:tcPr>
          <w:p>
            <w:r>
              <w:rPr>
                <w:color w:val="191D32"/>
                <w:sz w:val="19"/>
                <w:szCs w:val="19"/>
              </w:rPr>
              <w:t xml:space="preserve">[ full registered office address ]</w:t>
            </w:r>
          </w:p>
        </w:tc>
      </w:tr>
      <w:tr>
        <w:tc>
          <w:tcPr>
            <w:tcW w:type="pct" w:w="7%"/>
            <w:tcMar>
              <w:top w:type="dxa" w:w="110"/>
              <w:left w:type="dxa" w:w="140"/>
              <w:bottom w:type="dxa" w:w="110"/>
              <w:right w:type="dxa" w:w="140"/>
            </w:tcMar>
          </w:tcPr>
          <w:p>
            <w:r>
              <w:rPr>
                <w:color w:val="191D32"/>
                <w:sz w:val="19"/>
                <w:szCs w:val="19"/>
              </w:rPr>
              <w:t xml:space="preserve">4.</w:t>
            </w:r>
          </w:p>
        </w:tc>
        <w:tc>
          <w:tcPr>
            <w:tcW w:type="pct" w:w="40%"/>
            <w:tcMar>
              <w:top w:type="dxa" w:w="110"/>
              <w:left w:type="dxa" w:w="140"/>
              <w:bottom w:type="dxa" w:w="110"/>
              <w:right w:type="dxa" w:w="140"/>
            </w:tcMar>
          </w:tcPr>
          <w:p>
            <w:r>
              <w:rPr>
                <w:b/>
                <w:bCs/>
                <w:color w:val="191D32"/>
                <w:sz w:val="19"/>
                <w:szCs w:val="19"/>
              </w:rPr>
              <w:t xml:space="preserve">Date of board meeting</w:t>
            </w:r>
          </w:p>
        </w:tc>
        <w:tc>
          <w:tcPr>
            <w:tcW w:type="pct" w:w="53%"/>
            <w:tcMar>
              <w:top w:type="dxa" w:w="110"/>
              <w:left w:type="dxa" w:w="140"/>
              <w:bottom w:type="dxa" w:w="110"/>
              <w:right w:type="dxa" w:w="140"/>
            </w:tcMar>
          </w:tcPr>
          <w:p>
            <w:r>
              <w:rPr>
                <w:color w:val="191D32"/>
                <w:sz w:val="19"/>
                <w:szCs w:val="19"/>
              </w:rPr>
              <w:t xml:space="preserve">[ DD/MM/YYYY ]</w:t>
            </w:r>
          </w:p>
        </w:tc>
      </w:tr>
      <w:tr>
        <w:tc>
          <w:tcPr>
            <w:tcW w:type="pct" w:w="7%"/>
            <w:tcMar>
              <w:top w:type="dxa" w:w="110"/>
              <w:left w:type="dxa" w:w="140"/>
              <w:bottom w:type="dxa" w:w="110"/>
              <w:right w:type="dxa" w:w="140"/>
            </w:tcMar>
          </w:tcPr>
          <w:p>
            <w:r>
              <w:rPr>
                <w:color w:val="191D32"/>
                <w:sz w:val="19"/>
                <w:szCs w:val="19"/>
              </w:rPr>
              <w:t xml:space="preserve">5.</w:t>
            </w:r>
          </w:p>
        </w:tc>
        <w:tc>
          <w:tcPr>
            <w:tcW w:type="pct" w:w="40%"/>
            <w:tcMar>
              <w:top w:type="dxa" w:w="110"/>
              <w:left w:type="dxa" w:w="140"/>
              <w:bottom w:type="dxa" w:w="110"/>
              <w:right w:type="dxa" w:w="140"/>
            </w:tcMar>
          </w:tcPr>
          <w:p>
            <w:r>
              <w:rPr>
                <w:b/>
                <w:bCs/>
                <w:color w:val="191D32"/>
                <w:sz w:val="19"/>
                <w:szCs w:val="19"/>
              </w:rPr>
              <w:t xml:space="preserve">Time of board meeting</w:t>
            </w:r>
          </w:p>
        </w:tc>
        <w:tc>
          <w:tcPr>
            <w:tcW w:type="pct" w:w="53%"/>
            <w:tcMar>
              <w:top w:type="dxa" w:w="110"/>
              <w:left w:type="dxa" w:w="140"/>
              <w:bottom w:type="dxa" w:w="110"/>
              <w:right w:type="dxa" w:w="140"/>
            </w:tcMar>
          </w:tcPr>
          <w:p>
            <w:r>
              <w:rPr>
                <w:color w:val="191D32"/>
                <w:sz w:val="19"/>
                <w:szCs w:val="19"/>
              </w:rPr>
              <w:t xml:space="preserve">[ HH:MM ]</w:t>
            </w:r>
          </w:p>
        </w:tc>
      </w:tr>
      <w:tr>
        <w:tc>
          <w:tcPr>
            <w:tcW w:type="pct" w:w="7%"/>
            <w:tcMar>
              <w:top w:type="dxa" w:w="110"/>
              <w:left w:type="dxa" w:w="140"/>
              <w:bottom w:type="dxa" w:w="110"/>
              <w:right w:type="dxa" w:w="140"/>
            </w:tcMar>
          </w:tcPr>
          <w:p>
            <w:r>
              <w:rPr>
                <w:color w:val="191D32"/>
                <w:sz w:val="19"/>
                <w:szCs w:val="19"/>
              </w:rPr>
              <w:t xml:space="preserve">6.</w:t>
            </w:r>
          </w:p>
        </w:tc>
        <w:tc>
          <w:tcPr>
            <w:tcW w:type="pct" w:w="40%"/>
            <w:tcMar>
              <w:top w:type="dxa" w:w="110"/>
              <w:left w:type="dxa" w:w="140"/>
              <w:bottom w:type="dxa" w:w="110"/>
              <w:right w:type="dxa" w:w="140"/>
            </w:tcMar>
          </w:tcPr>
          <w:p>
            <w:r>
              <w:rPr>
                <w:b/>
                <w:bCs/>
                <w:color w:val="191D32"/>
                <w:sz w:val="19"/>
                <w:szCs w:val="19"/>
              </w:rPr>
              <w:t xml:space="preserve">Place of board meeting</w:t>
            </w:r>
          </w:p>
        </w:tc>
        <w:tc>
          <w:tcPr>
            <w:tcW w:type="pct" w:w="53%"/>
            <w:tcMar>
              <w:top w:type="dxa" w:w="110"/>
              <w:left w:type="dxa" w:w="140"/>
              <w:bottom w:type="dxa" w:w="110"/>
              <w:right w:type="dxa" w:w="140"/>
            </w:tcMar>
          </w:tcPr>
          <w:p>
            <w:r>
              <w:rPr>
                <w:color w:val="191D32"/>
                <w:sz w:val="19"/>
                <w:szCs w:val="19"/>
              </w:rPr>
              <w:t xml:space="preserve">[ registered office, or other venue ]</w:t>
            </w:r>
          </w:p>
        </w:tc>
      </w:tr>
      <w:tr>
        <w:tc>
          <w:tcPr>
            <w:tcW w:type="pct" w:w="7%"/>
            <w:tcMar>
              <w:top w:type="dxa" w:w="110"/>
              <w:left w:type="dxa" w:w="140"/>
              <w:bottom w:type="dxa" w:w="110"/>
              <w:right w:type="dxa" w:w="140"/>
            </w:tcMar>
          </w:tcPr>
          <w:p>
            <w:r>
              <w:rPr>
                <w:color w:val="191D32"/>
                <w:sz w:val="19"/>
                <w:szCs w:val="19"/>
              </w:rPr>
              <w:t xml:space="preserve">7.</w:t>
            </w:r>
          </w:p>
        </w:tc>
        <w:tc>
          <w:tcPr>
            <w:tcW w:type="pct" w:w="40%"/>
            <w:tcMar>
              <w:top w:type="dxa" w:w="110"/>
              <w:left w:type="dxa" w:w="140"/>
              <w:bottom w:type="dxa" w:w="110"/>
              <w:right w:type="dxa" w:w="140"/>
            </w:tcMar>
          </w:tcPr>
          <w:p>
            <w:r>
              <w:rPr>
                <w:b/>
                <w:bCs/>
                <w:color w:val="191D32"/>
                <w:sz w:val="19"/>
                <w:szCs w:val="19"/>
              </w:rPr>
              <w:t xml:space="preserve">Directors present (confirming quorum)</w:t>
            </w:r>
          </w:p>
        </w:tc>
        <w:tc>
          <w:tcPr>
            <w:tcW w:type="pct" w:w="53%"/>
            <w:tcMar>
              <w:top w:type="dxa" w:w="110"/>
              <w:left w:type="dxa" w:w="140"/>
              <w:bottom w:type="dxa" w:w="110"/>
              <w:right w:type="dxa" w:w="140"/>
            </w:tcMar>
          </w:tcPr>
          <w:p>
            <w:r>
              <w:rPr>
                <w:color w:val="191D32"/>
                <w:sz w:val="19"/>
                <w:szCs w:val="19"/>
              </w:rPr>
              <w:t xml:space="preserve">[ names of all directors present ]</w:t>
            </w:r>
          </w:p>
        </w:tc>
      </w:tr>
      <w:tr>
        <w:tc>
          <w:tcPr>
            <w:tcW w:type="pct" w:w="7%"/>
            <w:tcMar>
              <w:top w:type="dxa" w:w="110"/>
              <w:left w:type="dxa" w:w="140"/>
              <w:bottom w:type="dxa" w:w="110"/>
              <w:right w:type="dxa" w:w="140"/>
            </w:tcMar>
          </w:tcPr>
          <w:p>
            <w:r>
              <w:rPr>
                <w:color w:val="191D32"/>
                <w:sz w:val="19"/>
                <w:szCs w:val="19"/>
              </w:rPr>
              <w:t xml:space="preserve">8.</w:t>
            </w:r>
          </w:p>
        </w:tc>
        <w:tc>
          <w:tcPr>
            <w:tcW w:type="pct" w:w="40%"/>
            <w:tcMar>
              <w:top w:type="dxa" w:w="110"/>
              <w:left w:type="dxa" w:w="140"/>
              <w:bottom w:type="dxa" w:w="110"/>
              <w:right w:type="dxa" w:w="140"/>
            </w:tcMar>
          </w:tcPr>
          <w:p>
            <w:r>
              <w:rPr>
                <w:b/>
                <w:bCs/>
                <w:color w:val="191D32"/>
                <w:sz w:val="19"/>
                <w:szCs w:val="19"/>
              </w:rPr>
              <w:t xml:space="preserve">Chairman of the meeting</w:t>
            </w:r>
          </w:p>
        </w:tc>
        <w:tc>
          <w:tcPr>
            <w:tcW w:type="pct" w:w="53%"/>
            <w:tcMar>
              <w:top w:type="dxa" w:w="110"/>
              <w:left w:type="dxa" w:w="140"/>
              <w:bottom w:type="dxa" w:w="110"/>
              <w:right w:type="dxa" w:w="140"/>
            </w:tcMar>
          </w:tcPr>
          <w:p>
            <w:r>
              <w:rPr>
                <w:color w:val="191D32"/>
                <w:sz w:val="19"/>
                <w:szCs w:val="19"/>
              </w:rPr>
              <w:t xml:space="preserve">[ name of the director chairing this meeting ]</w:t>
            </w:r>
          </w:p>
        </w:tc>
      </w:tr>
    </w:tbl>
    <w:p>
      <w:pPr>
        <w:spacing w:after="180"/>
      </w:pPr>
    </w:p>
    <w:p>
      <w:pPr>
        <w:pStyle w:val="Heading1"/>
        <w:spacing w:after="160" w:before="340"/>
      </w:pPr>
      <w:r>
        <w:rPr>
          <w:b/>
          <w:bCs/>
          <w:color w:val="191D32"/>
          <w:sz w:val="26"/>
          <w:szCs w:val="26"/>
        </w:rPr>
        <w:t xml:space="preserve">Particulars of the change</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gridCol w:w="100"/>
      </w:tblGrid>
      <w:tr>
        <w:tc>
          <w:tcPr>
            <w:tcW w:type="pct" w:w="7%"/>
            <w:tcMar>
              <w:top w:type="dxa" w:w="110"/>
              <w:left w:type="dxa" w:w="140"/>
              <w:bottom w:type="dxa" w:w="110"/>
              <w:right w:type="dxa" w:w="140"/>
            </w:tcMar>
          </w:tcPr>
          <w:p>
            <w:r>
              <w:rPr>
                <w:color w:val="191D32"/>
                <w:sz w:val="19"/>
                <w:szCs w:val="19"/>
              </w:rPr>
              <w:t xml:space="preserve">9.</w:t>
            </w:r>
          </w:p>
        </w:tc>
        <w:tc>
          <w:tcPr>
            <w:tcW w:type="pct" w:w="40%"/>
            <w:tcMar>
              <w:top w:type="dxa" w:w="110"/>
              <w:left w:type="dxa" w:w="140"/>
              <w:bottom w:type="dxa" w:w="110"/>
              <w:right w:type="dxa" w:w="140"/>
            </w:tcMar>
          </w:tcPr>
          <w:p>
            <w:r>
              <w:rPr>
                <w:b/>
                <w:bCs/>
                <w:color w:val="191D32"/>
                <w:sz w:val="19"/>
                <w:szCs w:val="19"/>
              </w:rPr>
              <w:t xml:space="preserve">Proposed new registered office address</w:t>
            </w:r>
          </w:p>
        </w:tc>
        <w:tc>
          <w:tcPr>
            <w:tcW w:type="pct" w:w="53%"/>
            <w:tcMar>
              <w:top w:type="dxa" w:w="110"/>
              <w:left w:type="dxa" w:w="140"/>
              <w:bottom w:type="dxa" w:w="110"/>
              <w:right w:type="dxa" w:w="140"/>
            </w:tcMar>
          </w:tcPr>
          <w:p>
            <w:r>
              <w:rPr>
                <w:color w:val="191D32"/>
                <w:sz w:val="19"/>
                <w:szCs w:val="19"/>
              </w:rPr>
              <w:t xml:space="preserve">[ full new address, including PIN code ]</w:t>
            </w:r>
          </w:p>
        </w:tc>
      </w:tr>
      <w:tr>
        <w:tc>
          <w:tcPr>
            <w:tcW w:type="pct" w:w="7%"/>
            <w:tcMar>
              <w:top w:type="dxa" w:w="110"/>
              <w:left w:type="dxa" w:w="140"/>
              <w:bottom w:type="dxa" w:w="110"/>
              <w:right w:type="dxa" w:w="140"/>
            </w:tcMar>
          </w:tcPr>
          <w:p>
            <w:r>
              <w:rPr>
                <w:color w:val="191D32"/>
                <w:sz w:val="19"/>
                <w:szCs w:val="19"/>
              </w:rPr>
              <w:t xml:space="preserve">10.</w:t>
            </w:r>
          </w:p>
        </w:tc>
        <w:tc>
          <w:tcPr>
            <w:tcW w:type="pct" w:w="40%"/>
            <w:tcMar>
              <w:top w:type="dxa" w:w="110"/>
              <w:left w:type="dxa" w:w="140"/>
              <w:bottom w:type="dxa" w:w="110"/>
              <w:right w:type="dxa" w:w="140"/>
            </w:tcMar>
          </w:tcPr>
          <w:p>
            <w:r>
              <w:rPr>
                <w:b/>
                <w:bCs/>
                <w:color w:val="191D32"/>
                <w:sz w:val="19"/>
                <w:szCs w:val="19"/>
              </w:rPr>
              <w:t xml:space="preserve">Confirmation the new address stays within local limits</w:t>
            </w:r>
          </w:p>
        </w:tc>
        <w:tc>
          <w:tcPr>
            <w:tcW w:type="pct" w:w="53%"/>
            <w:tcMar>
              <w:top w:type="dxa" w:w="110"/>
              <w:left w:type="dxa" w:w="140"/>
              <w:bottom w:type="dxa" w:w="110"/>
              <w:right w:type="dxa" w:w="140"/>
            </w:tcMar>
          </w:tcPr>
          <w:p>
            <w:r>
              <w:rPr>
                <w:color w:val="191D32"/>
                <w:sz w:val="19"/>
                <w:szCs w:val="19"/>
              </w:rPr>
              <w:t xml:space="preserve">[ confirm the new address is within the local limits of the same city, town, or village as the current registered office ]</w:t>
            </w:r>
          </w:p>
        </w:tc>
      </w:tr>
      <w:tr>
        <w:tc>
          <w:tcPr>
            <w:tcW w:type="pct" w:w="7%"/>
            <w:tcMar>
              <w:top w:type="dxa" w:w="110"/>
              <w:left w:type="dxa" w:w="140"/>
              <w:bottom w:type="dxa" w:w="110"/>
              <w:right w:type="dxa" w:w="140"/>
            </w:tcMar>
          </w:tcPr>
          <w:p>
            <w:r>
              <w:rPr>
                <w:color w:val="191D32"/>
                <w:sz w:val="19"/>
                <w:szCs w:val="19"/>
              </w:rPr>
              <w:t xml:space="preserve">11.</w:t>
            </w:r>
          </w:p>
        </w:tc>
        <w:tc>
          <w:tcPr>
            <w:tcW w:type="pct" w:w="40%"/>
            <w:tcMar>
              <w:top w:type="dxa" w:w="110"/>
              <w:left w:type="dxa" w:w="140"/>
              <w:bottom w:type="dxa" w:w="110"/>
              <w:right w:type="dxa" w:w="140"/>
            </w:tcMar>
          </w:tcPr>
          <w:p>
            <w:r>
              <w:rPr>
                <w:b/>
                <w:bCs/>
                <w:color w:val="191D32"/>
                <w:sz w:val="19"/>
                <w:szCs w:val="19"/>
              </w:rPr>
              <w:t xml:space="preserve">Effective date of the change</w:t>
            </w:r>
          </w:p>
        </w:tc>
        <w:tc>
          <w:tcPr>
            <w:tcW w:type="pct" w:w="53%"/>
            <w:tcMar>
              <w:top w:type="dxa" w:w="110"/>
              <w:left w:type="dxa" w:w="140"/>
              <w:bottom w:type="dxa" w:w="110"/>
              <w:right w:type="dxa" w:w="140"/>
            </w:tcMar>
          </w:tcPr>
          <w:p>
            <w:r>
              <w:rPr>
                <w:color w:val="191D32"/>
                <w:sz w:val="19"/>
                <w:szCs w:val="19"/>
              </w:rPr>
              <w:t xml:space="preserve">[ DD/MM/YYYY ]</w:t>
            </w:r>
          </w:p>
        </w:tc>
      </w:tr>
      <w:tr>
        <w:tc>
          <w:tcPr>
            <w:tcW w:type="pct" w:w="7%"/>
            <w:tcMar>
              <w:top w:type="dxa" w:w="110"/>
              <w:left w:type="dxa" w:w="140"/>
              <w:bottom w:type="dxa" w:w="110"/>
              <w:right w:type="dxa" w:w="140"/>
            </w:tcMar>
          </w:tcPr>
          <w:p>
            <w:r>
              <w:rPr>
                <w:color w:val="191D32"/>
                <w:sz w:val="19"/>
                <w:szCs w:val="19"/>
              </w:rPr>
              <w:t xml:space="preserve">12.</w:t>
            </w:r>
          </w:p>
        </w:tc>
        <w:tc>
          <w:tcPr>
            <w:tcW w:type="pct" w:w="40%"/>
            <w:tcMar>
              <w:top w:type="dxa" w:w="110"/>
              <w:left w:type="dxa" w:w="140"/>
              <w:bottom w:type="dxa" w:w="110"/>
              <w:right w:type="dxa" w:w="140"/>
            </w:tcMar>
          </w:tcPr>
          <w:p>
            <w:r>
              <w:rPr>
                <w:b/>
                <w:bCs/>
                <w:color w:val="191D32"/>
                <w:sz w:val="19"/>
                <w:szCs w:val="19"/>
              </w:rPr>
              <w:t xml:space="preserve">Proof-of-address reference for the new premises</w:t>
            </w:r>
          </w:p>
        </w:tc>
        <w:tc>
          <w:tcPr>
            <w:tcW w:type="pct" w:w="53%"/>
            <w:tcMar>
              <w:top w:type="dxa" w:w="110"/>
              <w:left w:type="dxa" w:w="140"/>
              <w:bottom w:type="dxa" w:w="110"/>
              <w:right w:type="dxa" w:w="140"/>
            </w:tcMar>
          </w:tcPr>
          <w:p>
            <w:r>
              <w:rPr>
                <w:color w:val="191D32"/>
                <w:sz w:val="19"/>
                <w:szCs w:val="19"/>
              </w:rPr>
              <w:t xml:space="preserve">[ ownership deed reference, or rent agreement plus owner NOC, dated ]</w:t>
            </w:r>
          </w:p>
        </w:tc>
      </w:tr>
    </w:tbl>
    <w:p>
      <w:pPr>
        <w:spacing w:after="180"/>
      </w:pP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A move that stays within the same State but crosses the local limits confirmed in item 10 may need a special resolution rather than board approval alone. BuildWright has not independently confirmed that threshold to a specific rule or distance, so this template does not cover that case. If item 10 cannot be confirmed, stop here and talk to BuildWright directly rather than proceeding on this template alone.</w:t>
      </w: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Separately, confirm the new address falls under the same, or a jurisdiction-compatible, Registrar of Companies. MCA Notification S.O. 4850(E), effective 16 February 2026, split ROC jurisdiction by geography within Delhi, Uttar Pradesh, Maharashtra, and West Bengal, so some moves that stay within the same State and the same local limits are now cross-ROC and need the intra-state, inter-ROC-jurisdiction variant of Form INC-23 under Rule 28. A plain INC-22 does not cover that case. This jurisdiction check applies wherever a state has more than one ROC, which can include states beyond those four named ones.</w:t>
      </w:r>
    </w:p>
    <w:p>
      <w:pPr>
        <w:pStyle w:val="Heading1"/>
        <w:spacing w:after="160" w:before="340"/>
      </w:pPr>
      <w:r>
        <w:rPr>
          <w:b/>
          <w:bCs/>
          <w:color w:val="191D32"/>
          <w:sz w:val="26"/>
          <w:szCs w:val="26"/>
        </w:rPr>
        <w:t xml:space="preserve">Resolution</w:t>
      </w:r>
    </w:p>
    <w:p>
      <w:pPr>
        <w:spacing w:after="180" w:line="300"/>
      </w:pPr>
      <w:r>
        <w:rPr>
          <w:b/>
          <w:bCs/>
          <w:color w:val="191D32"/>
          <w:sz w:val="21"/>
          <w:szCs w:val="21"/>
        </w:rPr>
        <w:t xml:space="preserve">RESOLVED THAT  </w:t>
      </w:r>
      <w:r>
        <w:rPr>
          <w:color w:val="191D32"/>
          <w:sz w:val="21"/>
          <w:szCs w:val="21"/>
        </w:rPr>
        <w:t xml:space="preserve">the Board approves the change of the Company's registered office as set out in items 9 to 12 above, the new address being within the same State and within the local limits of the same city, town, or village as the Company's current registered office, with effect from the date in item 11.</w:t>
      </w:r>
    </w:p>
    <w:p>
      <w:pPr>
        <w:spacing w:after="180" w:line="300"/>
      </w:pPr>
      <w:r>
        <w:rPr>
          <w:b/>
          <w:bCs/>
          <w:color w:val="191D32"/>
          <w:sz w:val="21"/>
          <w:szCs w:val="21"/>
        </w:rPr>
        <w:t xml:space="preserve">RESOLVED FURTHER THAT  </w:t>
      </w:r>
      <w:r>
        <w:rPr>
          <w:color w:val="191D32"/>
          <w:sz w:val="21"/>
          <w:szCs w:val="21"/>
        </w:rPr>
        <w:t xml:space="preserve">[ name of the authorised director, or the Company Secretary where the Company has one ] be and is hereby authorised, on behalf of the Company, to file Form INC-22 with the Registrar of Companies within 30 days, counting from the effective date of the change in item 11, together with the proof of address referenced in item 12.</w:t>
      </w:r>
    </w:p>
    <w:p>
      <w:pPr>
        <w:pStyle w:val="Heading1"/>
        <w:spacing w:after="160" w:before="340"/>
      </w:pPr>
      <w:r>
        <w:rPr>
          <w:b/>
          <w:bCs/>
          <w:color w:val="191D32"/>
          <w:sz w:val="26"/>
          <w:szCs w:val="26"/>
        </w:rPr>
        <w:t xml:space="preserve">How this gets filed</w:t>
      </w:r>
    </w:p>
    <w:p>
      <w:pPr>
        <w:spacing w:after="180" w:line="300"/>
      </w:pPr>
      <w:r>
        <w:rPr>
          <w:color w:val="191D32"/>
          <w:sz w:val="21"/>
          <w:szCs w:val="21"/>
        </w:rPr>
        <w:t xml:space="preserve">Once signed, this resolution is attached as a PDF to Form INC-22, wet-signed then scanned, or digitally signed where the authorised signatory already holds a Digital Signature Certificate, which INC-22 requires regardless of how this resolution itself was signed.</w:t>
      </w: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No MCA per-attachment file-size cap for Form INC-22 was independently verified in this pass. This is the same gap already flagged for BuildWright's existing DIR-2 template. Confirm the current upload limit on the MCA portal before you attach the file, rather than relying on an unverified figure.</w:t>
      </w:r>
    </w:p>
    <w:p>
      <w:pPr>
        <w:pBdr>
          <w:left w:val="single" w:color="FF6B35" w:sz="24" w:space="14"/>
        </w:pBdr>
        <w:spacing w:after="220" w:before="100" w:line="290"/>
        <w:ind w:left="300"/>
      </w:pPr>
      <w:r>
        <w:rPr>
          <w:b/>
          <w:bCs/>
          <w:color w:val="FF6B35"/>
          <w:sz w:val="19"/>
          <w:szCs w:val="19"/>
        </w:rPr>
        <w:t xml:space="preserve">Not covered by this template.  </w:t>
      </w:r>
      <w:r>
        <w:rPr>
          <w:color w:val="191D32"/>
          <w:sz w:val="19"/>
          <w:szCs w:val="19"/>
        </w:rPr>
        <w:t xml:space="preserve">Any move that crosses local limits within the same state falls outside this template. That is an unconfirmed threshold and not yet a packaged BuildWright service. Talk to BuildWright directly rather than proceeding here. Moving the registered office to a DIFFERENT STATE is also outside this template's scope. That move requires a special resolution passed by 75% of the members, a Form INC-26 newspaper advertisement, individual notice to every creditor and depositor, a 21-day statutory objection window, and Regional Director approval through Form INC-23, then Form INC-28, before Form INC-22 finally records the new address. None of that interstate procedure is provided by this board-resolution-only pack. See CHG-S2 for the full interstate service. The live inc-22-office-change service covers the same-state, same-local-limits INC-22 filing itself once this resolution is signed.</w:t>
      </w:r>
    </w:p>
    <w:p>
      <w:pPr>
        <w:pStyle w:val="Heading1"/>
        <w:spacing w:after="160" w:before="340"/>
      </w:pPr>
      <w:r>
        <w:rPr>
          <w:b/>
          <w:bCs/>
          <w:color w:val="191D32"/>
          <w:sz w:val="26"/>
          <w:szCs w:val="26"/>
        </w:rPr>
        <w:t xml:space="preserve">Minutes and signing</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Minutes of this meeting, recording this resolution, must be signed by the Chairman of this meeting, or by the Chairman of the next succeeding meeting, under Section 118 of the Companies Act, 2013. Every page of the minutes must be initialled, and the last page must be signed in full, with the date and place at which it was signed.</w:t>
      </w:r>
    </w:p>
    <w:p>
      <w:pPr>
        <w:spacing w:after="220" w:line="300"/>
      </w:pPr>
      <w:r>
        <w:rPr>
          <w:color w:val="191D32"/>
          <w:sz w:val="21"/>
          <w:szCs w:val="21"/>
        </w:rPr>
        <w:t xml:space="preserve">Signature of Chairman: ______________________________     Date: [ DD/MM/YYYY ]     Place: [ city, state ]</w:t>
      </w:r>
    </w:p>
    <w:p>
      <w:pPr>
        <w:pStyle w:val="Heading1"/>
        <w:spacing w:after="160" w:before="340"/>
      </w:pPr>
      <w:r>
        <w:rPr>
          <w:b/>
          <w:bCs/>
          <w:color w:val="191D32"/>
          <w:sz w:val="26"/>
          <w:szCs w:val="26"/>
        </w:rPr>
        <w:t xml:space="preserve">Certified true copy, for submission outside the company</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A certified true copy of this resolution, for submission to a bank, the Registrar of Companies, or any other external party, must be signed by the Managing Director, by any two directors acting jointly, or by the Company Secretary where the company has one. No single statutory provision names one exclusive signatory for a certified true copy, but every source reviewed agrees on the same boundary: a director, the Managing Director, or the Company Secretary, never an unauthorised member of staff.</w:t>
      </w:r>
    </w:p>
    <w:p>
      <w:pPr>
        <w:spacing w:after="100" w:line="300"/>
      </w:pPr>
      <w:r>
        <w:rPr>
          <w:color w:val="191D32"/>
          <w:sz w:val="21"/>
          <w:szCs w:val="21"/>
        </w:rPr>
        <w:t xml:space="preserve">Certified to be a true copy of the resolution passed at the meeting of the Board of Directors held on [ DD/MM/YYYY ].</w:t>
      </w:r>
    </w:p>
    <w:p>
      <w:pPr>
        <w:spacing w:after="200" w:line="300"/>
      </w:pPr>
      <w:r>
        <w:rPr>
          <w:color w:val="6B7280"/>
          <w:sz w:val="19"/>
          <w:szCs w:val="19"/>
        </w:rPr>
        <w:t xml:space="preserve">Sign whichever one of the three below applies. Strike out the other two.</w:t>
      </w:r>
    </w:p>
    <w:p>
      <w:pPr>
        <w:spacing w:after="60" w:before="260"/>
      </w:pPr>
      <w:r>
        <w:rPr>
          <w:b/>
          <w:bCs/>
          <w:color w:val="191D32"/>
          <w:sz w:val="21"/>
          <w:szCs w:val="21"/>
        </w:rPr>
        <w:t xml:space="preserve">Managing Director</w:t>
      </w:r>
    </w:p>
    <w:p>
      <w:pPr>
        <w:spacing w:after="70" w:line="300"/>
      </w:pPr>
      <w:r>
        <w:rPr>
          <w:color w:val="191D32"/>
          <w:sz w:val="21"/>
          <w:szCs w:val="21"/>
        </w:rPr>
        <w:t xml:space="preserve">Name: [ full legal name ]</w:t>
      </w:r>
    </w:p>
    <w:p>
      <w:pPr>
        <w:spacing w:after="70" w:line="300"/>
      </w:pPr>
      <w:r>
        <w:rPr>
          <w:color w:val="191D32"/>
          <w:sz w:val="21"/>
          <w:szCs w:val="21"/>
        </w:rPr>
        <w:t xml:space="preserve">Signature: ______________________________     Date: [ DD/MM/YYYY ]</w:t>
      </w:r>
    </w:p>
    <w:p>
      <w:pPr>
        <w:spacing w:after="60" w:before="260"/>
      </w:pPr>
      <w:r>
        <w:rPr>
          <w:b/>
          <w:bCs/>
          <w:color w:val="191D32"/>
          <w:sz w:val="21"/>
          <w:szCs w:val="21"/>
        </w:rPr>
        <w:t xml:space="preserve">Director 1 and Director 2, jointly</w:t>
      </w:r>
    </w:p>
    <w:p>
      <w:pPr>
        <w:spacing w:after="70" w:line="300"/>
      </w:pPr>
      <w:r>
        <w:rPr>
          <w:color w:val="191D32"/>
          <w:sz w:val="21"/>
          <w:szCs w:val="21"/>
        </w:rPr>
        <w:t xml:space="preserve">Name (Director 1): [ full legal name ]</w:t>
      </w:r>
    </w:p>
    <w:p>
      <w:pPr>
        <w:spacing w:after="160" w:line="300"/>
      </w:pPr>
      <w:r>
        <w:rPr>
          <w:color w:val="191D32"/>
          <w:sz w:val="21"/>
          <w:szCs w:val="21"/>
        </w:rPr>
        <w:t xml:space="preserve">Signature: ______________________________     Date: [ DD/MM/YYYY ]</w:t>
      </w:r>
    </w:p>
    <w:p>
      <w:pPr>
        <w:spacing w:after="70" w:line="300"/>
      </w:pPr>
      <w:r>
        <w:rPr>
          <w:color w:val="191D32"/>
          <w:sz w:val="21"/>
          <w:szCs w:val="21"/>
        </w:rPr>
        <w:t xml:space="preserve">Name (Director 2): [ full legal name ]</w:t>
      </w:r>
    </w:p>
    <w:p>
      <w:pPr>
        <w:spacing w:after="70" w:line="300"/>
      </w:pPr>
      <w:r>
        <w:rPr>
          <w:color w:val="191D32"/>
          <w:sz w:val="21"/>
          <w:szCs w:val="21"/>
        </w:rPr>
        <w:t xml:space="preserve">Signature: ______________________________     Date: [ DD/MM/YYYY ]</w:t>
      </w:r>
    </w:p>
    <w:p>
      <w:pPr>
        <w:spacing w:after="60" w:before="260"/>
      </w:pPr>
      <w:r>
        <w:rPr>
          <w:b/>
          <w:bCs/>
          <w:color w:val="191D32"/>
          <w:sz w:val="21"/>
          <w:szCs w:val="21"/>
        </w:rPr>
        <w:t xml:space="preserve">Company Secretary</w:t>
      </w:r>
    </w:p>
    <w:p>
      <w:pPr>
        <w:spacing w:after="70" w:line="300"/>
      </w:pPr>
      <w:r>
        <w:rPr>
          <w:color w:val="191D32"/>
          <w:sz w:val="21"/>
          <w:szCs w:val="21"/>
        </w:rPr>
        <w:t xml:space="preserve">Name: [ full legal name ]</w:t>
      </w:r>
    </w:p>
    <w:p>
      <w:pPr>
        <w:spacing w:after="70" w:line="300"/>
      </w:pPr>
      <w:r>
        <w:rPr>
          <w:color w:val="191D32"/>
          <w:sz w:val="21"/>
          <w:szCs w:val="21"/>
        </w:rPr>
        <w:t xml:space="preserve">Signature: ______________________________     Date: [ DD/MM/YYYY ]</w:t>
      </w:r>
    </w:p>
    <w:p>
      <w:pPr>
        <w:pBdr>
          <w:top w:val="single" w:color="D9DCE3" w:sz="6" w:space="16"/>
        </w:pBdr>
        <w:spacing w:before="420"/>
      </w:pPr>
    </w:p>
    <w:p>
      <w:pPr>
        <w:spacing w:after="90" w:line="300"/>
      </w:pPr>
      <w:r>
        <w:rPr>
          <w:color w:val="6B7280"/>
          <w:sz w:val="18"/>
          <w:szCs w:val="18"/>
        </w:rPr>
        <w:t xml:space="preserve">This template is provided free by BuildWright. It is a general document, it is not drafted for your situation, and it is not legal advice. Have it reviewed before you sign or file it. BuildWright provides documentation, filing, and compliance facilitation.</w:t>
      </w:r>
    </w:p>
    <w:p>
      <w:pPr>
        <w:spacing w:after="90" w:line="300"/>
      </w:pPr>
      <w:r>
        <w:rPr>
          <w:color w:val="6B7280"/>
          <w:sz w:val="18"/>
          <w:szCs w:val="18"/>
        </w:rPr>
        <w:t xml:space="preserve">Need more than the resolution, the actual ROC filing done for you? BuildWright handles the full filing sequence: PAS-3 for share allotments and SH-4 registration with the correct stamp duty for share transfers (both coming via CHG-S3/CHG-S4), DIR-12 for adding a director (live today: add-director-dir12) and INC-22 for a same-state office move (live today: inc-22-office-change), or the fuller special-resolution-plus-Regional-Director process if you're moving to another state (coming via CHG-S2).</w:t>
      </w:r>
    </w:p>
    <w:p>
      <w:pPr>
        <w:spacing w:after="140" w:line="300"/>
      </w:pPr>
      <w:r>
        <w:rPr>
          <w:b/>
          <w:bCs/>
          <w:color w:val="FF6B35"/>
          <w:sz w:val="18"/>
          <w:szCs w:val="18"/>
        </w:rPr>
        <w:t xml:space="preserve">buildwright.co.in</w:t>
      </w:r>
    </w:p>
    <w:sectPr>
      <w:pgSz w:w="11906" w:h="16838" w:orient="portrait"/>
      <w:pgMar w:top="1150" w:right="1150" w:bottom="115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Roman"/>
      <w:lvlText w:val="(%1)"/>
      <w:lvlJc w:val="start"/>
      <w:pPr>
        <w:ind w:left="900" w:hanging="3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91D32"/>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resolution, registered office change, same state and same local limits only, fillable template</dc:title>
  <dc:creator>BuildWright</dc:creator>
  <dc:description>A blank, fillable board resolution changing a company's registered office within the same state and within the local limits of the same city, town, or village, under Section 12 of the Companies Act, 2013. Does not cover a move that crosses those local limits or a move to a different state. A general document. It has not been drafted for your company's specific situation.</dc:description>
  <cp:lastModifiedBy>BuildWright</cp:lastModifiedBy>
  <cp:revision>1</cp:revision>
  <dcterms:created xsi:type="dcterms:W3CDTF">2026-07-26T18:27:04.524Z</dcterms:created>
  <dcterms:modified xsi:type="dcterms:W3CDTF">2026-07-26T18:27:04.524Z</dcterms:modified>
</cp:coreProperties>
</file>

<file path=docProps/custom.xml><?xml version="1.0" encoding="utf-8"?>
<Properties xmlns="http://schemas.openxmlformats.org/officeDocument/2006/custom-properties" xmlns:vt="http://schemas.openxmlformats.org/officeDocument/2006/docPropsVTypes"/>
</file>