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806B1" w14:textId="77777777" w:rsidR="001F1EA4" w:rsidRDefault="00493A21">
      <w:pPr>
        <w:jc w:val="center"/>
        <w:rPr>
          <w:sz w:val="36"/>
          <w:szCs w:val="36"/>
        </w:rPr>
      </w:pPr>
      <w:r>
        <w:rPr>
          <w:sz w:val="36"/>
          <w:szCs w:val="36"/>
        </w:rPr>
        <w:t>SMLOUVA O OBCHODNÍM ZASTOUPENÍ</w:t>
      </w:r>
    </w:p>
    <w:p w14:paraId="1AB58E98" w14:textId="618E548E" w:rsidR="001F1EA4" w:rsidRPr="00420854" w:rsidRDefault="00493A21">
      <w:pPr>
        <w:jc w:val="center"/>
        <w:rPr>
          <w:szCs w:val="24"/>
        </w:rPr>
      </w:pPr>
      <w:r w:rsidRPr="00420854">
        <w:rPr>
          <w:szCs w:val="24"/>
        </w:rPr>
        <w:t>uzavřená ve smyslu § 2483 zákona č. 89/2012 Sb., občansk</w:t>
      </w:r>
      <w:r w:rsidR="00A61A11" w:rsidRPr="00420854">
        <w:rPr>
          <w:szCs w:val="24"/>
        </w:rPr>
        <w:t>ý zákoník</w:t>
      </w:r>
      <w:r w:rsidRPr="00420854">
        <w:rPr>
          <w:szCs w:val="24"/>
        </w:rPr>
        <w:t>, ve znění pozdějších předpisů</w:t>
      </w:r>
    </w:p>
    <w:p w14:paraId="422C0BF9" w14:textId="77777777" w:rsidR="001F1EA4" w:rsidRPr="00420854" w:rsidRDefault="00493A21">
      <w:pPr>
        <w:jc w:val="center"/>
        <w:rPr>
          <w:szCs w:val="24"/>
        </w:rPr>
      </w:pPr>
      <w:r w:rsidRPr="00420854">
        <w:rPr>
          <w:szCs w:val="24"/>
        </w:rPr>
        <w:t>(dále jen „</w:t>
      </w:r>
      <w:r w:rsidRPr="00420854">
        <w:rPr>
          <w:b/>
          <w:szCs w:val="24"/>
        </w:rPr>
        <w:t>občanský zákoník</w:t>
      </w:r>
      <w:r w:rsidRPr="00420854">
        <w:rPr>
          <w:szCs w:val="24"/>
        </w:rPr>
        <w:t>“)</w:t>
      </w:r>
    </w:p>
    <w:p w14:paraId="2ED4367C" w14:textId="77777777" w:rsidR="001F1EA4" w:rsidRPr="00420854" w:rsidRDefault="00493A21">
      <w:pPr>
        <w:pStyle w:val="Odstavecseseznamem"/>
        <w:numPr>
          <w:ilvl w:val="0"/>
          <w:numId w:val="1"/>
        </w:numPr>
        <w:spacing w:after="240"/>
        <w:ind w:left="0" w:firstLine="0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Smluvní strany</w:t>
      </w:r>
    </w:p>
    <w:p w14:paraId="1E3B0386" w14:textId="77777777" w:rsidR="001F1EA4" w:rsidRPr="00420854" w:rsidRDefault="001F1EA4">
      <w:pPr>
        <w:pStyle w:val="Odstavecseseznamem"/>
        <w:ind w:left="0"/>
        <w:rPr>
          <w:b/>
          <w:szCs w:val="24"/>
          <w:u w:val="single"/>
        </w:rPr>
      </w:pPr>
    </w:p>
    <w:p w14:paraId="5902E24D" w14:textId="77777777" w:rsidR="001F1EA4" w:rsidRPr="00420854" w:rsidRDefault="00493A21">
      <w:pPr>
        <w:pStyle w:val="Odstavecseseznamem"/>
        <w:spacing w:after="0" w:line="360" w:lineRule="auto"/>
        <w:ind w:left="0"/>
        <w:rPr>
          <w:i/>
          <w:szCs w:val="24"/>
        </w:rPr>
      </w:pPr>
      <w:r w:rsidRPr="00420854">
        <w:rPr>
          <w:szCs w:val="24"/>
        </w:rPr>
        <w:t xml:space="preserve">(Obch. </w:t>
      </w:r>
      <w:proofErr w:type="gramStart"/>
      <w:r w:rsidRPr="00420854">
        <w:rPr>
          <w:szCs w:val="24"/>
        </w:rPr>
        <w:t>firma</w:t>
      </w:r>
      <w:proofErr w:type="gramEnd"/>
      <w:r w:rsidRPr="00420854">
        <w:rPr>
          <w:szCs w:val="24"/>
        </w:rPr>
        <w:t xml:space="preserve"> či jméno a příjmení):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</w:t>
      </w:r>
      <w:r w:rsidRPr="00420854">
        <w:rPr>
          <w:i/>
          <w:szCs w:val="24"/>
        </w:rPr>
        <w:t>)</w:t>
      </w:r>
    </w:p>
    <w:p w14:paraId="5EB08DC5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 xml:space="preserve">sídlo či trvalé bydliště: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</w:t>
      </w:r>
      <w:r w:rsidRPr="00420854">
        <w:rPr>
          <w:i/>
          <w:szCs w:val="24"/>
        </w:rPr>
        <w:t>)</w:t>
      </w:r>
    </w:p>
    <w:p w14:paraId="363BAAB0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 xml:space="preserve">IČO či dat. </w:t>
      </w:r>
      <w:proofErr w:type="gramStart"/>
      <w:r w:rsidRPr="00420854">
        <w:rPr>
          <w:szCs w:val="24"/>
        </w:rPr>
        <w:t>nar.</w:t>
      </w:r>
      <w:proofErr w:type="gramEnd"/>
      <w:r w:rsidRPr="00420854">
        <w:rPr>
          <w:szCs w:val="24"/>
        </w:rPr>
        <w:t xml:space="preserve">: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2A0FFFE6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 xml:space="preserve">zapsaná v obchodním rejstříku vedeném </w:t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  <w:r w:rsidRPr="00420854">
        <w:rPr>
          <w:szCs w:val="24"/>
        </w:rPr>
        <w:t xml:space="preserve">, spisová značka </w:t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42D8EBDA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 xml:space="preserve">zastoupen/a: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  <w:r w:rsidRPr="00420854">
        <w:rPr>
          <w:i/>
          <w:szCs w:val="24"/>
        </w:rPr>
        <w:t>,</w:t>
      </w:r>
      <w:r w:rsidRPr="00420854">
        <w:rPr>
          <w:szCs w:val="24"/>
        </w:rPr>
        <w:t xml:space="preserve"> </w:t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 funkci)</w:t>
      </w:r>
    </w:p>
    <w:p w14:paraId="16DCE71C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>bankovní spojení: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 název banky)</w:t>
      </w:r>
    </w:p>
    <w:p w14:paraId="339AD9A4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>číslo účtu: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569C3275" w14:textId="77777777" w:rsidR="001F1EA4" w:rsidRPr="00420854" w:rsidRDefault="00493A21">
      <w:pPr>
        <w:ind w:left="0"/>
        <w:rPr>
          <w:szCs w:val="24"/>
        </w:rPr>
      </w:pPr>
      <w:r w:rsidRPr="00420854">
        <w:rPr>
          <w:szCs w:val="24"/>
        </w:rPr>
        <w:t>(dále jen „</w:t>
      </w:r>
      <w:r w:rsidRPr="00420854">
        <w:rPr>
          <w:b/>
          <w:szCs w:val="24"/>
        </w:rPr>
        <w:t>zastoupený</w:t>
      </w:r>
      <w:r w:rsidRPr="00420854">
        <w:rPr>
          <w:szCs w:val="24"/>
        </w:rPr>
        <w:t>“)</w:t>
      </w:r>
    </w:p>
    <w:p w14:paraId="41489017" w14:textId="77777777" w:rsidR="001F1EA4" w:rsidRPr="00420854" w:rsidRDefault="001F1EA4">
      <w:pPr>
        <w:pStyle w:val="Odstavecseseznamem"/>
        <w:spacing w:line="360" w:lineRule="auto"/>
        <w:ind w:left="0"/>
        <w:rPr>
          <w:b/>
          <w:szCs w:val="24"/>
        </w:rPr>
      </w:pPr>
    </w:p>
    <w:p w14:paraId="17CC972D" w14:textId="77777777" w:rsidR="001F1EA4" w:rsidRPr="00420854" w:rsidRDefault="00493A21">
      <w:pPr>
        <w:pStyle w:val="Odstavecseseznamem"/>
        <w:spacing w:line="360" w:lineRule="auto"/>
        <w:ind w:left="0"/>
        <w:rPr>
          <w:b/>
          <w:szCs w:val="24"/>
        </w:rPr>
      </w:pPr>
      <w:r w:rsidRPr="00420854">
        <w:rPr>
          <w:b/>
          <w:szCs w:val="24"/>
        </w:rPr>
        <w:t>a</w:t>
      </w:r>
    </w:p>
    <w:p w14:paraId="1ED06481" w14:textId="77777777" w:rsidR="001F1EA4" w:rsidRPr="00420854" w:rsidRDefault="001F1EA4">
      <w:pPr>
        <w:pStyle w:val="Odstavecseseznamem"/>
        <w:spacing w:after="0" w:line="360" w:lineRule="auto"/>
        <w:ind w:left="0"/>
        <w:rPr>
          <w:szCs w:val="24"/>
        </w:rPr>
      </w:pPr>
    </w:p>
    <w:p w14:paraId="3BAC6375" w14:textId="77777777" w:rsidR="001F1EA4" w:rsidRPr="00420854" w:rsidRDefault="00493A21">
      <w:pPr>
        <w:pStyle w:val="Odstavecseseznamem"/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>(Jméno a příjmení):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</w:t>
      </w:r>
      <w:r w:rsidRPr="00420854">
        <w:rPr>
          <w:i/>
          <w:szCs w:val="24"/>
        </w:rPr>
        <w:t>)</w:t>
      </w:r>
    </w:p>
    <w:p w14:paraId="5F705AFD" w14:textId="77777777" w:rsidR="001F1EA4" w:rsidRPr="00420854" w:rsidRDefault="00493A21">
      <w:pPr>
        <w:spacing w:after="0" w:line="360" w:lineRule="auto"/>
        <w:ind w:left="0"/>
        <w:rPr>
          <w:i/>
          <w:szCs w:val="24"/>
        </w:rPr>
      </w:pPr>
      <w:r w:rsidRPr="00420854">
        <w:rPr>
          <w:szCs w:val="24"/>
        </w:rPr>
        <w:t xml:space="preserve">sídlo: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</w:t>
      </w:r>
      <w:r w:rsidRPr="00420854">
        <w:rPr>
          <w:i/>
          <w:szCs w:val="24"/>
        </w:rPr>
        <w:t>)</w:t>
      </w:r>
    </w:p>
    <w:p w14:paraId="745F93CB" w14:textId="77777777" w:rsidR="001F1EA4" w:rsidRPr="00420854" w:rsidRDefault="00493A21">
      <w:pPr>
        <w:spacing w:after="0" w:line="360" w:lineRule="auto"/>
        <w:ind w:left="0"/>
        <w:rPr>
          <w:i/>
          <w:szCs w:val="24"/>
        </w:rPr>
      </w:pPr>
      <w:r w:rsidRPr="00420854">
        <w:rPr>
          <w:szCs w:val="24"/>
        </w:rPr>
        <w:t>IČO:</w:t>
      </w:r>
      <w:r w:rsidRPr="00420854">
        <w:rPr>
          <w:szCs w:val="24"/>
        </w:rPr>
        <w:tab/>
      </w:r>
      <w:r w:rsidRPr="00420854">
        <w:rPr>
          <w:szCs w:val="24"/>
        </w:rPr>
        <w:tab/>
        <w:t xml:space="preserve">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11B5C491" w14:textId="291973AA" w:rsidR="001F1EA4" w:rsidRDefault="00493A21">
      <w:pPr>
        <w:spacing w:after="0" w:line="360" w:lineRule="auto"/>
        <w:ind w:left="0"/>
        <w:rPr>
          <w:i/>
          <w:szCs w:val="24"/>
        </w:rPr>
      </w:pPr>
      <w:r w:rsidRPr="00420854">
        <w:rPr>
          <w:szCs w:val="24"/>
        </w:rPr>
        <w:t>DIČ:</w:t>
      </w:r>
      <w:r w:rsidRPr="00420854">
        <w:rPr>
          <w:szCs w:val="24"/>
        </w:rPr>
        <w:tab/>
      </w:r>
      <w:r w:rsidRPr="00420854">
        <w:rPr>
          <w:szCs w:val="24"/>
        </w:rPr>
        <w:tab/>
        <w:t xml:space="preserve"> 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00364DD3" w14:textId="77777777" w:rsidR="00A72A9C" w:rsidRPr="00420854" w:rsidRDefault="00A72A9C" w:rsidP="00A72A9C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>bankovní spojení: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 název banky)</w:t>
      </w:r>
    </w:p>
    <w:p w14:paraId="3E544B34" w14:textId="77777777" w:rsidR="00A72A9C" w:rsidRPr="00420854" w:rsidRDefault="00A72A9C" w:rsidP="00A72A9C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>číslo účtu:</w:t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</w:p>
    <w:p w14:paraId="507704F1" w14:textId="77777777" w:rsidR="00A72A9C" w:rsidRPr="00420854" w:rsidRDefault="00A72A9C">
      <w:pPr>
        <w:spacing w:after="0" w:line="360" w:lineRule="auto"/>
        <w:ind w:left="0"/>
        <w:rPr>
          <w:i/>
          <w:szCs w:val="24"/>
        </w:rPr>
      </w:pPr>
    </w:p>
    <w:p w14:paraId="05429EDC" w14:textId="77777777" w:rsidR="001F1EA4" w:rsidRPr="00420854" w:rsidRDefault="00493A21">
      <w:pPr>
        <w:spacing w:after="0" w:line="360" w:lineRule="auto"/>
        <w:ind w:left="0"/>
        <w:rPr>
          <w:szCs w:val="24"/>
        </w:rPr>
      </w:pPr>
      <w:r w:rsidRPr="00420854">
        <w:rPr>
          <w:szCs w:val="24"/>
        </w:rPr>
        <w:t xml:space="preserve"> (dále jen „</w:t>
      </w:r>
      <w:r w:rsidRPr="00420854">
        <w:rPr>
          <w:b/>
          <w:szCs w:val="24"/>
        </w:rPr>
        <w:t>obchodní zástupce</w:t>
      </w:r>
      <w:r w:rsidRPr="00420854">
        <w:rPr>
          <w:szCs w:val="24"/>
        </w:rPr>
        <w:t>“)</w:t>
      </w:r>
    </w:p>
    <w:p w14:paraId="67D50987" w14:textId="77777777" w:rsidR="001F1EA4" w:rsidRPr="00420854" w:rsidRDefault="001F1EA4">
      <w:pPr>
        <w:rPr>
          <w:szCs w:val="24"/>
        </w:rPr>
      </w:pPr>
    </w:p>
    <w:p w14:paraId="72DB754E" w14:textId="50133696" w:rsidR="001F1EA4" w:rsidRPr="00420854" w:rsidRDefault="00B77CD0" w:rsidP="007D358E">
      <w:pPr>
        <w:ind w:left="0"/>
        <w:jc w:val="both"/>
        <w:rPr>
          <w:szCs w:val="24"/>
        </w:rPr>
      </w:pPr>
      <w:r w:rsidRPr="00420854">
        <w:rPr>
          <w:szCs w:val="24"/>
        </w:rPr>
        <w:t xml:space="preserve">zastoupený </w:t>
      </w:r>
      <w:r w:rsidR="00493A21" w:rsidRPr="00420854">
        <w:rPr>
          <w:szCs w:val="24"/>
        </w:rPr>
        <w:t>a obchodní zástupce společně dále téže jako „</w:t>
      </w:r>
      <w:r w:rsidR="00493A21" w:rsidRPr="00420854">
        <w:rPr>
          <w:b/>
          <w:szCs w:val="24"/>
        </w:rPr>
        <w:t>smluvní strany</w:t>
      </w:r>
      <w:r w:rsidR="00493A21" w:rsidRPr="00420854">
        <w:rPr>
          <w:szCs w:val="24"/>
        </w:rPr>
        <w:t>“ a každý samostatně jako „</w:t>
      </w:r>
      <w:r w:rsidR="00493A21" w:rsidRPr="00420854">
        <w:rPr>
          <w:b/>
          <w:szCs w:val="24"/>
        </w:rPr>
        <w:t>smluvní strana</w:t>
      </w:r>
      <w:r w:rsidR="00493A21" w:rsidRPr="00420854">
        <w:rPr>
          <w:szCs w:val="24"/>
        </w:rPr>
        <w:t>“ uzavírají níže uvedeného dne, měsíce a roku tuto</w:t>
      </w:r>
    </w:p>
    <w:p w14:paraId="68301570" w14:textId="77777777" w:rsidR="001F1EA4" w:rsidRPr="00C82EE3" w:rsidRDefault="00493A21" w:rsidP="00A61A11">
      <w:pPr>
        <w:ind w:left="0"/>
        <w:jc w:val="center"/>
        <w:rPr>
          <w:b/>
          <w:bCs/>
          <w:szCs w:val="24"/>
        </w:rPr>
      </w:pPr>
      <w:r w:rsidRPr="00C82EE3">
        <w:rPr>
          <w:b/>
          <w:bCs/>
          <w:szCs w:val="24"/>
        </w:rPr>
        <w:t>smlouvu o obchodním zastoupení</w:t>
      </w:r>
    </w:p>
    <w:p w14:paraId="17B35D4E" w14:textId="3D406507" w:rsidR="001F1EA4" w:rsidRPr="00420854" w:rsidRDefault="00493A21" w:rsidP="00A61A11">
      <w:pPr>
        <w:ind w:left="0"/>
        <w:jc w:val="center"/>
        <w:rPr>
          <w:szCs w:val="24"/>
        </w:rPr>
      </w:pPr>
      <w:r w:rsidRPr="00420854">
        <w:rPr>
          <w:szCs w:val="24"/>
        </w:rPr>
        <w:t>(dále jako „</w:t>
      </w:r>
      <w:r w:rsidRPr="00420854">
        <w:rPr>
          <w:b/>
          <w:szCs w:val="24"/>
        </w:rPr>
        <w:t>smlouva</w:t>
      </w:r>
      <w:r w:rsidRPr="00420854">
        <w:rPr>
          <w:szCs w:val="24"/>
        </w:rPr>
        <w:t>“)</w:t>
      </w:r>
      <w:r w:rsidR="00B77CD0" w:rsidRPr="00420854">
        <w:rPr>
          <w:szCs w:val="24"/>
        </w:rPr>
        <w:t>:</w:t>
      </w:r>
    </w:p>
    <w:p w14:paraId="570F373A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Úvodní ustanovení</w:t>
      </w:r>
    </w:p>
    <w:p w14:paraId="7DC68741" w14:textId="77777777" w:rsidR="001F1EA4" w:rsidRPr="00420854" w:rsidRDefault="00493A21" w:rsidP="00845004">
      <w:pPr>
        <w:pStyle w:val="Odstavecseseznamem"/>
        <w:numPr>
          <w:ilvl w:val="0"/>
          <w:numId w:val="2"/>
        </w:numPr>
        <w:spacing w:after="120"/>
        <w:ind w:left="0" w:firstLine="0"/>
        <w:jc w:val="both"/>
        <w:rPr>
          <w:szCs w:val="24"/>
        </w:rPr>
      </w:pPr>
      <w:r w:rsidRPr="00420854">
        <w:rPr>
          <w:szCs w:val="24"/>
        </w:rPr>
        <w:t xml:space="preserve">Zastoupený je obchodní společností, jejímž předmětem podnikání je především </w:t>
      </w:r>
      <w:r w:rsidRPr="00420854">
        <w:rPr>
          <w:szCs w:val="24"/>
        </w:rPr>
        <w:tab/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  <w:r w:rsidRPr="00420854">
        <w:rPr>
          <w:szCs w:val="24"/>
        </w:rPr>
        <w:t xml:space="preserve">. Zastoupený vykonává své obchodní aktivity zejména na území </w:t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doplnit)</w:t>
      </w:r>
      <w:r w:rsidRPr="00420854">
        <w:rPr>
          <w:i/>
          <w:szCs w:val="24"/>
        </w:rPr>
        <w:t>.</w:t>
      </w:r>
    </w:p>
    <w:p w14:paraId="443FCAFD" w14:textId="77777777" w:rsidR="001F1EA4" w:rsidRPr="00420854" w:rsidRDefault="00493A21" w:rsidP="00845004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lastRenderedPageBreak/>
        <w:t xml:space="preserve">Obchodní zástupce je nezávislým podnikatelem, který má zájem dlouhodobě vykonávat činnost směřující ke sjednávání a uzavírání níže uvedených obchodů, a to jménem zastoupeného a na jeho účet. </w:t>
      </w:r>
    </w:p>
    <w:p w14:paraId="5E5B27D8" w14:textId="77777777" w:rsidR="001F1EA4" w:rsidRPr="00420854" w:rsidRDefault="00493A21" w:rsidP="00845004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t xml:space="preserve">Zastoupený </w:t>
      </w:r>
      <w:r w:rsidRPr="00420854">
        <w:rPr>
          <w:szCs w:val="24"/>
          <w:highlight w:val="yellow"/>
        </w:rPr>
        <w:t>je/není</w:t>
      </w:r>
      <w:r w:rsidRPr="00420854">
        <w:rPr>
          <w:szCs w:val="24"/>
        </w:rPr>
        <w:t xml:space="preserve"> oprávněn ustanovit pro níže uvedenou smluvní oblast další zástupce, jakož i uzavírat obchody přímo. </w:t>
      </w:r>
    </w:p>
    <w:p w14:paraId="6A1484CC" w14:textId="77777777" w:rsidR="001F1EA4" w:rsidRPr="00420854" w:rsidRDefault="001F1EA4" w:rsidP="00845004">
      <w:pPr>
        <w:pStyle w:val="Odstavecseseznamem"/>
        <w:ind w:left="709"/>
        <w:jc w:val="both"/>
        <w:rPr>
          <w:szCs w:val="24"/>
        </w:rPr>
      </w:pPr>
    </w:p>
    <w:p w14:paraId="30378590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Předmět smlouvy</w:t>
      </w:r>
    </w:p>
    <w:p w14:paraId="5D0BBE07" w14:textId="1D42E4B3" w:rsidR="001F1EA4" w:rsidRPr="00C82EE3" w:rsidRDefault="00493A21" w:rsidP="00845004">
      <w:pPr>
        <w:pStyle w:val="Odstavecseseznamem"/>
        <w:numPr>
          <w:ilvl w:val="0"/>
          <w:numId w:val="3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Obchodní zástupce se zavazuje, že bude pro zastoupeného dlouhodobě vyvíjet činnost směřující k uzavírání </w:t>
      </w:r>
      <w:r w:rsidRPr="00420854">
        <w:rPr>
          <w:i/>
          <w:szCs w:val="24"/>
          <w:highlight w:val="yellow"/>
        </w:rPr>
        <w:t>(doplnit)</w:t>
      </w:r>
      <w:r w:rsidRPr="00420854">
        <w:rPr>
          <w:i/>
          <w:szCs w:val="24"/>
        </w:rPr>
        <w:t xml:space="preserve"> </w:t>
      </w:r>
      <w:r w:rsidRPr="00420854">
        <w:rPr>
          <w:szCs w:val="24"/>
        </w:rPr>
        <w:t xml:space="preserve">smluv, zejména </w:t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doplnit specifikaci obchodní činnosti, smluvních partnerů apod.)</w:t>
      </w:r>
      <w:r w:rsidRPr="00420854">
        <w:rPr>
          <w:i/>
          <w:szCs w:val="24"/>
        </w:rPr>
        <w:t xml:space="preserve"> </w:t>
      </w:r>
      <w:r w:rsidRPr="00420854">
        <w:rPr>
          <w:szCs w:val="24"/>
        </w:rPr>
        <w:t>(dále jako „</w:t>
      </w:r>
      <w:r w:rsidRPr="00420854">
        <w:rPr>
          <w:b/>
          <w:szCs w:val="24"/>
        </w:rPr>
        <w:t>obchody</w:t>
      </w:r>
      <w:r w:rsidRPr="00420854">
        <w:rPr>
          <w:szCs w:val="24"/>
        </w:rPr>
        <w:t xml:space="preserve">“). Tyto činnosti směřující k uzavírání obchodů provádí obchodní zástupce v níže uvedeném rozsahu a za níže sjednaných podmínek. </w:t>
      </w:r>
    </w:p>
    <w:p w14:paraId="30657F72" w14:textId="2F4B7A23" w:rsidR="00525B78" w:rsidRPr="00C82EE3" w:rsidRDefault="00525B78" w:rsidP="00C82EE3">
      <w:pPr>
        <w:pStyle w:val="Odstavecseseznamem"/>
        <w:numPr>
          <w:ilvl w:val="0"/>
          <w:numId w:val="3"/>
        </w:numPr>
        <w:spacing w:after="120"/>
        <w:ind w:left="709" w:hanging="709"/>
        <w:jc w:val="both"/>
        <w:rPr>
          <w:szCs w:val="24"/>
        </w:rPr>
      </w:pPr>
      <w:r w:rsidRPr="00C82EE3">
        <w:rPr>
          <w:szCs w:val="24"/>
        </w:rPr>
        <w:t xml:space="preserve">Obchodní zástupce je povinen vyvíjet činnost specifikovanou v této smlouvě na území </w:t>
      </w:r>
      <w:r w:rsidRPr="00C82EE3">
        <w:rPr>
          <w:i/>
          <w:iCs/>
          <w:szCs w:val="24"/>
        </w:rPr>
        <w:t>(</w:t>
      </w:r>
      <w:r w:rsidRPr="00525B78">
        <w:rPr>
          <w:i/>
          <w:iCs/>
          <w:szCs w:val="24"/>
          <w:highlight w:val="yellow"/>
        </w:rPr>
        <w:t>d</w:t>
      </w:r>
      <w:r w:rsidRPr="00420854">
        <w:rPr>
          <w:i/>
          <w:szCs w:val="24"/>
          <w:highlight w:val="yellow"/>
        </w:rPr>
        <w:t>oplnit)</w:t>
      </w:r>
      <w:r>
        <w:rPr>
          <w:i/>
          <w:szCs w:val="24"/>
        </w:rPr>
        <w:t>.</w:t>
      </w:r>
    </w:p>
    <w:p w14:paraId="41E9DD3E" w14:textId="015C43C5" w:rsidR="00845004" w:rsidRPr="00C82EE3" w:rsidRDefault="00493A21" w:rsidP="00845004">
      <w:pPr>
        <w:pStyle w:val="Odstavecseseznamem"/>
        <w:numPr>
          <w:ilvl w:val="0"/>
          <w:numId w:val="3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Zastoupený se zavazuje zaplatit obchodnímu zástupci za činnost dle odstavce </w:t>
      </w:r>
      <w:proofErr w:type="gramStart"/>
      <w:r w:rsidRPr="00420854">
        <w:rPr>
          <w:szCs w:val="24"/>
        </w:rPr>
        <w:t>3.1. této</w:t>
      </w:r>
      <w:proofErr w:type="gramEnd"/>
      <w:r w:rsidRPr="00420854">
        <w:rPr>
          <w:szCs w:val="24"/>
        </w:rPr>
        <w:t xml:space="preserve"> smlouvy níže sjednanou provizi.</w:t>
      </w:r>
    </w:p>
    <w:p w14:paraId="3A70379B" w14:textId="77777777" w:rsidR="00845004" w:rsidRPr="00420854" w:rsidRDefault="00845004" w:rsidP="00845004">
      <w:pPr>
        <w:pStyle w:val="Odstavecseseznamem"/>
        <w:spacing w:after="120"/>
        <w:ind w:left="709"/>
        <w:jc w:val="both"/>
        <w:rPr>
          <w:b/>
          <w:szCs w:val="24"/>
          <w:u w:val="single"/>
        </w:rPr>
      </w:pPr>
    </w:p>
    <w:p w14:paraId="7B263922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Provize</w:t>
      </w:r>
    </w:p>
    <w:p w14:paraId="046ABC53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Obchodní zástupce má nárok na provizi ze všech obchodů, které byly uzavřeny mezi zastoupeným a zákazníky, a jehož uzavření obchodní zástupce zprostředkoval. </w:t>
      </w:r>
    </w:p>
    <w:p w14:paraId="0DC77015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Provize obchodního zástupce činí </w:t>
      </w:r>
      <w:r w:rsidRPr="00420854">
        <w:rPr>
          <w:i/>
          <w:szCs w:val="24"/>
          <w:highlight w:val="yellow"/>
        </w:rPr>
        <w:t>(doplnit)</w:t>
      </w:r>
      <w:r w:rsidRPr="00420854">
        <w:rPr>
          <w:szCs w:val="24"/>
        </w:rPr>
        <w:t xml:space="preserve"> % z celkové ceny obchodu dle smlouvy uzavřené mezi zastoupeným a zákazníkem. </w:t>
      </w:r>
    </w:p>
    <w:p w14:paraId="37238463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Nárok na provizi vzniká obchodnímu zástupci za podmínky, že zastoupený splní závazek nebo je povinen jej splnit anebo pokud splní závazek ze smlouvy zákazník. </w:t>
      </w:r>
    </w:p>
    <w:p w14:paraId="689A8AA0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i/>
          <w:szCs w:val="24"/>
          <w:u w:val="single"/>
        </w:rPr>
      </w:pPr>
      <w:r w:rsidRPr="00420854">
        <w:rPr>
          <w:szCs w:val="24"/>
        </w:rPr>
        <w:t xml:space="preserve">Výpočet provize provede zastoupený vždy za uplynulé kalendářní čtvrtletí </w:t>
      </w:r>
      <w:r w:rsidRPr="00420854">
        <w:rPr>
          <w:i/>
          <w:szCs w:val="24"/>
        </w:rPr>
        <w:t>(</w:t>
      </w:r>
      <w:r w:rsidRPr="00420854">
        <w:rPr>
          <w:i/>
          <w:szCs w:val="24"/>
          <w:highlight w:val="yellow"/>
        </w:rPr>
        <w:t>možné zvolit jinou frekvenci)</w:t>
      </w:r>
      <w:r w:rsidRPr="00420854">
        <w:rPr>
          <w:szCs w:val="24"/>
        </w:rPr>
        <w:t xml:space="preserve">. Zastoupený předá obchodnímu zástupci výpočet, který je provedený na základě podkladů o provizních obchodech. Provize je splatná nejpozději do konce měsíce, který následuje po kalendářním čtvrtletí </w:t>
      </w:r>
      <w:r w:rsidRPr="00420854">
        <w:rPr>
          <w:i/>
          <w:szCs w:val="24"/>
        </w:rPr>
        <w:t xml:space="preserve">(Popř.: Provize je splatná ke dni </w:t>
      </w:r>
      <w:r w:rsidRPr="00420854">
        <w:rPr>
          <w:i/>
          <w:szCs w:val="24"/>
          <w:highlight w:val="yellow"/>
        </w:rPr>
        <w:t>(doplnit)</w:t>
      </w:r>
      <w:r w:rsidRPr="00420854">
        <w:rPr>
          <w:i/>
          <w:szCs w:val="24"/>
        </w:rPr>
        <w:t xml:space="preserve">). </w:t>
      </w:r>
    </w:p>
    <w:p w14:paraId="0BC512F7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Pokud zaniklo obchodní zastoupení, má obchodní zástupce nárok na provizi, pokud byl obchod uskutečněn především v důsledku jeho činnosti. </w:t>
      </w:r>
    </w:p>
    <w:p w14:paraId="2275445B" w14:textId="7D995186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Nárok na provizi nevzniká v případě, kdy byl obchodní zástupce činný při uzavírání obchodu jako obchodní zástupce pro osobu, s níž </w:t>
      </w:r>
      <w:r w:rsidR="001D6F86">
        <w:rPr>
          <w:szCs w:val="24"/>
        </w:rPr>
        <w:t>z</w:t>
      </w:r>
      <w:r w:rsidR="001D6F86" w:rsidRPr="00420854">
        <w:rPr>
          <w:szCs w:val="24"/>
        </w:rPr>
        <w:t xml:space="preserve">astoupený </w:t>
      </w:r>
      <w:r w:rsidRPr="00420854">
        <w:rPr>
          <w:szCs w:val="24"/>
        </w:rPr>
        <w:t>uzavřel obchod. Nárok na provizi nevzniká ani v případě, kdy provize náleží předchozímu obchodnímu zástupci dle</w:t>
      </w:r>
      <w:r w:rsidR="001D6F86">
        <w:rPr>
          <w:szCs w:val="24"/>
        </w:rPr>
        <w:t xml:space="preserve"> odst.</w:t>
      </w:r>
      <w:r w:rsidRPr="00420854">
        <w:rPr>
          <w:szCs w:val="24"/>
        </w:rPr>
        <w:t xml:space="preserve"> </w:t>
      </w:r>
      <w:proofErr w:type="gramStart"/>
      <w:r w:rsidRPr="00420854">
        <w:rPr>
          <w:szCs w:val="24"/>
        </w:rPr>
        <w:t>4.5.</w:t>
      </w:r>
      <w:r w:rsidR="001D6F86">
        <w:rPr>
          <w:szCs w:val="24"/>
        </w:rPr>
        <w:t xml:space="preserve"> této</w:t>
      </w:r>
      <w:proofErr w:type="gramEnd"/>
      <w:r w:rsidR="001D6F86">
        <w:rPr>
          <w:szCs w:val="24"/>
        </w:rPr>
        <w:t xml:space="preserve"> smlouvy.</w:t>
      </w:r>
    </w:p>
    <w:p w14:paraId="07CC1A7F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Platba provize se provádí bezhotovostním převodem, a to na bankovní účet obchodního zástupce vedený u </w:t>
      </w:r>
      <w:r w:rsidRPr="00420854">
        <w:rPr>
          <w:i/>
          <w:szCs w:val="24"/>
          <w:highlight w:val="yellow"/>
        </w:rPr>
        <w:t>(doplnit)</w:t>
      </w:r>
      <w:r w:rsidRPr="00420854">
        <w:rPr>
          <w:i/>
          <w:szCs w:val="24"/>
        </w:rPr>
        <w:t xml:space="preserve"> </w:t>
      </w:r>
      <w:r w:rsidRPr="00420854">
        <w:rPr>
          <w:szCs w:val="24"/>
        </w:rPr>
        <w:t xml:space="preserve">banky, číslo účtu </w:t>
      </w:r>
      <w:r w:rsidRPr="00420854">
        <w:rPr>
          <w:i/>
          <w:szCs w:val="24"/>
          <w:highlight w:val="yellow"/>
        </w:rPr>
        <w:t>(doplnit)</w:t>
      </w:r>
      <w:r w:rsidRPr="00420854">
        <w:rPr>
          <w:i/>
          <w:szCs w:val="24"/>
        </w:rPr>
        <w:t>.</w:t>
      </w:r>
    </w:p>
    <w:p w14:paraId="3C213FE5" w14:textId="77777777" w:rsidR="001F1EA4" w:rsidRPr="00420854" w:rsidRDefault="00493A21" w:rsidP="00845004">
      <w:pPr>
        <w:pStyle w:val="Odstavecseseznamem"/>
        <w:numPr>
          <w:ilvl w:val="0"/>
          <w:numId w:val="4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Smluvní strany se dohodly, že provize zahrnuje veškeré náklady spojené s činností obchodního zástupce. </w:t>
      </w:r>
    </w:p>
    <w:p w14:paraId="629D1226" w14:textId="77777777" w:rsidR="001F1EA4" w:rsidRPr="00420854" w:rsidRDefault="001F1EA4" w:rsidP="00845004">
      <w:pPr>
        <w:pStyle w:val="Odstavecseseznamem"/>
        <w:ind w:left="709"/>
        <w:jc w:val="both"/>
        <w:rPr>
          <w:b/>
          <w:szCs w:val="24"/>
          <w:u w:val="single"/>
        </w:rPr>
      </w:pPr>
    </w:p>
    <w:p w14:paraId="3ECE3377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Povinnosti zastoupeného</w:t>
      </w:r>
    </w:p>
    <w:p w14:paraId="07993925" w14:textId="07179FC1" w:rsidR="001F1EA4" w:rsidRPr="00420854" w:rsidRDefault="00493A21" w:rsidP="00845004">
      <w:pPr>
        <w:pStyle w:val="Odstavecseseznamem"/>
        <w:numPr>
          <w:ilvl w:val="0"/>
          <w:numId w:val="5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Zastoupený se zavazuje obstarat a obchodnímu zástupci sdělit veškeré údaje nezbytné k plnění jeho povinností</w:t>
      </w:r>
      <w:r w:rsidR="001D6F86">
        <w:rPr>
          <w:szCs w:val="24"/>
        </w:rPr>
        <w:t xml:space="preserve"> dle této smlouvy</w:t>
      </w:r>
      <w:r w:rsidRPr="00420854">
        <w:rPr>
          <w:szCs w:val="24"/>
        </w:rPr>
        <w:t xml:space="preserve">. </w:t>
      </w:r>
    </w:p>
    <w:p w14:paraId="1C31FCE9" w14:textId="77777777" w:rsidR="001F1EA4" w:rsidRPr="00420854" w:rsidRDefault="00493A21" w:rsidP="00845004">
      <w:pPr>
        <w:pStyle w:val="Odstavecseseznamem"/>
        <w:numPr>
          <w:ilvl w:val="0"/>
          <w:numId w:val="5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lastRenderedPageBreak/>
        <w:t xml:space="preserve">Zastoupený se zavazuje poskytnout obchodnímu zástupci nezbytnou dokumentaci vztahující se k předmětu obchodů, zejména je zastoupený povinen předat obchodnímu zástupci propagační materiály, letáky, apod.  Zastoupený se také zavazuje obchodnímu zástupci předat všechny podklady a věci potřebné pro plnění jeho povinností. </w:t>
      </w:r>
    </w:p>
    <w:p w14:paraId="44C04086" w14:textId="7DD98673" w:rsidR="001F1EA4" w:rsidRPr="00420854" w:rsidRDefault="00493A21" w:rsidP="00845004">
      <w:pPr>
        <w:pStyle w:val="Odstavecseseznamem"/>
        <w:numPr>
          <w:ilvl w:val="0"/>
          <w:numId w:val="5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Zastoupený je povinen obchodnímu zástupci bez zbytečného odkladu sdělit, zda obstaraný obchod přijal, nebo odmítl, popřípadě zda jej nesplnil</w:t>
      </w:r>
      <w:r w:rsidR="00124B8E">
        <w:rPr>
          <w:szCs w:val="24"/>
        </w:rPr>
        <w:t xml:space="preserve"> a poskytnou podklady pro vyúčtování provize.</w:t>
      </w:r>
    </w:p>
    <w:p w14:paraId="1E783244" w14:textId="77777777" w:rsidR="001F1EA4" w:rsidRPr="00420854" w:rsidRDefault="00493A21" w:rsidP="00845004">
      <w:pPr>
        <w:pStyle w:val="Odstavecseseznamem"/>
        <w:numPr>
          <w:ilvl w:val="0"/>
          <w:numId w:val="5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Zastoupený je povinen sdělit obchodnímu zástupci informace nezbytné k plnění závazků, zejména v rozumné době sdělit obchodnímu zástupci, že předpokládá významné snížení rozsahu činnosti oproti tomu, co by mohl obchodní zástupce rozumně očekávat. </w:t>
      </w:r>
    </w:p>
    <w:p w14:paraId="042D2F87" w14:textId="77777777" w:rsidR="001F1EA4" w:rsidRPr="00420854" w:rsidRDefault="00493A21" w:rsidP="00845004">
      <w:pPr>
        <w:pStyle w:val="Odstavecseseznamem"/>
        <w:numPr>
          <w:ilvl w:val="0"/>
          <w:numId w:val="5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Zastoupený je povinen zaplatit obchodnímu zástupci provizi.</w:t>
      </w:r>
    </w:p>
    <w:p w14:paraId="5484F2D5" w14:textId="77777777" w:rsidR="001F1EA4" w:rsidRPr="00420854" w:rsidRDefault="001F1EA4" w:rsidP="00845004">
      <w:pPr>
        <w:pStyle w:val="Odstavecseseznamem"/>
        <w:ind w:left="709"/>
        <w:jc w:val="both"/>
        <w:rPr>
          <w:b/>
          <w:szCs w:val="24"/>
          <w:u w:val="single"/>
        </w:rPr>
      </w:pPr>
    </w:p>
    <w:p w14:paraId="0B64B657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Povinnosti obchodního zástupce</w:t>
      </w:r>
    </w:p>
    <w:p w14:paraId="31B3DCBB" w14:textId="1D07E4E3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Obchodní zástupce je povinen vykonávat svou činnost s odbornou péčí, dbá zájmů </w:t>
      </w:r>
      <w:r w:rsidR="00124B8E">
        <w:rPr>
          <w:szCs w:val="24"/>
        </w:rPr>
        <w:t>z</w:t>
      </w:r>
      <w:r w:rsidRPr="00420854">
        <w:rPr>
          <w:szCs w:val="24"/>
        </w:rPr>
        <w:t>astoupeného a postupuje ve shodě s pověřením a rozumnými pokyny zastoupeného.</w:t>
      </w:r>
    </w:p>
    <w:p w14:paraId="5C27C374" w14:textId="77777777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Obchodní zástupce je povinen zastoupeného informovat o nezbytných údajích, které se dozvěděl v souvislosti s plněním svých povinností a které s tímto plněním souvisí. Stejně tak je povinen sdělit zastoupenému údaje o vývoji relevantního trhu.</w:t>
      </w:r>
    </w:p>
    <w:p w14:paraId="7C822AF4" w14:textId="77777777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Obchodní zástupce je povinen zajistit a předkládat závazné poptávky zákazníků a předat je neprodleně zastoupenému k posouzení.</w:t>
      </w:r>
    </w:p>
    <w:p w14:paraId="28B6CF79" w14:textId="77777777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Obchodní zástupce je povinen uzavírat obchody jménem zastoupeného, popřípadě navrhovat uzavření obchodů se zákazníky, u nichž jsou předpoklady, že své závazky splní. Obchodní zástupce však za splnění závazků neručí. </w:t>
      </w:r>
    </w:p>
    <w:p w14:paraId="0842201D" w14:textId="77777777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>Obchodní zástupce je povinen po potřebnou dobu uchovat doklady významné pro ochranu oprávněných zájmů zastoupeného, které získal při své činnosti.</w:t>
      </w:r>
    </w:p>
    <w:p w14:paraId="6BD6B320" w14:textId="52E49CB9" w:rsidR="001F1EA4" w:rsidRPr="00420854" w:rsidRDefault="00493A21" w:rsidP="00845004">
      <w:pPr>
        <w:pStyle w:val="Odstavecseseznamem"/>
        <w:numPr>
          <w:ilvl w:val="0"/>
          <w:numId w:val="6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Obchodní zástupce je povinen bez zbytečných odkladů sdělit </w:t>
      </w:r>
      <w:r w:rsidR="00124B8E">
        <w:rPr>
          <w:szCs w:val="24"/>
        </w:rPr>
        <w:t>z</w:t>
      </w:r>
      <w:r w:rsidRPr="00420854">
        <w:rPr>
          <w:szCs w:val="24"/>
        </w:rPr>
        <w:t xml:space="preserve">astoupenému, že nemůže vykonávat svou činnost. </w:t>
      </w:r>
    </w:p>
    <w:p w14:paraId="26A2D47A" w14:textId="77777777" w:rsidR="001F1EA4" w:rsidRPr="00420854" w:rsidRDefault="001F1EA4" w:rsidP="00845004">
      <w:pPr>
        <w:pStyle w:val="Odstavecseseznamem"/>
        <w:spacing w:after="120"/>
        <w:ind w:left="709"/>
        <w:jc w:val="both"/>
        <w:rPr>
          <w:b/>
          <w:szCs w:val="24"/>
          <w:u w:val="single"/>
        </w:rPr>
      </w:pPr>
    </w:p>
    <w:p w14:paraId="4FBE1DEB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Konkurenční doložka</w:t>
      </w:r>
    </w:p>
    <w:p w14:paraId="4B8E92CB" w14:textId="33FF3995" w:rsidR="001F1EA4" w:rsidRPr="00420854" w:rsidRDefault="00493A21" w:rsidP="00845004">
      <w:pPr>
        <w:pStyle w:val="Odstavecseseznamem"/>
        <w:numPr>
          <w:ilvl w:val="0"/>
          <w:numId w:val="7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t xml:space="preserve">Smluvní strany si sjednávají konkurenční doložku ve smyslu ustanovení § 2518 občanského zákoníku, dle které se obchodní zástupce zavazuje zdržet po dobu </w:t>
      </w:r>
      <w:r w:rsidRPr="00420854">
        <w:rPr>
          <w:i/>
          <w:szCs w:val="24"/>
          <w:highlight w:val="yellow"/>
        </w:rPr>
        <w:t>(doplnit</w:t>
      </w:r>
      <w:r w:rsidR="00124B8E">
        <w:rPr>
          <w:i/>
          <w:szCs w:val="24"/>
          <w:highlight w:val="yellow"/>
        </w:rPr>
        <w:t>, maximální doba je ze zákona 2 roky</w:t>
      </w:r>
      <w:r w:rsidRPr="00420854">
        <w:rPr>
          <w:i/>
          <w:szCs w:val="24"/>
          <w:highlight w:val="yellow"/>
        </w:rPr>
        <w:t>)</w:t>
      </w:r>
      <w:r w:rsidRPr="00420854">
        <w:rPr>
          <w:i/>
          <w:szCs w:val="24"/>
        </w:rPr>
        <w:t xml:space="preserve"> </w:t>
      </w:r>
      <w:r w:rsidRPr="00420854">
        <w:rPr>
          <w:szCs w:val="24"/>
        </w:rPr>
        <w:t xml:space="preserve">po ukončení smlouvy jakékoliv činnosti, která by měla soutěžní povahu ve vztahu k obchodní činnosti zastoupeného, zejména pak ve vztahu k činnosti, kterou pro zastoupeného sám vykonával. Konkurenční doložka se vztahuje na území </w:t>
      </w:r>
      <w:r w:rsidRPr="00420854">
        <w:rPr>
          <w:i/>
          <w:szCs w:val="24"/>
          <w:highlight w:val="yellow"/>
        </w:rPr>
        <w:t>(doplnit)</w:t>
      </w:r>
      <w:r w:rsidRPr="00420854">
        <w:rPr>
          <w:i/>
          <w:szCs w:val="24"/>
        </w:rPr>
        <w:t>.</w:t>
      </w:r>
    </w:p>
    <w:p w14:paraId="37A24818" w14:textId="77777777" w:rsidR="001F1EA4" w:rsidRPr="00420854" w:rsidRDefault="00493A21" w:rsidP="00845004">
      <w:pPr>
        <w:pStyle w:val="Odstavecseseznamem"/>
        <w:numPr>
          <w:ilvl w:val="0"/>
          <w:numId w:val="7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t xml:space="preserve">V případě porušení konkurenční doložky je obchodní zástupce povinen zaplatit zastoupenému smluvní pokutu ve výši </w:t>
      </w:r>
      <w:r w:rsidRPr="00420854">
        <w:rPr>
          <w:i/>
          <w:szCs w:val="24"/>
          <w:highlight w:val="yellow"/>
        </w:rPr>
        <w:t>(doplnit)</w:t>
      </w:r>
      <w:r w:rsidRPr="00420854">
        <w:rPr>
          <w:szCs w:val="24"/>
        </w:rPr>
        <w:t xml:space="preserve"> Kč za každé jednotlivé porušení, přičemž uplatnění smluvní pokuty dle tohoto odstavce nemá vliv na uplatnění náhrady škody dle občanského zákoníku. </w:t>
      </w:r>
    </w:p>
    <w:p w14:paraId="67B48C18" w14:textId="77777777" w:rsidR="001F1EA4" w:rsidRPr="00420854" w:rsidRDefault="001F1EA4" w:rsidP="00845004">
      <w:pPr>
        <w:pStyle w:val="Odstavecseseznamem"/>
        <w:jc w:val="both"/>
        <w:rPr>
          <w:szCs w:val="24"/>
        </w:rPr>
      </w:pPr>
    </w:p>
    <w:p w14:paraId="146F6A95" w14:textId="77777777" w:rsidR="001F1EA4" w:rsidRPr="00420854" w:rsidRDefault="00493A21" w:rsidP="0084500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b/>
          <w:szCs w:val="24"/>
          <w:u w:val="single"/>
        </w:rPr>
      </w:pPr>
      <w:r w:rsidRPr="00420854">
        <w:rPr>
          <w:b/>
          <w:szCs w:val="24"/>
          <w:u w:val="single"/>
        </w:rPr>
        <w:t>Závěrečná ustanovení</w:t>
      </w:r>
    </w:p>
    <w:p w14:paraId="1158A542" w14:textId="275D5141" w:rsidR="001F1EA4" w:rsidRPr="00420854" w:rsidRDefault="00493A21" w:rsidP="00845004">
      <w:pPr>
        <w:pStyle w:val="Odstavecseseznamem"/>
        <w:numPr>
          <w:ilvl w:val="0"/>
          <w:numId w:val="8"/>
        </w:numPr>
        <w:spacing w:after="120"/>
        <w:ind w:left="0" w:firstLine="0"/>
        <w:jc w:val="both"/>
        <w:rPr>
          <w:b/>
          <w:szCs w:val="24"/>
          <w:u w:val="single"/>
        </w:rPr>
      </w:pPr>
      <w:r w:rsidRPr="00420854">
        <w:rPr>
          <w:szCs w:val="24"/>
        </w:rPr>
        <w:t xml:space="preserve">Tato </w:t>
      </w:r>
      <w:r w:rsidR="00124B8E">
        <w:rPr>
          <w:szCs w:val="24"/>
        </w:rPr>
        <w:t>s</w:t>
      </w:r>
      <w:r w:rsidR="00124B8E" w:rsidRPr="00420854">
        <w:rPr>
          <w:szCs w:val="24"/>
        </w:rPr>
        <w:t xml:space="preserve">mlouva </w:t>
      </w:r>
      <w:r w:rsidRPr="00420854">
        <w:rPr>
          <w:szCs w:val="24"/>
        </w:rPr>
        <w:t xml:space="preserve">se sjednává na dobu </w:t>
      </w:r>
      <w:r w:rsidRPr="00420854">
        <w:rPr>
          <w:i/>
          <w:szCs w:val="24"/>
          <w:highlight w:val="yellow"/>
        </w:rPr>
        <w:t xml:space="preserve">(zvolit neurčitou/ určitou, a to </w:t>
      </w:r>
      <w:proofErr w:type="gramStart"/>
      <w:r w:rsidRPr="00420854">
        <w:rPr>
          <w:i/>
          <w:szCs w:val="24"/>
          <w:highlight w:val="yellow"/>
        </w:rPr>
        <w:t>do</w:t>
      </w:r>
      <w:proofErr w:type="gramEnd"/>
      <w:r w:rsidRPr="00420854">
        <w:rPr>
          <w:i/>
          <w:szCs w:val="24"/>
          <w:highlight w:val="yellow"/>
        </w:rPr>
        <w:t xml:space="preserve"> …………)</w:t>
      </w:r>
    </w:p>
    <w:p w14:paraId="10C88143" w14:textId="77777777" w:rsidR="001F1EA4" w:rsidRPr="00420854" w:rsidRDefault="00493A21" w:rsidP="00845004">
      <w:pPr>
        <w:pStyle w:val="Odstavecseseznamem"/>
        <w:numPr>
          <w:ilvl w:val="0"/>
          <w:numId w:val="8"/>
        </w:numPr>
        <w:spacing w:after="120"/>
        <w:ind w:left="709" w:hanging="709"/>
        <w:jc w:val="both"/>
        <w:rPr>
          <w:b/>
          <w:szCs w:val="24"/>
          <w:u w:val="single"/>
        </w:rPr>
      </w:pPr>
      <w:r w:rsidRPr="00420854">
        <w:rPr>
          <w:szCs w:val="24"/>
        </w:rPr>
        <w:lastRenderedPageBreak/>
        <w:t xml:space="preserve">Tato smlouva se vyhotovuje ve dvou vyhotoveních, z nichž každá smluvní strana obdrží jedno vyhotovení. </w:t>
      </w:r>
    </w:p>
    <w:p w14:paraId="48299E73" w14:textId="77777777" w:rsidR="001F1EA4" w:rsidRPr="00420854" w:rsidRDefault="00493A21" w:rsidP="00845004">
      <w:pPr>
        <w:pStyle w:val="Odstavecseseznamem"/>
        <w:numPr>
          <w:ilvl w:val="0"/>
          <w:numId w:val="8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t xml:space="preserve">Tato smlouva se řídí právními předpisy České republiky, zejména občanským zákoníkem. </w:t>
      </w:r>
    </w:p>
    <w:p w14:paraId="7FB07279" w14:textId="77777777" w:rsidR="001F1EA4" w:rsidRPr="00420854" w:rsidRDefault="00493A21" w:rsidP="00845004">
      <w:pPr>
        <w:pStyle w:val="Odstavecseseznamem"/>
        <w:numPr>
          <w:ilvl w:val="0"/>
          <w:numId w:val="8"/>
        </w:numPr>
        <w:spacing w:after="120"/>
        <w:ind w:left="709" w:hanging="709"/>
        <w:jc w:val="both"/>
        <w:rPr>
          <w:szCs w:val="24"/>
        </w:rPr>
      </w:pPr>
      <w:r w:rsidRPr="00420854">
        <w:rPr>
          <w:szCs w:val="24"/>
        </w:rPr>
        <w:t xml:space="preserve">Tato smlouva nabývá platnosti a účinnosti dnem jejího podpisu. </w:t>
      </w:r>
    </w:p>
    <w:p w14:paraId="2F247DD9" w14:textId="77777777" w:rsidR="001F1EA4" w:rsidRPr="00420854" w:rsidRDefault="001F1EA4">
      <w:pPr>
        <w:pStyle w:val="Odstavecseseznamem"/>
        <w:spacing w:after="120"/>
        <w:ind w:left="0"/>
        <w:rPr>
          <w:szCs w:val="24"/>
        </w:rPr>
      </w:pP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F1EA4" w:rsidRPr="00420854" w14:paraId="7E30DFB8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CB45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 xml:space="preserve">V </w:t>
            </w: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</w:t>
            </w:r>
            <w:r w:rsidRPr="00420854">
              <w:rPr>
                <w:i/>
                <w:szCs w:val="24"/>
              </w:rPr>
              <w:t xml:space="preserve">) </w:t>
            </w:r>
            <w:r w:rsidRPr="00420854">
              <w:rPr>
                <w:szCs w:val="24"/>
              </w:rPr>
              <w:t xml:space="preserve">dne </w:t>
            </w: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doplnit)</w:t>
            </w:r>
            <w:r w:rsidRPr="00420854">
              <w:rPr>
                <w:i/>
                <w:szCs w:val="24"/>
              </w:rPr>
              <w:t xml:space="preserve"> </w:t>
            </w:r>
          </w:p>
          <w:p w14:paraId="6E0EDCF2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4B3F29AC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512E8BC4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01B4C7B5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>__________________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14A4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 xml:space="preserve">V </w:t>
            </w: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</w:t>
            </w:r>
            <w:r w:rsidRPr="00420854">
              <w:rPr>
                <w:i/>
                <w:szCs w:val="24"/>
              </w:rPr>
              <w:t xml:space="preserve">) </w:t>
            </w:r>
            <w:r w:rsidRPr="00420854">
              <w:rPr>
                <w:szCs w:val="24"/>
              </w:rPr>
              <w:t xml:space="preserve">dne </w:t>
            </w: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doplnit)</w:t>
            </w:r>
            <w:r w:rsidRPr="00420854">
              <w:rPr>
                <w:i/>
                <w:szCs w:val="24"/>
              </w:rPr>
              <w:t xml:space="preserve"> </w:t>
            </w:r>
          </w:p>
          <w:p w14:paraId="274A9FAA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74DBFD31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368D4919" w14:textId="77777777" w:rsidR="001F1EA4" w:rsidRPr="00420854" w:rsidRDefault="001F1EA4">
            <w:pPr>
              <w:spacing w:after="0" w:line="240" w:lineRule="auto"/>
              <w:ind w:left="0"/>
              <w:rPr>
                <w:szCs w:val="24"/>
              </w:rPr>
            </w:pPr>
          </w:p>
          <w:p w14:paraId="653A0724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>__________________</w:t>
            </w:r>
          </w:p>
        </w:tc>
      </w:tr>
      <w:tr w:rsidR="001F1EA4" w:rsidRPr="00420854" w14:paraId="3D13D58A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8869" w14:textId="77777777" w:rsidR="001F1EA4" w:rsidRPr="00420854" w:rsidRDefault="00493A21">
            <w:pPr>
              <w:spacing w:after="0" w:line="240" w:lineRule="auto"/>
              <w:ind w:left="0"/>
              <w:rPr>
                <w:i/>
                <w:szCs w:val="24"/>
              </w:rPr>
            </w:pP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doplnit)</w:t>
            </w:r>
          </w:p>
          <w:p w14:paraId="0694F3A6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>zastoupený</w:t>
            </w:r>
            <w:r w:rsidRPr="00420854">
              <w:rPr>
                <w:szCs w:val="24"/>
              </w:rPr>
              <w:tab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D011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i/>
                <w:szCs w:val="24"/>
              </w:rPr>
              <w:t>(</w:t>
            </w:r>
            <w:r w:rsidRPr="00420854">
              <w:rPr>
                <w:i/>
                <w:szCs w:val="24"/>
                <w:highlight w:val="yellow"/>
              </w:rPr>
              <w:t>doplnit)</w:t>
            </w:r>
          </w:p>
          <w:p w14:paraId="7961EED2" w14:textId="77777777" w:rsidR="001F1EA4" w:rsidRPr="00420854" w:rsidRDefault="00493A21">
            <w:pPr>
              <w:spacing w:after="0" w:line="240" w:lineRule="auto"/>
              <w:ind w:left="0"/>
              <w:rPr>
                <w:szCs w:val="24"/>
              </w:rPr>
            </w:pPr>
            <w:r w:rsidRPr="00420854">
              <w:rPr>
                <w:szCs w:val="24"/>
              </w:rPr>
              <w:t>obchodní zástupce</w:t>
            </w:r>
          </w:p>
        </w:tc>
      </w:tr>
    </w:tbl>
    <w:p w14:paraId="3CF3F4A9" w14:textId="77777777" w:rsidR="001F1EA4" w:rsidRPr="00420854" w:rsidRDefault="001F1EA4">
      <w:pPr>
        <w:pStyle w:val="Odstavecseseznamem"/>
        <w:ind w:left="0"/>
        <w:rPr>
          <w:szCs w:val="24"/>
        </w:rPr>
      </w:pPr>
    </w:p>
    <w:p w14:paraId="75FDD5F3" w14:textId="77777777" w:rsidR="001F1EA4" w:rsidRPr="00420854" w:rsidRDefault="001F1EA4">
      <w:pPr>
        <w:pStyle w:val="Odstavecseseznamem"/>
        <w:ind w:left="0"/>
        <w:rPr>
          <w:szCs w:val="24"/>
        </w:rPr>
      </w:pPr>
    </w:p>
    <w:p w14:paraId="2605D453" w14:textId="77777777" w:rsidR="001F1EA4" w:rsidRPr="00420854" w:rsidRDefault="001F1EA4">
      <w:pPr>
        <w:pStyle w:val="Odstavecseseznamem"/>
        <w:ind w:left="0"/>
        <w:rPr>
          <w:szCs w:val="24"/>
        </w:rPr>
      </w:pPr>
    </w:p>
    <w:p w14:paraId="48AF302B" w14:textId="77777777" w:rsidR="001F1EA4" w:rsidRPr="00420854" w:rsidRDefault="00493A21">
      <w:pPr>
        <w:widowControl w:val="0"/>
        <w:ind w:left="0"/>
        <w:rPr>
          <w:szCs w:val="24"/>
        </w:rPr>
      </w:pPr>
      <w:r w:rsidRPr="00420854">
        <w:rPr>
          <w:b/>
          <w:color w:val="365F91" w:themeColor="accent1" w:themeShade="BF"/>
          <w:szCs w:val="24"/>
          <w:highlight w:val="yellow"/>
          <w:u w:val="single"/>
        </w:rPr>
        <w:t xml:space="preserve">!!! </w:t>
      </w:r>
      <w:proofErr w:type="gramStart"/>
      <w:r w:rsidRPr="00420854">
        <w:rPr>
          <w:b/>
          <w:color w:val="365F91" w:themeColor="accent1" w:themeShade="BF"/>
          <w:szCs w:val="24"/>
          <w:highlight w:val="yellow"/>
          <w:u w:val="single"/>
        </w:rPr>
        <w:t>UPOZORNĚNÍ !!!</w:t>
      </w:r>
      <w:proofErr w:type="gramEnd"/>
    </w:p>
    <w:p w14:paraId="03D7CE6C" w14:textId="19FF0A2A" w:rsidR="001F1EA4" w:rsidRDefault="00493A21">
      <w:pPr>
        <w:pStyle w:val="Normlnweb"/>
        <w:shd w:val="clear" w:color="auto" w:fill="FFFFFF"/>
        <w:spacing w:before="60" w:beforeAutospacing="0" w:after="60" w:afterAutospacing="0"/>
        <w:ind w:left="0"/>
        <w:jc w:val="both"/>
      </w:pPr>
      <w:r w:rsidRPr="00420854">
        <w:rPr>
          <w:rStyle w:val="Zdraznn"/>
          <w:b/>
          <w:color w:val="365F91" w:themeColor="accent1" w:themeShade="BF"/>
          <w:szCs w:val="24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420854">
        <w:rPr>
          <w:b/>
          <w:i/>
          <w:iCs/>
          <w:color w:val="365F91" w:themeColor="accent1" w:themeShade="BF"/>
          <w:szCs w:val="24"/>
          <w:highlight w:val="yellow"/>
        </w:rPr>
        <w:t>navrhne nejvhodnější změny textu s ohledem na potřeby konkrétního zadavatele, důvod závazku a postavení smluvních stran</w:t>
      </w:r>
      <w:r w:rsidRPr="00420854">
        <w:rPr>
          <w:rStyle w:val="Zdraznn"/>
          <w:b/>
          <w:color w:val="365F91" w:themeColor="accent1" w:themeShade="BF"/>
          <w:szCs w:val="24"/>
          <w:highlight w:val="yellow"/>
        </w:rPr>
        <w:t>. Pro ověření vhodnosti tohoto vzoru a jeho případnou ú</w:t>
      </w:r>
      <w:bookmarkStart w:id="0" w:name="_GoBack"/>
      <w:bookmarkEnd w:id="0"/>
      <w:r w:rsidRPr="00420854">
        <w:rPr>
          <w:rStyle w:val="Zdraznn"/>
          <w:b/>
          <w:color w:val="365F91" w:themeColor="accent1" w:themeShade="BF"/>
          <w:szCs w:val="24"/>
          <w:highlight w:val="yellow"/>
        </w:rPr>
        <w:t xml:space="preserve">pravu kontaktujte </w:t>
      </w:r>
      <w:hyperlink r:id="rId8" w:history="1">
        <w:r w:rsidR="00A61A11" w:rsidRPr="00525B78">
          <w:rPr>
            <w:rStyle w:val="Hypertextovodkaz"/>
            <w:b/>
            <w:szCs w:val="24"/>
            <w:highlight w:val="yellow"/>
          </w:rPr>
          <w:t>DKS LEGAL</w:t>
        </w:r>
      </w:hyperlink>
      <w:r w:rsidR="00A61A11" w:rsidRPr="00420854">
        <w:rPr>
          <w:rStyle w:val="Zdraznn"/>
          <w:b/>
          <w:color w:val="365F91" w:themeColor="accent1" w:themeShade="BF"/>
          <w:szCs w:val="24"/>
          <w:highlight w:val="yellow"/>
        </w:rPr>
        <w:t>.</w:t>
      </w:r>
    </w:p>
    <w:sectPr w:rsidR="001F1E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BEC5" w14:textId="77777777" w:rsidR="003E2BDE" w:rsidRDefault="003E2BDE">
      <w:pPr>
        <w:spacing w:after="0" w:line="240" w:lineRule="auto"/>
      </w:pPr>
      <w:r>
        <w:separator/>
      </w:r>
    </w:p>
  </w:endnote>
  <w:endnote w:type="continuationSeparator" w:id="0">
    <w:p w14:paraId="01B9C797" w14:textId="77777777" w:rsidR="003E2BDE" w:rsidRDefault="003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EAAD" w14:textId="77777777" w:rsidR="001F1EA4" w:rsidRDefault="001F1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75476" w14:textId="77777777" w:rsidR="003E2BDE" w:rsidRDefault="003E2BDE">
      <w:pPr>
        <w:spacing w:after="0" w:line="240" w:lineRule="auto"/>
      </w:pPr>
      <w:r>
        <w:separator/>
      </w:r>
    </w:p>
  </w:footnote>
  <w:footnote w:type="continuationSeparator" w:id="0">
    <w:p w14:paraId="79EBCEEB" w14:textId="77777777" w:rsidR="003E2BDE" w:rsidRDefault="003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0193" w14:textId="77777777" w:rsidR="001F1EA4" w:rsidRDefault="001F1E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2EA"/>
    <w:multiLevelType w:val="multilevel"/>
    <w:tmpl w:val="DC10063E"/>
    <w:lvl w:ilvl="0">
      <w:start w:val="1"/>
      <w:numFmt w:val="decimal"/>
      <w:lvlText w:val="5.%1."/>
      <w:lvlJc w:val="left"/>
      <w:pPr>
        <w:ind w:left="720" w:hanging="360"/>
      </w:pPr>
      <w:rPr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4CDC"/>
    <w:multiLevelType w:val="multilevel"/>
    <w:tmpl w:val="DE9CC808"/>
    <w:lvl w:ilvl="0">
      <w:start w:val="1"/>
      <w:numFmt w:val="decimal"/>
      <w:lvlText w:val="8.%1."/>
      <w:lvlJc w:val="left"/>
      <w:pPr>
        <w:ind w:left="720" w:hanging="360"/>
      </w:pPr>
      <w:rPr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6DB"/>
    <w:multiLevelType w:val="multilevel"/>
    <w:tmpl w:val="2FF2D724"/>
    <w:lvl w:ilvl="0">
      <w:start w:val="1"/>
      <w:numFmt w:val="decimal"/>
      <w:lvlText w:val="2.%1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6AB2"/>
    <w:multiLevelType w:val="multilevel"/>
    <w:tmpl w:val="0C28CE30"/>
    <w:lvl w:ilvl="0">
      <w:start w:val="1"/>
      <w:numFmt w:val="decimal"/>
      <w:lvlText w:val="4.%1"/>
      <w:lvlJc w:val="left"/>
      <w:pPr>
        <w:ind w:left="720" w:hanging="360"/>
      </w:pPr>
      <w:rPr>
        <w:b w:val="0"/>
        <w:bCs/>
        <w:i w:val="0"/>
        <w:i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259"/>
    <w:multiLevelType w:val="multilevel"/>
    <w:tmpl w:val="771CE662"/>
    <w:lvl w:ilvl="0">
      <w:start w:val="1"/>
      <w:numFmt w:val="decimal"/>
      <w:lvlText w:val="7.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2606"/>
    <w:multiLevelType w:val="multilevel"/>
    <w:tmpl w:val="27AC4128"/>
    <w:lvl w:ilvl="0">
      <w:start w:val="1"/>
      <w:numFmt w:val="decimal"/>
      <w:lvlText w:val="3.%1."/>
      <w:lvlJc w:val="left"/>
      <w:pPr>
        <w:ind w:left="720" w:hanging="360"/>
      </w:pPr>
      <w:rPr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159"/>
    <w:multiLevelType w:val="multilevel"/>
    <w:tmpl w:val="A1CEDA0C"/>
    <w:lvl w:ilvl="0">
      <w:start w:val="1"/>
      <w:numFmt w:val="decimal"/>
      <w:lvlText w:val="6.%1."/>
      <w:lvlJc w:val="left"/>
      <w:pPr>
        <w:ind w:left="720" w:hanging="360"/>
      </w:pPr>
      <w:rPr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5F56"/>
    <w:multiLevelType w:val="multilevel"/>
    <w:tmpl w:val="413C2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9FC144F"/>
    <w:multiLevelType w:val="multilevel"/>
    <w:tmpl w:val="F8684892"/>
    <w:lvl w:ilvl="0">
      <w:start w:val="1"/>
      <w:numFmt w:val="decimal"/>
      <w:lvlText w:val="%1"/>
      <w:lvlJc w:val="left"/>
      <w:pPr>
        <w:ind w:left="213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A4"/>
    <w:rsid w:val="00124B8E"/>
    <w:rsid w:val="001D6F86"/>
    <w:rsid w:val="001F1EA4"/>
    <w:rsid w:val="00245A9C"/>
    <w:rsid w:val="003E2BDE"/>
    <w:rsid w:val="00420854"/>
    <w:rsid w:val="00493A21"/>
    <w:rsid w:val="00525B78"/>
    <w:rsid w:val="00544274"/>
    <w:rsid w:val="005B03B4"/>
    <w:rsid w:val="00681CA1"/>
    <w:rsid w:val="007D358E"/>
    <w:rsid w:val="00845004"/>
    <w:rsid w:val="009C345C"/>
    <w:rsid w:val="00A61A11"/>
    <w:rsid w:val="00A72A9C"/>
    <w:rsid w:val="00B77CD0"/>
    <w:rsid w:val="00C11728"/>
    <w:rsid w:val="00C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D04"/>
  <w15:docId w15:val="{2EFB2CEC-7A8E-4097-8CB2-344DE8E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DD"/>
    <w:pPr>
      <w:spacing w:after="200" w:line="276" w:lineRule="auto"/>
      <w:ind w:left="7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B7193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B7193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sz w:val="28"/>
      <w:szCs w:val="24"/>
    </w:rPr>
  </w:style>
  <w:style w:type="character" w:customStyle="1" w:styleId="ListLabel3">
    <w:name w:val="ListLabel 3"/>
    <w:qFormat/>
    <w:rPr>
      <w:b/>
      <w:sz w:val="28"/>
      <w:szCs w:val="24"/>
    </w:rPr>
  </w:style>
  <w:style w:type="character" w:customStyle="1" w:styleId="ListLabel4">
    <w:name w:val="ListLabel 4"/>
    <w:qFormat/>
    <w:rPr>
      <w:b/>
      <w:sz w:val="28"/>
      <w:szCs w:val="24"/>
    </w:rPr>
  </w:style>
  <w:style w:type="character" w:customStyle="1" w:styleId="ListLabel5">
    <w:name w:val="ListLabel 5"/>
    <w:qFormat/>
    <w:rPr>
      <w:b/>
      <w:sz w:val="28"/>
      <w:szCs w:val="24"/>
    </w:rPr>
  </w:style>
  <w:style w:type="character" w:customStyle="1" w:styleId="ListLabel6">
    <w:name w:val="ListLabel 6"/>
    <w:qFormat/>
    <w:rPr>
      <w:b/>
      <w:sz w:val="28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/>
      <w:sz w:val="28"/>
      <w:szCs w:val="24"/>
    </w:rPr>
  </w:style>
  <w:style w:type="character" w:customStyle="1" w:styleId="ListLabel9">
    <w:name w:val="ListLabel 9"/>
    <w:qFormat/>
    <w:rPr>
      <w:b/>
      <w:sz w:val="28"/>
      <w:szCs w:val="28"/>
      <w:u w:val="none"/>
    </w:rPr>
  </w:style>
  <w:style w:type="character" w:styleId="Zdraznn">
    <w:name w:val="Emphasis"/>
    <w:basedOn w:val="Standardnpsmoodstavce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E294A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B719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5B7193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qFormat/>
    <w:pPr>
      <w:spacing w:beforeAutospacing="1" w:afterAutospacing="1"/>
    </w:pPr>
    <w:rPr>
      <w:color w:val="00000A"/>
    </w:rPr>
  </w:style>
  <w:style w:type="table" w:styleId="Mkatabulky">
    <w:name w:val="Table Grid"/>
    <w:basedOn w:val="Normlntabulka"/>
    <w:uiPriority w:val="59"/>
    <w:rsid w:val="00A7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72A9C"/>
  </w:style>
  <w:style w:type="character" w:styleId="Hypertextovodkaz">
    <w:name w:val="Hyperlink"/>
    <w:basedOn w:val="Standardnpsmoodstavce"/>
    <w:uiPriority w:val="99"/>
    <w:unhideWhenUsed/>
    <w:rsid w:val="00525B7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5B7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dks.cz/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FC56-9161-4FE2-B0E3-2F785AD2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Školník</dc:creator>
  <cp:keywords/>
  <dc:description/>
  <cp:lastModifiedBy>Eva D</cp:lastModifiedBy>
  <cp:revision>4</cp:revision>
  <dcterms:created xsi:type="dcterms:W3CDTF">2021-09-20T17:40:00Z</dcterms:created>
  <dcterms:modified xsi:type="dcterms:W3CDTF">2021-12-31T12:25:00Z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