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F9" w:rsidRPr="00E57D6A" w:rsidRDefault="002D4127" w:rsidP="003B67AE">
      <w:pPr>
        <w:pStyle w:val="Bezmezer"/>
        <w:spacing w:after="120"/>
        <w:jc w:val="center"/>
        <w:rPr>
          <w:rFonts w:asciiTheme="majorHAnsi" w:hAnsiTheme="majorHAnsi"/>
          <w:sz w:val="36"/>
          <w:szCs w:val="36"/>
        </w:rPr>
      </w:pPr>
      <w:r w:rsidRPr="00E57D6A">
        <w:rPr>
          <w:rFonts w:asciiTheme="majorHAnsi" w:hAnsiTheme="majorHAnsi"/>
          <w:sz w:val="36"/>
          <w:szCs w:val="36"/>
        </w:rPr>
        <w:t xml:space="preserve">DAROVACÍ </w:t>
      </w:r>
      <w:r w:rsidR="003875F9" w:rsidRPr="00E57D6A">
        <w:rPr>
          <w:rFonts w:asciiTheme="majorHAnsi" w:hAnsiTheme="majorHAnsi"/>
          <w:sz w:val="36"/>
          <w:szCs w:val="36"/>
        </w:rPr>
        <w:t>SMLOUVA</w:t>
      </w:r>
    </w:p>
    <w:p w:rsidR="003B67AE" w:rsidRPr="00E57D6A" w:rsidRDefault="003B67AE" w:rsidP="003B67A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Theme="majorHAnsi" w:hAnsiTheme="majorHAnsi"/>
          <w:sz w:val="20"/>
          <w:szCs w:val="20"/>
        </w:rPr>
      </w:pPr>
      <w:r w:rsidRPr="00E57D6A">
        <w:rPr>
          <w:rFonts w:asciiTheme="majorHAnsi" w:hAnsiTheme="majorHAnsi"/>
          <w:sz w:val="20"/>
          <w:szCs w:val="20"/>
        </w:rPr>
        <w:t xml:space="preserve">uzavřená </w:t>
      </w:r>
      <w:r w:rsidR="003875F9" w:rsidRPr="00E57D6A">
        <w:rPr>
          <w:rFonts w:asciiTheme="majorHAnsi" w:hAnsiTheme="majorHAnsi"/>
          <w:sz w:val="20"/>
          <w:szCs w:val="20"/>
        </w:rPr>
        <w:t xml:space="preserve">podle </w:t>
      </w:r>
      <w:r w:rsidR="002D4127" w:rsidRPr="00E57D6A">
        <w:rPr>
          <w:rFonts w:asciiTheme="majorHAnsi" w:hAnsiTheme="majorHAnsi"/>
          <w:sz w:val="20"/>
          <w:szCs w:val="20"/>
        </w:rPr>
        <w:t>§ 2055 a násl. zák</w:t>
      </w:r>
      <w:bookmarkStart w:id="0" w:name="_GoBack"/>
      <w:bookmarkEnd w:id="0"/>
      <w:r w:rsidR="002D4127" w:rsidRPr="00E57D6A">
        <w:rPr>
          <w:rFonts w:asciiTheme="majorHAnsi" w:hAnsiTheme="majorHAnsi"/>
          <w:sz w:val="20"/>
          <w:szCs w:val="20"/>
        </w:rPr>
        <w:t>ona č. 89/2012 Sb.</w:t>
      </w:r>
      <w:r w:rsidR="00C05443" w:rsidRPr="00E57D6A">
        <w:rPr>
          <w:rFonts w:asciiTheme="majorHAnsi" w:hAnsiTheme="majorHAnsi"/>
          <w:sz w:val="20"/>
          <w:szCs w:val="20"/>
        </w:rPr>
        <w:t>,</w:t>
      </w:r>
      <w:r w:rsidR="002D4127" w:rsidRPr="00E57D6A">
        <w:rPr>
          <w:rFonts w:asciiTheme="majorHAnsi" w:hAnsiTheme="majorHAnsi"/>
          <w:sz w:val="20"/>
          <w:szCs w:val="20"/>
        </w:rPr>
        <w:t xml:space="preserve"> občanský zákoník, v platném znění</w:t>
      </w:r>
    </w:p>
    <w:p w:rsidR="003875F9" w:rsidRPr="00E57D6A" w:rsidRDefault="0010577F" w:rsidP="003B67A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Theme="majorHAnsi" w:hAnsiTheme="majorHAnsi"/>
          <w:sz w:val="20"/>
          <w:szCs w:val="20"/>
        </w:rPr>
      </w:pPr>
      <w:r w:rsidRPr="00E57D6A">
        <w:rPr>
          <w:rFonts w:asciiTheme="majorHAnsi" w:hAnsiTheme="majorHAnsi"/>
          <w:sz w:val="20"/>
          <w:szCs w:val="20"/>
        </w:rPr>
        <w:t xml:space="preserve"> (dále jen „</w:t>
      </w:r>
      <w:r w:rsidR="002D4127" w:rsidRPr="00E57D6A">
        <w:rPr>
          <w:rFonts w:asciiTheme="majorHAnsi" w:hAnsiTheme="majorHAnsi"/>
          <w:b/>
          <w:sz w:val="20"/>
          <w:szCs w:val="20"/>
        </w:rPr>
        <w:t>občanský</w:t>
      </w:r>
      <w:r w:rsidR="002D4127" w:rsidRPr="00E57D6A">
        <w:rPr>
          <w:rFonts w:asciiTheme="majorHAnsi" w:hAnsiTheme="majorHAnsi"/>
          <w:sz w:val="20"/>
          <w:szCs w:val="20"/>
        </w:rPr>
        <w:t xml:space="preserve"> </w:t>
      </w:r>
      <w:r w:rsidRPr="00E57D6A">
        <w:rPr>
          <w:rFonts w:asciiTheme="majorHAnsi" w:hAnsiTheme="majorHAnsi"/>
          <w:b/>
          <w:sz w:val="20"/>
          <w:szCs w:val="20"/>
        </w:rPr>
        <w:t>zákoník</w:t>
      </w:r>
      <w:r w:rsidRPr="00E57D6A">
        <w:rPr>
          <w:rFonts w:asciiTheme="majorHAnsi" w:hAnsiTheme="majorHAnsi"/>
          <w:sz w:val="20"/>
          <w:szCs w:val="20"/>
        </w:rPr>
        <w:t>“)</w:t>
      </w:r>
    </w:p>
    <w:p w:rsidR="0010577F" w:rsidRPr="00E57D6A" w:rsidRDefault="0010577F" w:rsidP="0010577F">
      <w:pPr>
        <w:spacing w:before="60" w:after="60" w:line="276" w:lineRule="auto"/>
        <w:jc w:val="both"/>
        <w:rPr>
          <w:rFonts w:asciiTheme="majorHAnsi" w:hAnsiTheme="majorHAnsi"/>
        </w:rPr>
      </w:pPr>
    </w:p>
    <w:p w:rsidR="0010577F" w:rsidRPr="00E57D6A" w:rsidRDefault="0010577F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57D6A">
        <w:rPr>
          <w:rFonts w:asciiTheme="majorHAnsi" w:hAnsiTheme="majorHAnsi"/>
          <w:b/>
          <w:sz w:val="22"/>
          <w:szCs w:val="22"/>
          <w:u w:val="single"/>
        </w:rPr>
        <w:t>Smluvní strany</w:t>
      </w:r>
    </w:p>
    <w:p w:rsidR="002D4127" w:rsidRPr="00E57D6A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 xml:space="preserve">jméno a příjmení: </w:t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  <w:t>(</w:t>
      </w:r>
      <w:r w:rsidRPr="00E57D6A">
        <w:rPr>
          <w:rFonts w:asciiTheme="majorHAnsi" w:hAnsiTheme="majorHAnsi"/>
          <w:sz w:val="22"/>
          <w:szCs w:val="22"/>
          <w:highlight w:val="yellow"/>
        </w:rPr>
        <w:t>doplnit</w:t>
      </w:r>
      <w:r w:rsidRPr="00E57D6A">
        <w:rPr>
          <w:rFonts w:asciiTheme="majorHAnsi" w:hAnsiTheme="majorHAnsi"/>
          <w:sz w:val="22"/>
          <w:szCs w:val="22"/>
        </w:rPr>
        <w:t>)</w:t>
      </w:r>
    </w:p>
    <w:p w:rsidR="002D4127" w:rsidRPr="00E57D6A" w:rsidRDefault="002D4127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 xml:space="preserve">datum narození: </w:t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  <w:t>(</w:t>
      </w:r>
      <w:r w:rsidRPr="00E57D6A">
        <w:rPr>
          <w:rFonts w:asciiTheme="majorHAnsi" w:hAnsiTheme="majorHAnsi"/>
          <w:sz w:val="22"/>
          <w:szCs w:val="22"/>
          <w:highlight w:val="yellow"/>
        </w:rPr>
        <w:t>doplnit</w:t>
      </w:r>
      <w:r w:rsidRPr="00E57D6A">
        <w:rPr>
          <w:rFonts w:asciiTheme="majorHAnsi" w:hAnsiTheme="majorHAnsi"/>
          <w:sz w:val="22"/>
          <w:szCs w:val="22"/>
        </w:rPr>
        <w:t>)</w:t>
      </w:r>
    </w:p>
    <w:p w:rsidR="002D4127" w:rsidRPr="00E57D6A" w:rsidRDefault="002D4127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bydliště:</w:t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  <w:t>(</w:t>
      </w:r>
      <w:r w:rsidRPr="00E57D6A">
        <w:rPr>
          <w:rFonts w:asciiTheme="majorHAnsi" w:hAnsiTheme="majorHAnsi"/>
          <w:sz w:val="22"/>
          <w:szCs w:val="22"/>
          <w:highlight w:val="yellow"/>
        </w:rPr>
        <w:t>doplnit</w:t>
      </w:r>
      <w:r w:rsidRPr="00E57D6A">
        <w:rPr>
          <w:rFonts w:asciiTheme="majorHAnsi" w:hAnsiTheme="majorHAnsi"/>
          <w:sz w:val="22"/>
          <w:szCs w:val="22"/>
        </w:rPr>
        <w:t>)</w:t>
      </w:r>
    </w:p>
    <w:p w:rsidR="0028225B" w:rsidRPr="00E57D6A" w:rsidRDefault="0028225B" w:rsidP="002D4127">
      <w:pPr>
        <w:pStyle w:val="cotext"/>
        <w:spacing w:before="60" w:after="60" w:line="320" w:lineRule="atLeast"/>
        <w:ind w:left="709" w:hanging="709"/>
        <w:rPr>
          <w:rFonts w:asciiTheme="majorHAnsi" w:hAnsiTheme="majorHAnsi" w:cs="Times New Roman"/>
          <w:szCs w:val="22"/>
        </w:rPr>
      </w:pPr>
    </w:p>
    <w:p w:rsidR="0010577F" w:rsidRPr="00E57D6A" w:rsidRDefault="000F4CD1" w:rsidP="00804B1E">
      <w:pPr>
        <w:pStyle w:val="Normlnweb"/>
        <w:shd w:val="clear" w:color="auto" w:fill="FFFFFF"/>
        <w:spacing w:before="120" w:beforeAutospacing="0" w:after="60" w:afterAutospacing="0" w:line="276" w:lineRule="auto"/>
        <w:ind w:firstLine="357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(</w:t>
      </w:r>
      <w:r w:rsidR="0010577F" w:rsidRPr="00E57D6A">
        <w:rPr>
          <w:rFonts w:asciiTheme="majorHAnsi" w:hAnsiTheme="majorHAnsi"/>
          <w:sz w:val="22"/>
          <w:szCs w:val="22"/>
        </w:rPr>
        <w:t>dále také jen „</w:t>
      </w:r>
      <w:r w:rsidR="002D4127" w:rsidRPr="00E57D6A">
        <w:rPr>
          <w:rFonts w:asciiTheme="majorHAnsi" w:hAnsiTheme="majorHAnsi"/>
          <w:b/>
          <w:sz w:val="22"/>
          <w:szCs w:val="22"/>
        </w:rPr>
        <w:t>dárce</w:t>
      </w:r>
      <w:r w:rsidR="0010577F" w:rsidRPr="00E57D6A">
        <w:rPr>
          <w:rFonts w:asciiTheme="majorHAnsi" w:hAnsiTheme="majorHAnsi"/>
          <w:sz w:val="22"/>
          <w:szCs w:val="22"/>
        </w:rPr>
        <w:t>“</w:t>
      </w:r>
      <w:r w:rsidRPr="00E57D6A">
        <w:rPr>
          <w:rFonts w:asciiTheme="majorHAnsi" w:hAnsiTheme="majorHAnsi"/>
          <w:sz w:val="22"/>
          <w:szCs w:val="22"/>
        </w:rPr>
        <w:t>)</w:t>
      </w:r>
    </w:p>
    <w:p w:rsidR="0010577F" w:rsidRPr="00E57D6A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10577F" w:rsidRPr="00E57D6A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a</w:t>
      </w:r>
    </w:p>
    <w:p w:rsidR="0010577F" w:rsidRPr="00E57D6A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10577F" w:rsidRPr="00E57D6A" w:rsidRDefault="0010577F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 xml:space="preserve">jméno a příjmení: </w:t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="0028225B" w:rsidRPr="00E57D6A">
        <w:rPr>
          <w:rFonts w:asciiTheme="majorHAnsi" w:hAnsiTheme="majorHAnsi"/>
          <w:sz w:val="22"/>
          <w:szCs w:val="22"/>
        </w:rPr>
        <w:tab/>
      </w:r>
      <w:r w:rsidR="002D4127" w:rsidRPr="00E57D6A">
        <w:rPr>
          <w:rFonts w:asciiTheme="majorHAnsi" w:hAnsiTheme="majorHAnsi"/>
          <w:sz w:val="22"/>
          <w:szCs w:val="22"/>
        </w:rPr>
        <w:tab/>
      </w:r>
      <w:r w:rsidR="0028225B" w:rsidRPr="00E57D6A">
        <w:rPr>
          <w:rFonts w:asciiTheme="majorHAnsi" w:hAnsiTheme="majorHAnsi"/>
          <w:sz w:val="22"/>
          <w:szCs w:val="22"/>
        </w:rPr>
        <w:t>(</w:t>
      </w:r>
      <w:r w:rsidR="0028225B" w:rsidRPr="00E57D6A">
        <w:rPr>
          <w:rFonts w:asciiTheme="majorHAnsi" w:hAnsiTheme="majorHAnsi"/>
          <w:sz w:val="22"/>
          <w:szCs w:val="22"/>
          <w:highlight w:val="yellow"/>
        </w:rPr>
        <w:t>doplnit</w:t>
      </w:r>
      <w:r w:rsidR="0028225B" w:rsidRPr="00E57D6A">
        <w:rPr>
          <w:rFonts w:asciiTheme="majorHAnsi" w:hAnsiTheme="majorHAnsi"/>
          <w:sz w:val="22"/>
          <w:szCs w:val="22"/>
        </w:rPr>
        <w:t>)</w:t>
      </w:r>
    </w:p>
    <w:p w:rsidR="0010577F" w:rsidRPr="00E57D6A" w:rsidRDefault="0010577F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 xml:space="preserve">datum narození: </w:t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="0028225B" w:rsidRPr="00E57D6A">
        <w:rPr>
          <w:rFonts w:asciiTheme="majorHAnsi" w:hAnsiTheme="majorHAnsi"/>
          <w:sz w:val="22"/>
          <w:szCs w:val="22"/>
        </w:rPr>
        <w:tab/>
        <w:t>(</w:t>
      </w:r>
      <w:r w:rsidR="0028225B" w:rsidRPr="00E57D6A">
        <w:rPr>
          <w:rFonts w:asciiTheme="majorHAnsi" w:hAnsiTheme="majorHAnsi"/>
          <w:sz w:val="22"/>
          <w:szCs w:val="22"/>
          <w:highlight w:val="yellow"/>
        </w:rPr>
        <w:t>doplnit</w:t>
      </w:r>
      <w:r w:rsidR="0028225B" w:rsidRPr="00E57D6A">
        <w:rPr>
          <w:rFonts w:asciiTheme="majorHAnsi" w:hAnsiTheme="majorHAnsi"/>
          <w:sz w:val="22"/>
          <w:szCs w:val="22"/>
        </w:rPr>
        <w:t>)</w:t>
      </w:r>
    </w:p>
    <w:p w:rsidR="0010577F" w:rsidRPr="00E57D6A" w:rsidRDefault="0010577F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bydliště:</w:t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="0028225B" w:rsidRPr="00E57D6A">
        <w:rPr>
          <w:rFonts w:asciiTheme="majorHAnsi" w:hAnsiTheme="majorHAnsi"/>
          <w:sz w:val="22"/>
          <w:szCs w:val="22"/>
        </w:rPr>
        <w:tab/>
        <w:t>(</w:t>
      </w:r>
      <w:r w:rsidR="0028225B" w:rsidRPr="00E57D6A">
        <w:rPr>
          <w:rFonts w:asciiTheme="majorHAnsi" w:hAnsiTheme="majorHAnsi"/>
          <w:sz w:val="22"/>
          <w:szCs w:val="22"/>
          <w:highlight w:val="yellow"/>
        </w:rPr>
        <w:t>doplnit</w:t>
      </w:r>
      <w:r w:rsidR="0028225B" w:rsidRPr="00E57D6A">
        <w:rPr>
          <w:rFonts w:asciiTheme="majorHAnsi" w:hAnsiTheme="majorHAnsi"/>
          <w:sz w:val="22"/>
          <w:szCs w:val="22"/>
        </w:rPr>
        <w:t>)</w:t>
      </w:r>
    </w:p>
    <w:p w:rsidR="0010577F" w:rsidRPr="00E57D6A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10577F" w:rsidRPr="00E57D6A" w:rsidRDefault="000F4CD1" w:rsidP="0010577F">
      <w:pPr>
        <w:pStyle w:val="Normlnweb"/>
        <w:shd w:val="clear" w:color="auto" w:fill="FFFFFF"/>
        <w:spacing w:before="60" w:beforeAutospacing="0" w:after="60" w:afterAutospacing="0" w:line="276" w:lineRule="auto"/>
        <w:ind w:firstLine="360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(</w:t>
      </w:r>
      <w:r w:rsidR="0010577F" w:rsidRPr="00E57D6A">
        <w:rPr>
          <w:rFonts w:asciiTheme="majorHAnsi" w:hAnsiTheme="majorHAnsi"/>
          <w:sz w:val="22"/>
          <w:szCs w:val="22"/>
        </w:rPr>
        <w:t>dále také jen „</w:t>
      </w:r>
      <w:r w:rsidR="002D4127" w:rsidRPr="00E57D6A">
        <w:rPr>
          <w:rFonts w:asciiTheme="majorHAnsi" w:hAnsiTheme="majorHAnsi"/>
          <w:b/>
          <w:sz w:val="22"/>
          <w:szCs w:val="22"/>
        </w:rPr>
        <w:t>obdarovaný</w:t>
      </w:r>
      <w:r w:rsidR="0010577F" w:rsidRPr="00E57D6A">
        <w:rPr>
          <w:rFonts w:asciiTheme="majorHAnsi" w:hAnsiTheme="majorHAnsi"/>
          <w:sz w:val="22"/>
          <w:szCs w:val="22"/>
        </w:rPr>
        <w:t>“</w:t>
      </w:r>
      <w:r w:rsidRPr="00E57D6A">
        <w:rPr>
          <w:rFonts w:asciiTheme="majorHAnsi" w:hAnsiTheme="majorHAnsi"/>
          <w:sz w:val="22"/>
          <w:szCs w:val="22"/>
        </w:rPr>
        <w:t>)</w:t>
      </w:r>
    </w:p>
    <w:p w:rsidR="0010577F" w:rsidRPr="00E57D6A" w:rsidRDefault="0010577F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10577F" w:rsidRPr="00E57D6A" w:rsidRDefault="002D4127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 xml:space="preserve">dárce a obdarovaný </w:t>
      </w:r>
      <w:r w:rsidR="0010577F" w:rsidRPr="00E57D6A">
        <w:rPr>
          <w:rFonts w:asciiTheme="majorHAnsi" w:hAnsiTheme="majorHAnsi"/>
          <w:sz w:val="22"/>
          <w:szCs w:val="22"/>
        </w:rPr>
        <w:t>dále také společně jako „smluvní strany“</w:t>
      </w:r>
      <w:r w:rsidR="000F4CD1" w:rsidRPr="00E57D6A">
        <w:rPr>
          <w:rFonts w:asciiTheme="majorHAnsi" w:hAnsiTheme="majorHAnsi"/>
          <w:sz w:val="22"/>
          <w:szCs w:val="22"/>
        </w:rPr>
        <w:t xml:space="preserve"> a každý samostatně jako „smluvní strana“ uzavírají níže uvedeného dne, měsíce a roku tuto </w:t>
      </w:r>
    </w:p>
    <w:p w:rsidR="000F4CD1" w:rsidRPr="00E57D6A" w:rsidRDefault="000F4CD1" w:rsidP="0010577F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0F4CD1" w:rsidRPr="00E57D6A" w:rsidRDefault="002D4127" w:rsidP="000F4CD1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 xml:space="preserve">darovací </w:t>
      </w:r>
      <w:r w:rsidR="000F4CD1" w:rsidRPr="00E57D6A">
        <w:rPr>
          <w:rFonts w:asciiTheme="majorHAnsi" w:hAnsiTheme="majorHAnsi"/>
          <w:sz w:val="22"/>
          <w:szCs w:val="22"/>
        </w:rPr>
        <w:t>smlouvu</w:t>
      </w:r>
    </w:p>
    <w:p w:rsidR="003875F9" w:rsidRPr="00E57D6A" w:rsidRDefault="003875F9" w:rsidP="0010577F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</w:rPr>
      </w:pPr>
      <w:bookmarkStart w:id="1" w:name="OLE_LINK1"/>
      <w:bookmarkStart w:id="2" w:name="OLE_LINK2"/>
      <w:bookmarkStart w:id="3" w:name="OLE_LINK3"/>
    </w:p>
    <w:p w:rsidR="003875F9" w:rsidRPr="00E57D6A" w:rsidRDefault="003875F9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57D6A">
        <w:rPr>
          <w:rFonts w:asciiTheme="majorHAnsi" w:hAnsiTheme="majorHAnsi"/>
          <w:b/>
          <w:sz w:val="22"/>
          <w:szCs w:val="22"/>
          <w:u w:val="single"/>
        </w:rPr>
        <w:t>P</w:t>
      </w:r>
      <w:r w:rsidR="002D4127" w:rsidRPr="00E57D6A">
        <w:rPr>
          <w:rFonts w:asciiTheme="majorHAnsi" w:hAnsiTheme="majorHAnsi"/>
          <w:b/>
          <w:sz w:val="22"/>
          <w:szCs w:val="22"/>
          <w:u w:val="single"/>
        </w:rPr>
        <w:t>ředmět smlouvy</w:t>
      </w:r>
    </w:p>
    <w:p w:rsidR="002D4127" w:rsidRPr="00E57D6A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Dárce tímto prohlašuje, že má ve svém výlučném vlastnictví (</w:t>
      </w:r>
      <w:r w:rsidRPr="00E57D6A">
        <w:rPr>
          <w:rFonts w:asciiTheme="majorHAnsi" w:hAnsiTheme="majorHAnsi"/>
          <w:sz w:val="22"/>
          <w:szCs w:val="22"/>
          <w:highlight w:val="yellow"/>
        </w:rPr>
        <w:t>doplnit</w:t>
      </w:r>
      <w:r w:rsidRPr="00E57D6A">
        <w:rPr>
          <w:rFonts w:asciiTheme="majorHAnsi" w:hAnsiTheme="majorHAnsi"/>
          <w:sz w:val="22"/>
          <w:szCs w:val="22"/>
        </w:rPr>
        <w:t>) a že není žádným způsobem omezena jeho možnost s tímto majetkem disponovat.</w:t>
      </w:r>
    </w:p>
    <w:p w:rsidR="002D4127" w:rsidRPr="00E57D6A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Dárce tímto daruje (</w:t>
      </w:r>
      <w:r w:rsidRPr="00E57D6A">
        <w:rPr>
          <w:rFonts w:asciiTheme="majorHAnsi" w:hAnsiTheme="majorHAnsi"/>
          <w:sz w:val="22"/>
          <w:szCs w:val="22"/>
          <w:highlight w:val="yellow"/>
        </w:rPr>
        <w:t>doplnit</w:t>
      </w:r>
      <w:r w:rsidRPr="00E57D6A">
        <w:rPr>
          <w:rFonts w:asciiTheme="majorHAnsi" w:hAnsiTheme="majorHAnsi"/>
          <w:sz w:val="22"/>
          <w:szCs w:val="22"/>
        </w:rPr>
        <w:t>) (dále jen „</w:t>
      </w:r>
      <w:r w:rsidRPr="00E57D6A">
        <w:rPr>
          <w:rFonts w:asciiTheme="majorHAnsi" w:hAnsiTheme="majorHAnsi"/>
          <w:b/>
          <w:sz w:val="22"/>
          <w:szCs w:val="22"/>
        </w:rPr>
        <w:t>dar</w:t>
      </w:r>
      <w:r w:rsidRPr="00E57D6A">
        <w:rPr>
          <w:rFonts w:asciiTheme="majorHAnsi" w:hAnsiTheme="majorHAnsi"/>
          <w:sz w:val="22"/>
          <w:szCs w:val="22"/>
        </w:rPr>
        <w:t>“) obdarovanému, a to do jeho výlučného vlastnictví a obdarovaný prohlašuje, že celý dar do svého vlastnictví</w:t>
      </w:r>
      <w:r w:rsidR="007C4552" w:rsidRPr="00E57D6A">
        <w:rPr>
          <w:rFonts w:asciiTheme="majorHAnsi" w:hAnsiTheme="majorHAnsi"/>
          <w:sz w:val="22"/>
          <w:szCs w:val="22"/>
        </w:rPr>
        <w:t xml:space="preserve"> přijímá</w:t>
      </w:r>
      <w:r w:rsidRPr="00E57D6A">
        <w:rPr>
          <w:rFonts w:asciiTheme="majorHAnsi" w:hAnsiTheme="majorHAnsi"/>
          <w:sz w:val="22"/>
          <w:szCs w:val="22"/>
        </w:rPr>
        <w:t>.</w:t>
      </w:r>
    </w:p>
    <w:p w:rsidR="002D4127" w:rsidRPr="00E57D6A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Obdarovaný tímto potvrzuje, že celý dar mu byl darujícím předán při podpisu této smlouvy.</w:t>
      </w:r>
    </w:p>
    <w:p w:rsidR="002D4127" w:rsidRPr="00E57D6A" w:rsidRDefault="002D4127" w:rsidP="002D4127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</w:p>
    <w:bookmarkEnd w:id="1"/>
    <w:bookmarkEnd w:id="2"/>
    <w:bookmarkEnd w:id="3"/>
    <w:p w:rsidR="003875F9" w:rsidRPr="00E57D6A" w:rsidRDefault="0010577F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57D6A">
        <w:rPr>
          <w:rFonts w:asciiTheme="majorHAnsi" w:hAnsiTheme="majorHAnsi"/>
          <w:b/>
          <w:sz w:val="22"/>
          <w:szCs w:val="22"/>
          <w:u w:val="single"/>
        </w:rPr>
        <w:t>D</w:t>
      </w:r>
      <w:r w:rsidR="002D4127" w:rsidRPr="00E57D6A">
        <w:rPr>
          <w:rFonts w:asciiTheme="majorHAnsi" w:hAnsiTheme="majorHAnsi"/>
          <w:b/>
          <w:sz w:val="22"/>
          <w:szCs w:val="22"/>
          <w:u w:val="single"/>
        </w:rPr>
        <w:t>alší ujednání v souvislosti s darováním</w:t>
      </w:r>
    </w:p>
    <w:p w:rsidR="002D4127" w:rsidRPr="00E57D6A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 xml:space="preserve">Dar se převádí bez </w:t>
      </w:r>
      <w:r w:rsidR="007C4552" w:rsidRPr="00E57D6A">
        <w:rPr>
          <w:rFonts w:asciiTheme="majorHAnsi" w:hAnsiTheme="majorHAnsi"/>
          <w:sz w:val="22"/>
          <w:szCs w:val="22"/>
        </w:rPr>
        <w:t xml:space="preserve">právních vad, </w:t>
      </w:r>
      <w:r w:rsidRPr="00E57D6A">
        <w:rPr>
          <w:rFonts w:asciiTheme="majorHAnsi" w:hAnsiTheme="majorHAnsi"/>
          <w:sz w:val="22"/>
          <w:szCs w:val="22"/>
        </w:rPr>
        <w:t xml:space="preserve">dluhů a břemen, </w:t>
      </w:r>
      <w:r w:rsidR="007C4552" w:rsidRPr="00E57D6A">
        <w:rPr>
          <w:rFonts w:asciiTheme="majorHAnsi" w:hAnsiTheme="majorHAnsi"/>
          <w:sz w:val="22"/>
          <w:szCs w:val="22"/>
        </w:rPr>
        <w:t xml:space="preserve">na obdarovaného nepřecházejí v souvislosti s darováním žádné dluhy </w:t>
      </w:r>
      <w:r w:rsidRPr="00E57D6A">
        <w:rPr>
          <w:rFonts w:asciiTheme="majorHAnsi" w:hAnsiTheme="majorHAnsi"/>
          <w:sz w:val="22"/>
          <w:szCs w:val="22"/>
        </w:rPr>
        <w:t>ani bř</w:t>
      </w:r>
      <w:r w:rsidR="007C4552" w:rsidRPr="00E57D6A">
        <w:rPr>
          <w:rFonts w:asciiTheme="majorHAnsi" w:hAnsiTheme="majorHAnsi"/>
          <w:sz w:val="22"/>
          <w:szCs w:val="22"/>
        </w:rPr>
        <w:t>emena</w:t>
      </w:r>
      <w:r w:rsidRPr="00E57D6A">
        <w:rPr>
          <w:rFonts w:asciiTheme="majorHAnsi" w:hAnsiTheme="majorHAnsi"/>
          <w:sz w:val="22"/>
          <w:szCs w:val="22"/>
        </w:rPr>
        <w:t>.</w:t>
      </w:r>
    </w:p>
    <w:p w:rsidR="00AF1326" w:rsidRDefault="009D2280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AF1326">
        <w:rPr>
          <w:rFonts w:asciiTheme="majorHAnsi" w:hAnsiTheme="majorHAnsi"/>
          <w:sz w:val="22"/>
          <w:szCs w:val="22"/>
        </w:rPr>
        <w:lastRenderedPageBreak/>
        <w:t xml:space="preserve">Strany jsou obeznámeny s možností odvolání daru z důvodů stanovených občanským zákoníkem. </w:t>
      </w:r>
      <w:r w:rsidR="00AF1326" w:rsidRPr="00AF1326">
        <w:rPr>
          <w:rFonts w:asciiTheme="majorHAnsi" w:hAnsiTheme="majorHAnsi"/>
          <w:sz w:val="22"/>
          <w:szCs w:val="22"/>
        </w:rPr>
        <w:t xml:space="preserve">Upadne-li dárce po darování daru do takové hmotné nouze, že nemá ani na vlastní výživu či výživu osoby, vůči níž má dárce vyživovací povinnost, </w:t>
      </w:r>
      <w:r w:rsidR="00AF1326">
        <w:rPr>
          <w:rFonts w:asciiTheme="majorHAnsi" w:hAnsiTheme="majorHAnsi"/>
          <w:sz w:val="22"/>
          <w:szCs w:val="22"/>
        </w:rPr>
        <w:t>v</w:t>
      </w:r>
      <w:r w:rsidR="002D4127" w:rsidRPr="00AF1326">
        <w:rPr>
          <w:rFonts w:asciiTheme="majorHAnsi" w:hAnsiTheme="majorHAnsi"/>
          <w:sz w:val="22"/>
          <w:szCs w:val="22"/>
        </w:rPr>
        <w:t>znik</w:t>
      </w:r>
      <w:r w:rsidR="00AF1326">
        <w:rPr>
          <w:rFonts w:asciiTheme="majorHAnsi" w:hAnsiTheme="majorHAnsi"/>
          <w:sz w:val="22"/>
          <w:szCs w:val="22"/>
        </w:rPr>
        <w:t>á</w:t>
      </w:r>
      <w:r w:rsidR="002D4127" w:rsidRPr="00AF1326">
        <w:rPr>
          <w:rFonts w:asciiTheme="majorHAnsi" w:hAnsiTheme="majorHAnsi"/>
          <w:sz w:val="22"/>
          <w:szCs w:val="22"/>
        </w:rPr>
        <w:t xml:space="preserve"> dárci právo </w:t>
      </w:r>
      <w:r w:rsidR="00AF1326" w:rsidRPr="00AF1326">
        <w:rPr>
          <w:rFonts w:asciiTheme="majorHAnsi" w:hAnsiTheme="majorHAnsi"/>
          <w:sz w:val="22"/>
          <w:szCs w:val="22"/>
        </w:rPr>
        <w:t xml:space="preserve">dar </w:t>
      </w:r>
      <w:r w:rsidR="002D4127" w:rsidRPr="00AF1326">
        <w:rPr>
          <w:rFonts w:asciiTheme="majorHAnsi" w:hAnsiTheme="majorHAnsi"/>
          <w:sz w:val="22"/>
          <w:szCs w:val="22"/>
        </w:rPr>
        <w:t>odvolat</w:t>
      </w:r>
      <w:r w:rsidR="00AF1326">
        <w:rPr>
          <w:rFonts w:asciiTheme="majorHAnsi" w:hAnsiTheme="majorHAnsi"/>
          <w:sz w:val="22"/>
          <w:szCs w:val="22"/>
        </w:rPr>
        <w:t xml:space="preserve">. V případě, že dar bude ze strany dárce odvolán, zavazuje se obdarovaný převést své vlastnické právo k daru zpět na dárce. Ocitne-li se obdarovaný po nabytí vlastnického práva k daru v obdobné nouzi, při níž by dárci vzniklo práva dar odvolat, není obdarovaný povinen dar vrátit. </w:t>
      </w:r>
    </w:p>
    <w:p w:rsidR="00827CD5" w:rsidRDefault="00D67472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Právo od</w:t>
      </w:r>
      <w:r w:rsidR="00F94A7C">
        <w:rPr>
          <w:rFonts w:asciiTheme="majorHAnsi" w:hAnsiTheme="majorHAnsi"/>
          <w:sz w:val="22"/>
          <w:szCs w:val="22"/>
        </w:rPr>
        <w:t xml:space="preserve"> této smlouvy odstoupit </w:t>
      </w:r>
      <w:r w:rsidR="00115FDE">
        <w:rPr>
          <w:rFonts w:asciiTheme="majorHAnsi" w:hAnsiTheme="majorHAnsi"/>
          <w:sz w:val="22"/>
          <w:szCs w:val="22"/>
        </w:rPr>
        <w:t xml:space="preserve">pro nevděk obdarovaného </w:t>
      </w:r>
      <w:r>
        <w:rPr>
          <w:rFonts w:asciiTheme="majorHAnsi" w:hAnsiTheme="majorHAnsi"/>
          <w:sz w:val="22"/>
          <w:szCs w:val="22"/>
        </w:rPr>
        <w:t>náleží dárci v případě, že je mu ze strany obdarovaného ublíženo tak, že takové jednání obdarovaného zjevně porušuje dobré mravy.</w:t>
      </w:r>
      <w:r w:rsidR="00115FDE">
        <w:rPr>
          <w:rFonts w:asciiTheme="majorHAnsi" w:hAnsiTheme="majorHAnsi"/>
          <w:sz w:val="22"/>
          <w:szCs w:val="22"/>
        </w:rPr>
        <w:t xml:space="preserve"> Pokud ke splnění podmínek pro odvolání da</w:t>
      </w:r>
      <w:r w:rsidR="00F94A7C">
        <w:rPr>
          <w:rFonts w:asciiTheme="majorHAnsi" w:hAnsiTheme="majorHAnsi"/>
          <w:sz w:val="22"/>
          <w:szCs w:val="22"/>
        </w:rPr>
        <w:t xml:space="preserve">ru pro nevděk obdarovaného došlo až po převodu vlastnického práva na obdarovaného, náleží dárci právo požadovat na obdarovaném vydání daru. Není-li vydání daru možné, má dárce právo </w:t>
      </w:r>
      <w:r w:rsidR="00835A3D">
        <w:rPr>
          <w:rFonts w:asciiTheme="majorHAnsi" w:hAnsiTheme="majorHAnsi"/>
          <w:sz w:val="22"/>
          <w:szCs w:val="22"/>
        </w:rPr>
        <w:t>na zaplacení obvyklé ceny daru.</w:t>
      </w:r>
    </w:p>
    <w:p w:rsidR="002D4127" w:rsidRPr="00E57D6A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Náklady spojené se sepsáním této smlouvy nese dárce, poplatky z darování hradí obdarovaný.</w:t>
      </w:r>
    </w:p>
    <w:p w:rsidR="003875F9" w:rsidRPr="00E57D6A" w:rsidRDefault="003875F9" w:rsidP="0010577F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</w:rPr>
      </w:pPr>
    </w:p>
    <w:p w:rsidR="003875F9" w:rsidRPr="00E57D6A" w:rsidRDefault="003875F9" w:rsidP="00455BC1">
      <w:pPr>
        <w:pStyle w:val="Normlnweb"/>
        <w:numPr>
          <w:ilvl w:val="0"/>
          <w:numId w:val="22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57D6A">
        <w:rPr>
          <w:rFonts w:asciiTheme="majorHAnsi" w:hAnsiTheme="majorHAnsi"/>
          <w:b/>
          <w:sz w:val="22"/>
          <w:szCs w:val="22"/>
          <w:u w:val="single"/>
        </w:rPr>
        <w:t>Z</w:t>
      </w:r>
      <w:r w:rsidR="002D4127" w:rsidRPr="00E57D6A">
        <w:rPr>
          <w:rFonts w:asciiTheme="majorHAnsi" w:hAnsiTheme="majorHAnsi"/>
          <w:b/>
          <w:sz w:val="22"/>
          <w:szCs w:val="22"/>
          <w:u w:val="single"/>
        </w:rPr>
        <w:t>ávěrečná ustanovení</w:t>
      </w:r>
    </w:p>
    <w:p w:rsidR="002D4127" w:rsidRPr="00E57D6A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eastAsia="MS Mincho" w:hAnsiTheme="majorHAnsi"/>
          <w:sz w:val="22"/>
          <w:szCs w:val="22"/>
        </w:rPr>
      </w:pPr>
      <w:r w:rsidRPr="00E57D6A">
        <w:rPr>
          <w:rFonts w:asciiTheme="majorHAnsi" w:eastAsia="MS Mincho" w:hAnsiTheme="majorHAnsi"/>
          <w:sz w:val="22"/>
          <w:szCs w:val="22"/>
        </w:rPr>
        <w:t xml:space="preserve">Změny této smlouvy lze činit pouze po dohodě obou stran písemnou formou. </w:t>
      </w:r>
    </w:p>
    <w:p w:rsidR="002D4127" w:rsidRPr="00E57D6A" w:rsidRDefault="007C4552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eastAsia="MS Mincho" w:hAnsiTheme="majorHAnsi"/>
          <w:sz w:val="22"/>
          <w:szCs w:val="22"/>
        </w:rPr>
      </w:pPr>
      <w:r w:rsidRPr="00E57D6A">
        <w:rPr>
          <w:rFonts w:asciiTheme="majorHAnsi" w:eastAsia="MS Mincho" w:hAnsiTheme="majorHAnsi"/>
          <w:sz w:val="22"/>
          <w:szCs w:val="22"/>
        </w:rPr>
        <w:t>Tato s</w:t>
      </w:r>
      <w:r w:rsidR="002D4127" w:rsidRPr="00E57D6A">
        <w:rPr>
          <w:rFonts w:asciiTheme="majorHAnsi" w:eastAsia="MS Mincho" w:hAnsiTheme="majorHAnsi"/>
          <w:sz w:val="22"/>
          <w:szCs w:val="22"/>
        </w:rPr>
        <w:t xml:space="preserve">mlouva, jakož i práva a povinnosti vzniklé na základě této </w:t>
      </w:r>
      <w:r w:rsidRPr="00E57D6A">
        <w:rPr>
          <w:rFonts w:asciiTheme="majorHAnsi" w:eastAsia="MS Mincho" w:hAnsiTheme="majorHAnsi"/>
          <w:sz w:val="22"/>
          <w:szCs w:val="22"/>
        </w:rPr>
        <w:t>s</w:t>
      </w:r>
      <w:r w:rsidR="002D4127" w:rsidRPr="00E57D6A">
        <w:rPr>
          <w:rFonts w:asciiTheme="majorHAnsi" w:eastAsia="MS Mincho" w:hAnsiTheme="majorHAnsi"/>
          <w:sz w:val="22"/>
          <w:szCs w:val="22"/>
        </w:rPr>
        <w:t>mlouvy nebo v souvislosti s ní, se řídí zákonem č. 89/2012 Sb. ve znění pozdějších předpisů, občanský zákoník a ostatními právními předpisy České republiky.</w:t>
      </w:r>
    </w:p>
    <w:p w:rsidR="002D4127" w:rsidRPr="00E57D6A" w:rsidRDefault="002D4127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eastAsia="MS Mincho" w:hAnsiTheme="majorHAnsi"/>
          <w:sz w:val="22"/>
          <w:szCs w:val="22"/>
        </w:rPr>
      </w:pPr>
      <w:r w:rsidRPr="00E57D6A">
        <w:rPr>
          <w:rFonts w:asciiTheme="majorHAnsi" w:eastAsia="MS Mincho" w:hAnsiTheme="majorHAnsi"/>
          <w:sz w:val="22"/>
          <w:szCs w:val="22"/>
        </w:rPr>
        <w:t xml:space="preserve">Tato </w:t>
      </w:r>
      <w:r w:rsidR="007C4552" w:rsidRPr="00E57D6A">
        <w:rPr>
          <w:rFonts w:asciiTheme="majorHAnsi" w:eastAsia="MS Mincho" w:hAnsiTheme="majorHAnsi"/>
          <w:sz w:val="22"/>
          <w:szCs w:val="22"/>
        </w:rPr>
        <w:t>s</w:t>
      </w:r>
      <w:r w:rsidRPr="00E57D6A">
        <w:rPr>
          <w:rFonts w:asciiTheme="majorHAnsi" w:eastAsia="MS Mincho" w:hAnsiTheme="majorHAnsi"/>
          <w:sz w:val="22"/>
          <w:szCs w:val="22"/>
        </w:rPr>
        <w:t>mlouva je uzavřena ve dvou (2) vyhotoveních, z nichž každá strana obdrží po jednom (1) vyhotovení.</w:t>
      </w:r>
    </w:p>
    <w:p w:rsidR="002D4127" w:rsidRPr="00E57D6A" w:rsidRDefault="009D2280" w:rsidP="002D4127">
      <w:pPr>
        <w:pStyle w:val="Normlnweb"/>
        <w:numPr>
          <w:ilvl w:val="1"/>
          <w:numId w:val="22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Theme="majorHAnsi" w:eastAsia="MS Mincho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="002D4127" w:rsidRPr="00E57D6A">
        <w:rPr>
          <w:rFonts w:asciiTheme="majorHAnsi" w:eastAsia="MS Mincho" w:hAnsiTheme="majorHAnsi"/>
          <w:sz w:val="22"/>
          <w:szCs w:val="22"/>
        </w:rPr>
        <w:t xml:space="preserve">. </w:t>
      </w:r>
    </w:p>
    <w:p w:rsidR="003875F9" w:rsidRPr="00E57D6A" w:rsidRDefault="003875F9" w:rsidP="0010577F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</w:rPr>
      </w:pPr>
    </w:p>
    <w:p w:rsidR="003875F9" w:rsidRPr="00E57D6A" w:rsidRDefault="003875F9" w:rsidP="0010577F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</w:rPr>
      </w:pPr>
    </w:p>
    <w:p w:rsidR="0010577F" w:rsidRPr="00E57D6A" w:rsidRDefault="0082040C" w:rsidP="0010577F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V _________ dne _________</w:t>
      </w:r>
      <w:r w:rsidR="0010577F" w:rsidRPr="00E57D6A">
        <w:rPr>
          <w:rFonts w:asciiTheme="majorHAnsi" w:hAnsiTheme="majorHAnsi"/>
          <w:sz w:val="22"/>
          <w:szCs w:val="22"/>
        </w:rPr>
        <w:tab/>
      </w:r>
      <w:r w:rsidR="0010577F" w:rsidRPr="00E57D6A">
        <w:rPr>
          <w:rFonts w:asciiTheme="majorHAnsi" w:hAnsiTheme="majorHAnsi"/>
          <w:sz w:val="22"/>
          <w:szCs w:val="22"/>
        </w:rPr>
        <w:tab/>
      </w:r>
      <w:r w:rsidR="0010577F" w:rsidRPr="00E57D6A">
        <w:rPr>
          <w:rFonts w:asciiTheme="majorHAnsi" w:hAnsiTheme="majorHAnsi"/>
          <w:sz w:val="22"/>
          <w:szCs w:val="22"/>
        </w:rPr>
        <w:tab/>
        <w:t>V _________ dne _________</w:t>
      </w:r>
    </w:p>
    <w:p w:rsidR="006B27FF" w:rsidRPr="00E57D6A" w:rsidRDefault="006B27FF" w:rsidP="0010577F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</w:rPr>
      </w:pPr>
    </w:p>
    <w:p w:rsidR="002D4127" w:rsidRPr="00E57D6A" w:rsidRDefault="002D4127" w:rsidP="0010577F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</w:rPr>
      </w:pPr>
    </w:p>
    <w:p w:rsidR="0082040C" w:rsidRPr="00E57D6A" w:rsidRDefault="0082040C" w:rsidP="0010577F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>________________________</w:t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</w:r>
      <w:r w:rsidRPr="00E57D6A">
        <w:rPr>
          <w:rFonts w:asciiTheme="majorHAnsi" w:hAnsiTheme="majorHAnsi"/>
          <w:sz w:val="22"/>
          <w:szCs w:val="22"/>
        </w:rPr>
        <w:tab/>
        <w:t>________________________</w:t>
      </w:r>
    </w:p>
    <w:p w:rsidR="0082040C" w:rsidRPr="00E57D6A" w:rsidRDefault="0010577F" w:rsidP="0010577F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E57D6A">
        <w:rPr>
          <w:rFonts w:asciiTheme="majorHAnsi" w:hAnsiTheme="majorHAnsi"/>
          <w:sz w:val="22"/>
          <w:szCs w:val="22"/>
        </w:rPr>
        <w:t xml:space="preserve">         </w:t>
      </w:r>
      <w:r w:rsidR="002D4127" w:rsidRPr="00E57D6A">
        <w:rPr>
          <w:rFonts w:asciiTheme="majorHAnsi" w:hAnsiTheme="majorHAnsi"/>
          <w:sz w:val="22"/>
          <w:szCs w:val="22"/>
        </w:rPr>
        <w:t xml:space="preserve">       dárce</w:t>
      </w:r>
      <w:r w:rsidR="0082040C" w:rsidRPr="00E57D6A">
        <w:rPr>
          <w:rFonts w:asciiTheme="majorHAnsi" w:hAnsiTheme="majorHAnsi"/>
          <w:sz w:val="22"/>
          <w:szCs w:val="22"/>
        </w:rPr>
        <w:tab/>
      </w:r>
      <w:r w:rsidR="0082040C" w:rsidRPr="00E57D6A">
        <w:rPr>
          <w:rFonts w:asciiTheme="majorHAnsi" w:hAnsiTheme="majorHAnsi"/>
          <w:sz w:val="22"/>
          <w:szCs w:val="22"/>
        </w:rPr>
        <w:tab/>
      </w:r>
      <w:r w:rsidR="0082040C" w:rsidRPr="00E57D6A">
        <w:rPr>
          <w:rFonts w:asciiTheme="majorHAnsi" w:hAnsiTheme="majorHAnsi"/>
          <w:sz w:val="22"/>
          <w:szCs w:val="22"/>
        </w:rPr>
        <w:tab/>
      </w:r>
      <w:r w:rsidR="0082040C" w:rsidRPr="00E57D6A">
        <w:rPr>
          <w:rFonts w:asciiTheme="majorHAnsi" w:hAnsiTheme="majorHAnsi"/>
          <w:sz w:val="22"/>
          <w:szCs w:val="22"/>
        </w:rPr>
        <w:tab/>
      </w:r>
      <w:r w:rsidR="0082040C" w:rsidRPr="00E57D6A">
        <w:rPr>
          <w:rFonts w:asciiTheme="majorHAnsi" w:hAnsiTheme="majorHAnsi"/>
          <w:sz w:val="22"/>
          <w:szCs w:val="22"/>
        </w:rPr>
        <w:tab/>
      </w:r>
      <w:r w:rsidR="0082040C" w:rsidRPr="00E57D6A">
        <w:rPr>
          <w:rFonts w:asciiTheme="majorHAnsi" w:hAnsiTheme="majorHAnsi"/>
          <w:sz w:val="22"/>
          <w:szCs w:val="22"/>
        </w:rPr>
        <w:tab/>
      </w:r>
      <w:r w:rsidR="002D4127" w:rsidRPr="00E57D6A">
        <w:rPr>
          <w:rFonts w:asciiTheme="majorHAnsi" w:hAnsiTheme="majorHAnsi"/>
          <w:sz w:val="22"/>
          <w:szCs w:val="22"/>
        </w:rPr>
        <w:t>obdarovaný</w:t>
      </w:r>
    </w:p>
    <w:p w:rsidR="0082040C" w:rsidRPr="00E57D6A" w:rsidRDefault="0082040C" w:rsidP="0010577F">
      <w:pPr>
        <w:spacing w:before="60" w:after="60" w:line="276" w:lineRule="auto"/>
        <w:jc w:val="both"/>
        <w:rPr>
          <w:rFonts w:asciiTheme="majorHAnsi" w:hAnsiTheme="majorHAnsi"/>
          <w:sz w:val="22"/>
          <w:szCs w:val="22"/>
        </w:rPr>
      </w:pPr>
    </w:p>
    <w:p w:rsidR="00D67472" w:rsidRDefault="00D67472" w:rsidP="00D67472">
      <w:pPr>
        <w:widowControl w:val="0"/>
        <w:rPr>
          <w:b/>
          <w:color w:val="365F91" w:themeColor="accent1" w:themeShade="BF"/>
          <w:highlight w:val="yellow"/>
          <w:u w:val="single"/>
        </w:rPr>
      </w:pPr>
      <w:r>
        <w:rPr>
          <w:b/>
          <w:color w:val="365F91" w:themeColor="accent1" w:themeShade="BF"/>
          <w:highlight w:val="yellow"/>
          <w:u w:val="single"/>
        </w:rPr>
        <w:t>!!! UPOZORNĚNÍ !!!</w:t>
      </w:r>
    </w:p>
    <w:p w:rsidR="00C05443" w:rsidRPr="00D67472" w:rsidRDefault="00D67472" w:rsidP="00D67472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Style w:val="Zdraznn"/>
        </w:rPr>
      </w:pPr>
      <w:r>
        <w:rPr>
          <w:rStyle w:val="Zdraznn"/>
          <w:b/>
          <w:color w:val="365F91" w:themeColor="accent1" w:themeShade="BF"/>
          <w:highlight w:val="yellow"/>
        </w:rPr>
        <w:t xml:space="preserve">Tento vzorový dokument má obecnou informativní povahu a při jeho použití je třeba brát v úvahu, že každý případ je individuální a vzorová smlouva nepokrývá všechny situace, které mohou v praxi nastat. Autor tohoto vzorového dokumentu nenese žádnou odpovědnost </w:t>
      </w:r>
      <w:r>
        <w:rPr>
          <w:rStyle w:val="Zdraznn"/>
          <w:b/>
          <w:color w:val="365F91" w:themeColor="accent1" w:themeShade="BF"/>
          <w:highlight w:val="yellow"/>
        </w:rPr>
        <w:lastRenderedPageBreak/>
        <w:t xml:space="preserve">za případnou újmu vzniklou použitím tohoto vzoru bez konzultace s advokátem či jiným právním odborníkem, který </w:t>
      </w:r>
      <w:r>
        <w:rPr>
          <w:b/>
          <w:i/>
          <w:iCs/>
          <w:color w:val="365F91" w:themeColor="accent1" w:themeShade="BF"/>
          <w:highlight w:val="yellow"/>
        </w:rPr>
        <w:t>navrhne nejvhodnější změny textu s ohledem na potřeby konkrétního zadavatele, důvod závazku a postavení smluvních stran</w:t>
      </w:r>
      <w:r>
        <w:rPr>
          <w:rStyle w:val="Zdraznn"/>
          <w:b/>
          <w:color w:val="365F91" w:themeColor="accent1" w:themeShade="BF"/>
          <w:highlight w:val="yellow"/>
        </w:rPr>
        <w:t>. Pro ověření vhodnosti tohoto vzoru a jeho případnou úpravu kontaktujte DKS LEGAL.</w:t>
      </w:r>
    </w:p>
    <w:sectPr w:rsidR="00C05443" w:rsidRPr="00D67472" w:rsidSect="00AF3A1E">
      <w:pgSz w:w="11906" w:h="16838"/>
      <w:pgMar w:top="2155" w:right="1418" w:bottom="215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C2" w:rsidRDefault="00D70DC2">
      <w:r>
        <w:separator/>
      </w:r>
    </w:p>
  </w:endnote>
  <w:endnote w:type="continuationSeparator" w:id="0">
    <w:p w:rsidR="00D70DC2" w:rsidRDefault="00D7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C2" w:rsidRDefault="00D70DC2">
      <w:r>
        <w:separator/>
      </w:r>
    </w:p>
  </w:footnote>
  <w:footnote w:type="continuationSeparator" w:id="0">
    <w:p w:rsidR="00D70DC2" w:rsidRDefault="00D7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9CC"/>
    <w:multiLevelType w:val="multilevel"/>
    <w:tmpl w:val="0A363D8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3B3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C841DD"/>
    <w:multiLevelType w:val="multilevel"/>
    <w:tmpl w:val="63E23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D12B97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05D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AC41CA"/>
    <w:multiLevelType w:val="multilevel"/>
    <w:tmpl w:val="245C5370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895757"/>
    <w:multiLevelType w:val="multilevel"/>
    <w:tmpl w:val="5D04CEE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AE72873"/>
    <w:multiLevelType w:val="multilevel"/>
    <w:tmpl w:val="1D34AC82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E80B50"/>
    <w:multiLevelType w:val="multilevel"/>
    <w:tmpl w:val="F6F487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4A4E65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F4735"/>
    <w:multiLevelType w:val="multilevel"/>
    <w:tmpl w:val="F6F487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D15E8C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263942"/>
    <w:multiLevelType w:val="hybridMultilevel"/>
    <w:tmpl w:val="913656DA"/>
    <w:lvl w:ilvl="0" w:tplc="C5DAC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353460"/>
    <w:multiLevelType w:val="multilevel"/>
    <w:tmpl w:val="F6F487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9F74AF"/>
    <w:multiLevelType w:val="multilevel"/>
    <w:tmpl w:val="F6F487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6826D1"/>
    <w:multiLevelType w:val="multilevel"/>
    <w:tmpl w:val="F6F487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2B7DE2"/>
    <w:multiLevelType w:val="multilevel"/>
    <w:tmpl w:val="3B5E09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A44D05"/>
    <w:multiLevelType w:val="hybridMultilevel"/>
    <w:tmpl w:val="1B54B99C"/>
    <w:lvl w:ilvl="0" w:tplc="2E2CC1B4">
      <w:start w:val="1"/>
      <w:numFmt w:val="upperRoman"/>
      <w:lvlText w:val="%1."/>
      <w:lvlJc w:val="right"/>
      <w:pPr>
        <w:ind w:left="9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74" w:hanging="360"/>
      </w:pPr>
    </w:lvl>
    <w:lvl w:ilvl="2" w:tplc="0405001B" w:tentative="1">
      <w:start w:val="1"/>
      <w:numFmt w:val="lowerRoman"/>
      <w:lvlText w:val="%3."/>
      <w:lvlJc w:val="right"/>
      <w:pPr>
        <w:ind w:left="2394" w:hanging="180"/>
      </w:pPr>
    </w:lvl>
    <w:lvl w:ilvl="3" w:tplc="0405000F" w:tentative="1">
      <w:start w:val="1"/>
      <w:numFmt w:val="decimal"/>
      <w:lvlText w:val="%4."/>
      <w:lvlJc w:val="left"/>
      <w:pPr>
        <w:ind w:left="3114" w:hanging="360"/>
      </w:pPr>
    </w:lvl>
    <w:lvl w:ilvl="4" w:tplc="04050019" w:tentative="1">
      <w:start w:val="1"/>
      <w:numFmt w:val="lowerLetter"/>
      <w:lvlText w:val="%5."/>
      <w:lvlJc w:val="left"/>
      <w:pPr>
        <w:ind w:left="3834" w:hanging="360"/>
      </w:pPr>
    </w:lvl>
    <w:lvl w:ilvl="5" w:tplc="0405001B" w:tentative="1">
      <w:start w:val="1"/>
      <w:numFmt w:val="lowerRoman"/>
      <w:lvlText w:val="%6."/>
      <w:lvlJc w:val="right"/>
      <w:pPr>
        <w:ind w:left="4554" w:hanging="180"/>
      </w:pPr>
    </w:lvl>
    <w:lvl w:ilvl="6" w:tplc="0405000F" w:tentative="1">
      <w:start w:val="1"/>
      <w:numFmt w:val="decimal"/>
      <w:lvlText w:val="%7."/>
      <w:lvlJc w:val="left"/>
      <w:pPr>
        <w:ind w:left="5274" w:hanging="360"/>
      </w:pPr>
    </w:lvl>
    <w:lvl w:ilvl="7" w:tplc="04050019" w:tentative="1">
      <w:start w:val="1"/>
      <w:numFmt w:val="lowerLetter"/>
      <w:lvlText w:val="%8."/>
      <w:lvlJc w:val="left"/>
      <w:pPr>
        <w:ind w:left="5994" w:hanging="360"/>
      </w:pPr>
    </w:lvl>
    <w:lvl w:ilvl="8" w:tplc="040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9" w15:restartNumberingAfterBreak="0">
    <w:nsid w:val="68531474"/>
    <w:multiLevelType w:val="hybridMultilevel"/>
    <w:tmpl w:val="C6261F90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A8ACB78">
      <w:start w:val="2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ED4153D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54486B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964971"/>
    <w:multiLevelType w:val="multilevel"/>
    <w:tmpl w:val="587E5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CD30710"/>
    <w:multiLevelType w:val="multilevel"/>
    <w:tmpl w:val="F6F4874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651034"/>
    <w:multiLevelType w:val="multilevel"/>
    <w:tmpl w:val="F6F4874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23"/>
  </w:num>
  <w:num w:numId="9">
    <w:abstractNumId w:val="9"/>
  </w:num>
  <w:num w:numId="10">
    <w:abstractNumId w:val="24"/>
  </w:num>
  <w:num w:numId="11">
    <w:abstractNumId w:val="17"/>
  </w:num>
  <w:num w:numId="12">
    <w:abstractNumId w:val="0"/>
  </w:num>
  <w:num w:numId="13">
    <w:abstractNumId w:val="18"/>
  </w:num>
  <w:num w:numId="14">
    <w:abstractNumId w:val="5"/>
  </w:num>
  <w:num w:numId="15">
    <w:abstractNumId w:val="12"/>
  </w:num>
  <w:num w:numId="16">
    <w:abstractNumId w:val="20"/>
  </w:num>
  <w:num w:numId="17">
    <w:abstractNumId w:val="4"/>
  </w:num>
  <w:num w:numId="18">
    <w:abstractNumId w:val="21"/>
  </w:num>
  <w:num w:numId="19">
    <w:abstractNumId w:val="22"/>
  </w:num>
  <w:num w:numId="20">
    <w:abstractNumId w:val="7"/>
  </w:num>
  <w:num w:numId="21">
    <w:abstractNumId w:val="10"/>
  </w:num>
  <w:num w:numId="22">
    <w:abstractNumId w:val="1"/>
  </w:num>
  <w:num w:numId="23">
    <w:abstractNumId w:val="8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F9"/>
    <w:rsid w:val="000E2028"/>
    <w:rsid w:val="000F4CD1"/>
    <w:rsid w:val="0010577F"/>
    <w:rsid w:val="00115FDE"/>
    <w:rsid w:val="00132D5F"/>
    <w:rsid w:val="0024073A"/>
    <w:rsid w:val="0028225B"/>
    <w:rsid w:val="002A7D10"/>
    <w:rsid w:val="002D4127"/>
    <w:rsid w:val="003875F9"/>
    <w:rsid w:val="003B67AE"/>
    <w:rsid w:val="00455BC1"/>
    <w:rsid w:val="005F0446"/>
    <w:rsid w:val="00611183"/>
    <w:rsid w:val="006B27FF"/>
    <w:rsid w:val="007662E1"/>
    <w:rsid w:val="007B3158"/>
    <w:rsid w:val="007C4552"/>
    <w:rsid w:val="00804B1E"/>
    <w:rsid w:val="0082040C"/>
    <w:rsid w:val="00827CD5"/>
    <w:rsid w:val="00835A3D"/>
    <w:rsid w:val="009C2EE8"/>
    <w:rsid w:val="009C42BB"/>
    <w:rsid w:val="009D2280"/>
    <w:rsid w:val="009E77FF"/>
    <w:rsid w:val="009F7B2C"/>
    <w:rsid w:val="00A113AC"/>
    <w:rsid w:val="00AF1326"/>
    <w:rsid w:val="00C05443"/>
    <w:rsid w:val="00C0710E"/>
    <w:rsid w:val="00CC3FA2"/>
    <w:rsid w:val="00D67472"/>
    <w:rsid w:val="00D70DC2"/>
    <w:rsid w:val="00E01E11"/>
    <w:rsid w:val="00E57D6A"/>
    <w:rsid w:val="00ED5B27"/>
    <w:rsid w:val="00F9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641D4"/>
  <w15:docId w15:val="{87F8C8AE-1F53-4FBF-980A-007D8FDB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5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7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75F9"/>
    <w:rPr>
      <w:rFonts w:ascii="Arial" w:eastAsia="Times New Roman" w:hAnsi="Arial" w:cs="Arial"/>
      <w:b/>
      <w:bCs/>
      <w:color w:val="000000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387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3875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875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3875F9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875F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387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75F9"/>
    <w:pPr>
      <w:ind w:left="720"/>
    </w:pPr>
  </w:style>
  <w:style w:type="character" w:styleId="Odkaznakoment">
    <w:name w:val="annotation reference"/>
    <w:rsid w:val="00387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75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75F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5F9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10577F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5F04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28225B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customStyle="1" w:styleId="platne">
    <w:name w:val="platne"/>
    <w:basedOn w:val="Standardnpsmoodstavce"/>
    <w:rsid w:val="0028225B"/>
  </w:style>
  <w:style w:type="character" w:styleId="Zdraznn">
    <w:name w:val="Emphasis"/>
    <w:basedOn w:val="Standardnpsmoodstavce"/>
    <w:uiPriority w:val="20"/>
    <w:qFormat/>
    <w:rsid w:val="00C05443"/>
    <w:rPr>
      <w:i/>
      <w:iCs/>
    </w:rPr>
  </w:style>
  <w:style w:type="paragraph" w:customStyle="1" w:styleId="CharChar">
    <w:name w:val="Char Char"/>
    <w:basedOn w:val="Normln"/>
    <w:rsid w:val="002D412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0307-6371-46F6-819F-C024691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Eva D</cp:lastModifiedBy>
  <cp:revision>3</cp:revision>
  <dcterms:created xsi:type="dcterms:W3CDTF">2022-03-31T11:42:00Z</dcterms:created>
  <dcterms:modified xsi:type="dcterms:W3CDTF">2022-04-10T16:14:00Z</dcterms:modified>
</cp:coreProperties>
</file>