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A819" w14:textId="77777777" w:rsidR="002128C9" w:rsidRPr="00C11241" w:rsidRDefault="002128C9" w:rsidP="008D4536">
      <w:pPr>
        <w:jc w:val="center"/>
        <w:outlineLvl w:val="1"/>
        <w:rPr>
          <w:rFonts w:ascii="Gill Sans MT" w:hAnsi="Gill Sans MT"/>
          <w:b/>
          <w:bCs/>
          <w:sz w:val="36"/>
          <w:szCs w:val="36"/>
          <w:lang w:val="cs-CZ"/>
        </w:rPr>
      </w:pPr>
    </w:p>
    <w:p w14:paraId="6BCFA869" w14:textId="77777777" w:rsidR="007B4CDA" w:rsidRPr="00C11241" w:rsidRDefault="007E69DF" w:rsidP="008D4536">
      <w:pPr>
        <w:jc w:val="center"/>
        <w:outlineLvl w:val="1"/>
        <w:rPr>
          <w:rFonts w:ascii="Gill Sans MT" w:hAnsi="Gill Sans MT"/>
          <w:b/>
          <w:bCs/>
          <w:sz w:val="36"/>
          <w:szCs w:val="36"/>
          <w:lang w:val="cs-CZ"/>
        </w:rPr>
      </w:pPr>
      <w:r w:rsidRPr="00C11241">
        <w:rPr>
          <w:rFonts w:ascii="Gill Sans MT" w:hAnsi="Gill Sans MT"/>
          <w:b/>
          <w:bCs/>
          <w:sz w:val="36"/>
          <w:szCs w:val="36"/>
          <w:lang w:val="cs-CZ"/>
        </w:rPr>
        <w:t xml:space="preserve">HLAVNÍ RIZIKA NA PRAHU </w:t>
      </w:r>
      <w:r w:rsidR="00EE102A" w:rsidRPr="00C11241">
        <w:rPr>
          <w:rFonts w:ascii="Gill Sans MT" w:hAnsi="Gill Sans MT"/>
          <w:b/>
          <w:bCs/>
          <w:sz w:val="36"/>
          <w:szCs w:val="36"/>
          <w:lang w:val="cs-CZ"/>
        </w:rPr>
        <w:t>PODZIMU</w:t>
      </w:r>
      <w:r w:rsidRPr="00C11241">
        <w:rPr>
          <w:rFonts w:ascii="Gill Sans MT" w:hAnsi="Gill Sans MT"/>
          <w:b/>
          <w:bCs/>
          <w:sz w:val="36"/>
          <w:szCs w:val="36"/>
          <w:lang w:val="cs-CZ"/>
        </w:rPr>
        <w:t xml:space="preserve"> – </w:t>
      </w:r>
      <w:r w:rsidR="00EE102A" w:rsidRPr="00C11241">
        <w:rPr>
          <w:rFonts w:ascii="Gill Sans MT" w:hAnsi="Gill Sans MT"/>
          <w:b/>
          <w:bCs/>
          <w:sz w:val="36"/>
          <w:szCs w:val="36"/>
          <w:lang w:val="cs-CZ"/>
        </w:rPr>
        <w:t>STAGFLACE A</w:t>
      </w:r>
      <w:r w:rsidRPr="00C11241">
        <w:rPr>
          <w:rFonts w:ascii="Gill Sans MT" w:hAnsi="Gill Sans MT"/>
          <w:b/>
          <w:bCs/>
          <w:sz w:val="36"/>
          <w:szCs w:val="36"/>
          <w:lang w:val="cs-CZ"/>
        </w:rPr>
        <w:t xml:space="preserve"> GEOPOLITIKA</w:t>
      </w:r>
    </w:p>
    <w:p w14:paraId="187CC27A" w14:textId="77777777" w:rsidR="00C11241" w:rsidRDefault="00C11241" w:rsidP="008D4536">
      <w:pPr>
        <w:jc w:val="center"/>
        <w:outlineLvl w:val="1"/>
        <w:rPr>
          <w:rFonts w:ascii="Gill Sans MT" w:hAnsi="Gill Sans MT"/>
          <w:b/>
          <w:bCs/>
          <w:sz w:val="28"/>
          <w:szCs w:val="28"/>
          <w:lang w:val="cs-CZ"/>
        </w:rPr>
      </w:pPr>
    </w:p>
    <w:p w14:paraId="053D7F64" w14:textId="77777777" w:rsidR="00C11241" w:rsidRPr="00C11241" w:rsidRDefault="00C11241" w:rsidP="00C11241">
      <w:pPr>
        <w:jc w:val="center"/>
        <w:outlineLvl w:val="1"/>
        <w:rPr>
          <w:rFonts w:ascii="Gill Sans MT" w:hAnsi="Gill Sans MT"/>
          <w:b/>
          <w:bCs/>
          <w:sz w:val="28"/>
          <w:szCs w:val="28"/>
          <w:lang w:val="cs-CZ"/>
        </w:rPr>
      </w:pPr>
      <w:r w:rsidRPr="00C11241">
        <w:rPr>
          <w:rFonts w:ascii="Gill Sans MT" w:hAnsi="Gill Sans MT"/>
          <w:b/>
          <w:bCs/>
          <w:sz w:val="28"/>
          <w:szCs w:val="28"/>
          <w:lang w:val="cs-CZ"/>
        </w:rPr>
        <w:t>VYHLÍDKY NA PŘESHRANIČNÍ PODNIKÁNÍ SE DÁLE ZHORŠILY</w:t>
      </w:r>
    </w:p>
    <w:p w14:paraId="234CD43B" w14:textId="77777777" w:rsidR="00736EF3" w:rsidRPr="00C11241" w:rsidRDefault="00736EF3" w:rsidP="00736EF3">
      <w:pPr>
        <w:autoSpaceDE w:val="0"/>
        <w:autoSpaceDN w:val="0"/>
        <w:jc w:val="both"/>
        <w:rPr>
          <w:rFonts w:ascii="Gill Sans MT" w:hAnsi="Gill Sans MT"/>
          <w:b/>
          <w:sz w:val="22"/>
          <w:szCs w:val="22"/>
          <w:lang w:val="cs-CZ"/>
        </w:rPr>
      </w:pPr>
    </w:p>
    <w:p w14:paraId="5576980D" w14:textId="6A100BC2" w:rsidR="001203BA" w:rsidRPr="00C11241" w:rsidRDefault="003E3E3A" w:rsidP="00736EF3">
      <w:pPr>
        <w:autoSpaceDE w:val="0"/>
        <w:autoSpaceDN w:val="0"/>
        <w:jc w:val="both"/>
        <w:rPr>
          <w:rFonts w:ascii="Gill Sans MT" w:hAnsi="Gill Sans MT"/>
          <w:b/>
          <w:sz w:val="22"/>
          <w:szCs w:val="22"/>
          <w:lang w:val="cs-CZ"/>
        </w:rPr>
      </w:pPr>
      <w:bookmarkStart w:id="0" w:name="_Hlk90454417"/>
      <w:r w:rsidRPr="00C11241">
        <w:rPr>
          <w:rFonts w:ascii="Gill Sans MT" w:hAnsi="Gill Sans MT"/>
          <w:b/>
          <w:sz w:val="22"/>
          <w:szCs w:val="22"/>
          <w:lang w:val="cs-CZ"/>
        </w:rPr>
        <w:t xml:space="preserve">Globální obchodní rizika se ve </w:t>
      </w:r>
      <w:r w:rsidR="00F74CBB" w:rsidRPr="00C11241">
        <w:rPr>
          <w:rFonts w:ascii="Gill Sans MT" w:hAnsi="Gill Sans MT"/>
          <w:b/>
          <w:sz w:val="22"/>
          <w:szCs w:val="22"/>
          <w:lang w:val="cs-CZ"/>
        </w:rPr>
        <w:t>3</w:t>
      </w:r>
      <w:r w:rsidRPr="00C11241">
        <w:rPr>
          <w:rFonts w:ascii="Gill Sans MT" w:hAnsi="Gill Sans MT"/>
          <w:b/>
          <w:sz w:val="22"/>
          <w:szCs w:val="22"/>
          <w:lang w:val="cs-CZ"/>
        </w:rPr>
        <w:t>. kvartálu 202</w:t>
      </w:r>
      <w:r w:rsidR="002128C9" w:rsidRPr="00C11241">
        <w:rPr>
          <w:rFonts w:ascii="Gill Sans MT" w:hAnsi="Gill Sans MT"/>
          <w:b/>
          <w:sz w:val="22"/>
          <w:szCs w:val="22"/>
          <w:lang w:val="cs-CZ"/>
        </w:rPr>
        <w:t>2</w:t>
      </w:r>
      <w:r w:rsidRPr="00C11241">
        <w:rPr>
          <w:rFonts w:ascii="Gill Sans MT" w:hAnsi="Gill Sans MT"/>
          <w:b/>
          <w:sz w:val="22"/>
          <w:szCs w:val="22"/>
          <w:lang w:val="cs-CZ"/>
        </w:rPr>
        <w:t xml:space="preserve"> zhoršila</w:t>
      </w:r>
      <w:r w:rsidR="00F74CBB" w:rsidRPr="00C11241">
        <w:t xml:space="preserve"> </w:t>
      </w:r>
      <w:r w:rsidR="00F74CBB" w:rsidRPr="00C11241">
        <w:rPr>
          <w:rFonts w:ascii="Gill Sans MT" w:hAnsi="Gill Sans MT"/>
          <w:b/>
          <w:sz w:val="22"/>
          <w:szCs w:val="22"/>
          <w:lang w:val="cs-CZ"/>
        </w:rPr>
        <w:t>v návaznosti na zhoršení rizikového prostředí, což naznačuje, že vyhlídky pro přeshraniční podnikání se staly ještě náročnějšími. Firmy se nadále potýkají s vysokou mírou nejistoty</w:t>
      </w:r>
      <w:r w:rsidR="00D318FE" w:rsidRPr="00C11241">
        <w:rPr>
          <w:rFonts w:ascii="Gill Sans MT" w:hAnsi="Gill Sans MT"/>
          <w:b/>
          <w:sz w:val="22"/>
          <w:szCs w:val="22"/>
          <w:lang w:val="cs-CZ"/>
        </w:rPr>
        <w:t xml:space="preserve">, přičemž většina rizikových scénářů se buď zhoršila, nebo zůstala na stejné úrovni, </w:t>
      </w:r>
      <w:r w:rsidR="00C11241" w:rsidRPr="00C11241">
        <w:rPr>
          <w:rFonts w:ascii="Gill Sans MT" w:hAnsi="Gill Sans MT"/>
          <w:b/>
          <w:sz w:val="22"/>
          <w:szCs w:val="22"/>
          <w:lang w:val="cs-CZ"/>
        </w:rPr>
        <w:t>a současně</w:t>
      </w:r>
      <w:r w:rsidR="00D318FE" w:rsidRPr="00C11241">
        <w:rPr>
          <w:rFonts w:ascii="Gill Sans MT" w:hAnsi="Gill Sans MT"/>
          <w:b/>
          <w:sz w:val="22"/>
          <w:szCs w:val="22"/>
          <w:lang w:val="cs-CZ"/>
        </w:rPr>
        <w:t xml:space="preserve"> se objevila některá nová rizika</w:t>
      </w:r>
      <w:r w:rsidR="00F74CBB" w:rsidRPr="00C11241">
        <w:rPr>
          <w:rFonts w:ascii="Gill Sans MT" w:hAnsi="Gill Sans MT"/>
          <w:b/>
          <w:sz w:val="22"/>
          <w:szCs w:val="22"/>
          <w:lang w:val="cs-CZ"/>
        </w:rPr>
        <w:t xml:space="preserve">. </w:t>
      </w:r>
      <w:r w:rsidRPr="00C11241">
        <w:rPr>
          <w:rFonts w:ascii="Gill Sans MT" w:hAnsi="Gill Sans MT"/>
          <w:b/>
          <w:sz w:val="22"/>
          <w:szCs w:val="22"/>
          <w:lang w:val="cs-CZ"/>
        </w:rPr>
        <w:t xml:space="preserve">Podle zprávy Dun &amp; Bradstreet </w:t>
      </w:r>
      <w:r w:rsidR="00EE102A" w:rsidRPr="00C11241">
        <w:rPr>
          <w:rFonts w:ascii="Gill Sans MT" w:hAnsi="Gill Sans MT"/>
          <w:b/>
          <w:sz w:val="22"/>
          <w:szCs w:val="22"/>
          <w:lang w:val="cs-CZ"/>
        </w:rPr>
        <w:t>globálnímu rizikovému prostředí ve 3.</w:t>
      </w:r>
      <w:r w:rsidR="008069B4">
        <w:rPr>
          <w:rFonts w:ascii="Gill Sans MT" w:hAnsi="Gill Sans MT"/>
          <w:b/>
          <w:sz w:val="22"/>
          <w:szCs w:val="22"/>
          <w:lang w:val="cs-CZ"/>
        </w:rPr>
        <w:t> </w:t>
      </w:r>
      <w:r w:rsidR="00EE102A" w:rsidRPr="00C11241">
        <w:rPr>
          <w:rFonts w:ascii="Gill Sans MT" w:hAnsi="Gill Sans MT"/>
          <w:b/>
          <w:sz w:val="22"/>
          <w:szCs w:val="22"/>
          <w:lang w:val="cs-CZ"/>
        </w:rPr>
        <w:t>čtvrtletí dominuje riziko stagflace a geopolitika</w:t>
      </w:r>
      <w:r w:rsidR="00D318FE" w:rsidRPr="00C11241">
        <w:rPr>
          <w:rFonts w:ascii="Gill Sans MT" w:hAnsi="Gill Sans MT"/>
          <w:b/>
          <w:sz w:val="22"/>
          <w:szCs w:val="22"/>
          <w:lang w:val="cs-CZ"/>
        </w:rPr>
        <w:t>.</w:t>
      </w:r>
      <w:r w:rsidR="00C11241" w:rsidRPr="00C11241">
        <w:rPr>
          <w:rFonts w:ascii="Gill Sans MT" w:hAnsi="Gill Sans MT"/>
          <w:b/>
          <w:sz w:val="22"/>
          <w:szCs w:val="22"/>
          <w:lang w:val="cs-CZ"/>
        </w:rPr>
        <w:t xml:space="preserve"> </w:t>
      </w:r>
      <w:r w:rsidR="00C11241" w:rsidRPr="00C11241">
        <w:rPr>
          <w:rFonts w:ascii="Gill Sans MT" w:hAnsi="Gill Sans MT"/>
          <w:b/>
          <w:bCs/>
          <w:sz w:val="22"/>
          <w:szCs w:val="22"/>
          <w:lang w:val="cs-CZ"/>
        </w:rPr>
        <w:t xml:space="preserve">K deseti nejvýznamnějším rizikům podle Dun &amp; Bradstreet také patří </w:t>
      </w:r>
      <w:r w:rsidR="006C0598" w:rsidRPr="00C11241">
        <w:rPr>
          <w:rFonts w:ascii="Gill Sans MT" w:hAnsi="Gill Sans MT"/>
          <w:b/>
          <w:sz w:val="22"/>
          <w:szCs w:val="22"/>
          <w:lang w:val="cs-CZ"/>
        </w:rPr>
        <w:t xml:space="preserve">zpomalující </w:t>
      </w:r>
      <w:r w:rsidR="008069B4">
        <w:rPr>
          <w:rFonts w:ascii="Gill Sans MT" w:hAnsi="Gill Sans MT"/>
          <w:b/>
          <w:sz w:val="22"/>
          <w:szCs w:val="22"/>
          <w:lang w:val="cs-CZ"/>
        </w:rPr>
        <w:t xml:space="preserve">se </w:t>
      </w:r>
      <w:r w:rsidR="006C0598" w:rsidRPr="00C11241">
        <w:rPr>
          <w:rFonts w:ascii="Gill Sans MT" w:hAnsi="Gill Sans MT"/>
          <w:b/>
          <w:sz w:val="22"/>
          <w:szCs w:val="22"/>
          <w:lang w:val="cs-CZ"/>
        </w:rPr>
        <w:t xml:space="preserve">čínská ekonomika, potíže v dodavatelských řetězcích, </w:t>
      </w:r>
      <w:r w:rsidR="008069B4">
        <w:rPr>
          <w:rFonts w:ascii="Gill Sans MT" w:hAnsi="Gill Sans MT"/>
          <w:b/>
          <w:sz w:val="22"/>
          <w:szCs w:val="22"/>
          <w:lang w:val="cs-CZ"/>
        </w:rPr>
        <w:t>nové</w:t>
      </w:r>
      <w:r w:rsidR="008069B4" w:rsidRPr="00C11241">
        <w:rPr>
          <w:rFonts w:ascii="Gill Sans MT" w:hAnsi="Gill Sans MT"/>
          <w:b/>
          <w:sz w:val="22"/>
          <w:szCs w:val="22"/>
          <w:lang w:val="cs-CZ"/>
        </w:rPr>
        <w:t xml:space="preserve"> </w:t>
      </w:r>
      <w:r w:rsidR="006C0598" w:rsidRPr="00C11241">
        <w:rPr>
          <w:rFonts w:ascii="Gill Sans MT" w:hAnsi="Gill Sans MT"/>
          <w:b/>
          <w:sz w:val="22"/>
          <w:szCs w:val="22"/>
          <w:lang w:val="cs-CZ"/>
        </w:rPr>
        <w:t>vlny Covid-19,</w:t>
      </w:r>
      <w:r w:rsidR="00D318FE" w:rsidRPr="00C11241">
        <w:rPr>
          <w:rFonts w:ascii="Gill Sans MT" w:hAnsi="Gill Sans MT"/>
          <w:bCs/>
          <w:sz w:val="22"/>
          <w:szCs w:val="22"/>
          <w:lang w:val="cs-CZ"/>
        </w:rPr>
        <w:t xml:space="preserve"> </w:t>
      </w:r>
      <w:r w:rsidR="00D318FE" w:rsidRPr="00C11241">
        <w:rPr>
          <w:rFonts w:ascii="Gill Sans MT" w:hAnsi="Gill Sans MT"/>
          <w:b/>
          <w:sz w:val="22"/>
          <w:szCs w:val="22"/>
          <w:lang w:val="cs-CZ"/>
        </w:rPr>
        <w:t>dluhy veřejného sektoru na rozvíjejících se trzích,</w:t>
      </w:r>
      <w:r w:rsidR="00D318FE" w:rsidRPr="00C11241">
        <w:rPr>
          <w:rFonts w:ascii="Gill Sans MT" w:hAnsi="Gill Sans MT"/>
          <w:bCs/>
          <w:sz w:val="22"/>
          <w:szCs w:val="22"/>
          <w:lang w:val="cs-CZ"/>
        </w:rPr>
        <w:t xml:space="preserve"> </w:t>
      </w:r>
      <w:r w:rsidR="00D318FE" w:rsidRPr="00C11241">
        <w:rPr>
          <w:rFonts w:ascii="Gill Sans MT" w:hAnsi="Gill Sans MT"/>
          <w:b/>
          <w:sz w:val="22"/>
          <w:szCs w:val="22"/>
          <w:lang w:val="cs-CZ"/>
        </w:rPr>
        <w:t>eskalace rusko-ukrajinského konfliktu,</w:t>
      </w:r>
      <w:r w:rsidR="00D318FE" w:rsidRPr="00C11241">
        <w:rPr>
          <w:rFonts w:ascii="Gill Sans MT" w:hAnsi="Gill Sans MT"/>
          <w:bCs/>
          <w:sz w:val="22"/>
          <w:szCs w:val="22"/>
          <w:lang w:val="cs-CZ"/>
        </w:rPr>
        <w:t xml:space="preserve"> </w:t>
      </w:r>
      <w:r w:rsidR="00D318FE" w:rsidRPr="00C11241">
        <w:rPr>
          <w:rFonts w:ascii="Gill Sans MT" w:hAnsi="Gill Sans MT"/>
          <w:b/>
          <w:sz w:val="22"/>
          <w:szCs w:val="22"/>
          <w:lang w:val="cs-CZ"/>
        </w:rPr>
        <w:t>konkurence mezi USA a Čínou, kybernetická zranitelnost, politika v oblasti klimatu</w:t>
      </w:r>
      <w:r w:rsidR="003E2FA4">
        <w:rPr>
          <w:rFonts w:ascii="Gill Sans MT" w:hAnsi="Gill Sans MT"/>
          <w:b/>
          <w:sz w:val="22"/>
          <w:szCs w:val="22"/>
          <w:lang w:val="cs-CZ"/>
        </w:rPr>
        <w:t xml:space="preserve"> či</w:t>
      </w:r>
      <w:r w:rsidR="00D318FE" w:rsidRPr="00C11241">
        <w:rPr>
          <w:rFonts w:ascii="Gill Sans MT" w:hAnsi="Gill Sans MT"/>
          <w:b/>
          <w:sz w:val="22"/>
          <w:szCs w:val="22"/>
          <w:lang w:val="cs-CZ"/>
        </w:rPr>
        <w:t xml:space="preserve"> politika v EU.</w:t>
      </w:r>
    </w:p>
    <w:bookmarkEnd w:id="0"/>
    <w:p w14:paraId="41B4028A" w14:textId="77777777" w:rsidR="00736EF3" w:rsidRPr="00C11241" w:rsidRDefault="00736EF3" w:rsidP="00736EF3">
      <w:pPr>
        <w:autoSpaceDE w:val="0"/>
        <w:autoSpaceDN w:val="0"/>
        <w:jc w:val="both"/>
        <w:rPr>
          <w:rFonts w:ascii="Gill Sans MT" w:hAnsi="Gill Sans MT"/>
          <w:b/>
          <w:bCs/>
          <w:sz w:val="22"/>
          <w:szCs w:val="22"/>
          <w:lang w:val="cs-CZ"/>
        </w:rPr>
      </w:pPr>
    </w:p>
    <w:p w14:paraId="31D23D7A" w14:textId="7B282211" w:rsidR="00F5473B" w:rsidRPr="00C11241" w:rsidRDefault="00DD0964" w:rsidP="00136E3D">
      <w:pPr>
        <w:autoSpaceDE w:val="0"/>
        <w:autoSpaceDN w:val="0"/>
        <w:jc w:val="both"/>
        <w:rPr>
          <w:rFonts w:ascii="Gill Sans MT" w:hAnsi="Gill Sans MT"/>
          <w:b/>
          <w:bCs/>
          <w:sz w:val="22"/>
          <w:szCs w:val="22"/>
          <w:lang w:val="cs-CZ"/>
        </w:rPr>
      </w:pPr>
      <w:r w:rsidRPr="00C11241">
        <w:rPr>
          <w:rFonts w:ascii="Gill Sans MT" w:hAnsi="Gill Sans MT"/>
          <w:b/>
          <w:bCs/>
          <w:sz w:val="22"/>
          <w:szCs w:val="22"/>
          <w:lang w:val="cs-CZ"/>
        </w:rPr>
        <w:t>Praha</w:t>
      </w:r>
      <w:r w:rsidR="007B4CDA" w:rsidRPr="00C11241">
        <w:rPr>
          <w:rFonts w:ascii="Gill Sans MT" w:hAnsi="Gill Sans MT"/>
          <w:b/>
          <w:bCs/>
          <w:sz w:val="22"/>
          <w:szCs w:val="22"/>
          <w:lang w:val="cs-CZ"/>
        </w:rPr>
        <w:t xml:space="preserve">, </w:t>
      </w:r>
      <w:r w:rsidR="003E2FA4">
        <w:rPr>
          <w:rFonts w:ascii="Gill Sans MT" w:hAnsi="Gill Sans MT"/>
          <w:b/>
          <w:bCs/>
          <w:sz w:val="22"/>
          <w:szCs w:val="22"/>
          <w:lang w:val="cs-CZ"/>
        </w:rPr>
        <w:t>6</w:t>
      </w:r>
      <w:r w:rsidR="006A250E" w:rsidRPr="00C11241">
        <w:rPr>
          <w:rFonts w:ascii="Gill Sans MT" w:hAnsi="Gill Sans MT"/>
          <w:b/>
          <w:bCs/>
          <w:sz w:val="22"/>
          <w:szCs w:val="22"/>
          <w:lang w:val="cs-CZ"/>
        </w:rPr>
        <w:t>.</w:t>
      </w:r>
      <w:r w:rsidR="001B75D1" w:rsidRPr="00C11241">
        <w:rPr>
          <w:rFonts w:ascii="Gill Sans MT" w:hAnsi="Gill Sans MT"/>
          <w:b/>
          <w:bCs/>
          <w:sz w:val="22"/>
          <w:szCs w:val="22"/>
          <w:lang w:val="cs-CZ"/>
        </w:rPr>
        <w:t xml:space="preserve"> </w:t>
      </w:r>
      <w:r w:rsidR="00AA6BFF" w:rsidRPr="00C11241">
        <w:rPr>
          <w:rFonts w:ascii="Gill Sans MT" w:hAnsi="Gill Sans MT"/>
          <w:b/>
          <w:bCs/>
          <w:sz w:val="22"/>
          <w:szCs w:val="22"/>
          <w:lang w:val="cs-CZ"/>
        </w:rPr>
        <w:t>10</w:t>
      </w:r>
      <w:r w:rsidR="006A250E" w:rsidRPr="00C11241">
        <w:rPr>
          <w:rFonts w:ascii="Gill Sans MT" w:hAnsi="Gill Sans MT"/>
          <w:b/>
          <w:bCs/>
          <w:sz w:val="22"/>
          <w:szCs w:val="22"/>
          <w:lang w:val="cs-CZ"/>
        </w:rPr>
        <w:t>.</w:t>
      </w:r>
      <w:r w:rsidR="00C53D74" w:rsidRPr="00C11241">
        <w:rPr>
          <w:rFonts w:ascii="Gill Sans MT" w:hAnsi="Gill Sans MT"/>
          <w:b/>
          <w:bCs/>
          <w:sz w:val="22"/>
          <w:szCs w:val="22"/>
          <w:lang w:val="cs-CZ"/>
        </w:rPr>
        <w:t xml:space="preserve"> </w:t>
      </w:r>
      <w:r w:rsidR="00FF02D5" w:rsidRPr="00C11241">
        <w:rPr>
          <w:rFonts w:ascii="Gill Sans MT" w:hAnsi="Gill Sans MT"/>
          <w:b/>
          <w:bCs/>
          <w:sz w:val="22"/>
          <w:szCs w:val="22"/>
          <w:lang w:val="cs-CZ"/>
        </w:rPr>
        <w:t>202</w:t>
      </w:r>
      <w:r w:rsidR="002128C9" w:rsidRPr="00C11241">
        <w:rPr>
          <w:rFonts w:ascii="Gill Sans MT" w:hAnsi="Gill Sans MT"/>
          <w:b/>
          <w:bCs/>
          <w:sz w:val="22"/>
          <w:szCs w:val="22"/>
          <w:lang w:val="cs-CZ"/>
        </w:rPr>
        <w:t>2</w:t>
      </w:r>
      <w:r w:rsidR="00FF02D5" w:rsidRPr="00C11241">
        <w:rPr>
          <w:rFonts w:ascii="Gill Sans MT" w:hAnsi="Gill Sans MT"/>
          <w:b/>
          <w:bCs/>
          <w:sz w:val="22"/>
          <w:szCs w:val="22"/>
          <w:lang w:val="cs-CZ"/>
        </w:rPr>
        <w:t>:</w:t>
      </w:r>
      <w:r w:rsidR="00C11241" w:rsidRPr="00C11241">
        <w:rPr>
          <w:rFonts w:ascii="Gill Sans MT" w:hAnsi="Gill Sans MT"/>
          <w:b/>
          <w:bCs/>
          <w:sz w:val="22"/>
          <w:szCs w:val="22"/>
          <w:lang w:val="cs-CZ"/>
        </w:rPr>
        <w:t xml:space="preserve"> </w:t>
      </w:r>
      <w:r w:rsidR="00FF02D5" w:rsidRPr="00C11241">
        <w:rPr>
          <w:rFonts w:ascii="Gill Sans MT" w:hAnsi="Gill Sans MT"/>
          <w:sz w:val="22"/>
          <w:szCs w:val="22"/>
          <w:lang w:val="cs-CZ"/>
        </w:rPr>
        <w:t>Zpráva</w:t>
      </w:r>
      <w:r w:rsidR="00DF0347" w:rsidRPr="00C11241">
        <w:rPr>
          <w:rFonts w:ascii="Gill Sans MT" w:hAnsi="Gill Sans MT"/>
          <w:sz w:val="22"/>
          <w:szCs w:val="22"/>
          <w:lang w:val="cs-CZ"/>
        </w:rPr>
        <w:t xml:space="preserve"> Dun &amp; Bradstreet </w:t>
      </w:r>
      <w:bookmarkStart w:id="1" w:name="_Hlk90454376"/>
      <w:r w:rsidR="00DF0347" w:rsidRPr="00C11241">
        <w:rPr>
          <w:rFonts w:ascii="Gill Sans MT" w:hAnsi="Gill Sans MT"/>
          <w:sz w:val="22"/>
          <w:szCs w:val="22"/>
          <w:lang w:val="cs-CZ"/>
        </w:rPr>
        <w:t xml:space="preserve">Global Business Risk Report (GBRR) </w:t>
      </w:r>
      <w:bookmarkEnd w:id="1"/>
      <w:r w:rsidR="00DF0347" w:rsidRPr="00C11241">
        <w:rPr>
          <w:rFonts w:ascii="Gill Sans MT" w:hAnsi="Gill Sans MT"/>
          <w:sz w:val="22"/>
          <w:szCs w:val="22"/>
          <w:lang w:val="cs-CZ"/>
        </w:rPr>
        <w:t>řadí největší aktuální hrozby pro podnikání na základě potenciálního dopadu každého rizikového scénáře na společnosti, přičemž každému riziku přiřazuje vlastní skóre. Skóre z deseti největších rizik se používá k výpočtu celkového skóre globálního obchodního dopadu (GBI</w:t>
      </w:r>
      <w:r w:rsidR="00822A0A" w:rsidRPr="00C11241">
        <w:rPr>
          <w:rFonts w:ascii="Gill Sans MT" w:hAnsi="Gill Sans MT"/>
          <w:sz w:val="22"/>
          <w:szCs w:val="22"/>
          <w:lang w:val="cs-CZ"/>
        </w:rPr>
        <w:t xml:space="preserve"> – Global Business Impact</w:t>
      </w:r>
      <w:r w:rsidR="00DF0347" w:rsidRPr="00C11241">
        <w:rPr>
          <w:rFonts w:ascii="Gill Sans MT" w:hAnsi="Gill Sans MT"/>
          <w:sz w:val="22"/>
          <w:szCs w:val="22"/>
          <w:lang w:val="cs-CZ"/>
        </w:rPr>
        <w:t>)</w:t>
      </w:r>
      <w:r w:rsidR="001041B5" w:rsidRPr="00C11241">
        <w:rPr>
          <w:rFonts w:ascii="Gill Sans MT" w:hAnsi="Gill Sans MT"/>
          <w:sz w:val="22"/>
          <w:szCs w:val="22"/>
          <w:lang w:val="cs-CZ"/>
        </w:rPr>
        <w:t>.</w:t>
      </w:r>
    </w:p>
    <w:p w14:paraId="698D46E3" w14:textId="77777777" w:rsidR="00DF0347" w:rsidRPr="00C11241" w:rsidRDefault="00DF0347" w:rsidP="00136E3D">
      <w:pPr>
        <w:autoSpaceDE w:val="0"/>
        <w:autoSpaceDN w:val="0"/>
        <w:jc w:val="both"/>
        <w:rPr>
          <w:rFonts w:ascii="Gill Sans MT" w:hAnsi="Gill Sans MT"/>
          <w:sz w:val="22"/>
          <w:szCs w:val="22"/>
          <w:lang w:val="cs-CZ"/>
        </w:rPr>
      </w:pPr>
    </w:p>
    <w:p w14:paraId="6BE55CF0" w14:textId="77777777" w:rsidR="00F74CBB" w:rsidRDefault="00F74CBB" w:rsidP="00136E3D">
      <w:pPr>
        <w:autoSpaceDE w:val="0"/>
        <w:autoSpaceDN w:val="0"/>
        <w:jc w:val="both"/>
        <w:rPr>
          <w:rFonts w:ascii="Gill Sans MT" w:hAnsi="Gill Sans MT"/>
          <w:sz w:val="22"/>
          <w:szCs w:val="22"/>
          <w:lang w:val="cs-CZ"/>
        </w:rPr>
      </w:pPr>
      <w:r w:rsidRPr="00C11241">
        <w:rPr>
          <w:rFonts w:ascii="Gill Sans MT" w:hAnsi="Gill Sans MT"/>
          <w:sz w:val="22"/>
          <w:szCs w:val="22"/>
          <w:lang w:val="cs-CZ"/>
        </w:rPr>
        <w:t>Ve 3. čtvrtletí 2022 se skóre GBI společnosti Dun &amp; Bradstreet zvýšilo na 321 bodů, což je nárůst oproti 315 bodům ve 2. čtvrtletí 2022, ale je nižší než nedávná maxima 332 bodů, která byla zaznamenána ve 2. a 3. čtvrtletí 2020, a to v důsledku začínající pandemie. Přestože je skóre GBI nižší než vrcholné hodnoty zaznamenané v roce 2020, je nad dlouhodobým průměrem 271; podniky působící v zahraničí se nadále potýkají s vysokou mírou nejistoty.</w:t>
      </w:r>
    </w:p>
    <w:p w14:paraId="592B414C" w14:textId="77777777" w:rsidR="00F74CBB" w:rsidRDefault="00F74CBB" w:rsidP="00136E3D">
      <w:pPr>
        <w:autoSpaceDE w:val="0"/>
        <w:autoSpaceDN w:val="0"/>
        <w:jc w:val="both"/>
        <w:rPr>
          <w:rFonts w:ascii="Gill Sans MT" w:hAnsi="Gill Sans MT"/>
          <w:sz w:val="22"/>
          <w:szCs w:val="22"/>
          <w:lang w:val="cs-CZ"/>
        </w:rPr>
      </w:pPr>
    </w:p>
    <w:p w14:paraId="6B74DFD7" w14:textId="77777777" w:rsidR="001041B5" w:rsidRDefault="001041B5" w:rsidP="00136E3D">
      <w:pPr>
        <w:autoSpaceDE w:val="0"/>
        <w:autoSpaceDN w:val="0"/>
        <w:jc w:val="both"/>
        <w:rPr>
          <w:rFonts w:ascii="Gill Sans MT" w:hAnsi="Gill Sans MT"/>
          <w:b/>
          <w:bCs/>
          <w:sz w:val="22"/>
          <w:szCs w:val="22"/>
          <w:lang w:val="cs-CZ"/>
        </w:rPr>
      </w:pPr>
    </w:p>
    <w:p w14:paraId="7DBC3622" w14:textId="77777777" w:rsidR="00822A0A" w:rsidRPr="00764538" w:rsidRDefault="00822A0A" w:rsidP="00136E3D">
      <w:pPr>
        <w:autoSpaceDE w:val="0"/>
        <w:autoSpaceDN w:val="0"/>
        <w:jc w:val="both"/>
        <w:rPr>
          <w:rFonts w:ascii="Gill Sans MT" w:hAnsi="Gill Sans MT"/>
          <w:b/>
          <w:bCs/>
          <w:sz w:val="22"/>
          <w:szCs w:val="22"/>
          <w:lang w:val="cs-CZ"/>
        </w:rPr>
      </w:pPr>
      <w:r w:rsidRPr="00764538">
        <w:rPr>
          <w:rFonts w:ascii="Gill Sans MT" w:hAnsi="Gill Sans MT"/>
          <w:b/>
          <w:bCs/>
          <w:sz w:val="22"/>
          <w:szCs w:val="22"/>
          <w:lang w:val="cs-CZ"/>
        </w:rPr>
        <w:t>Global Business Impact skóre</w:t>
      </w:r>
      <w:r w:rsidR="00764538" w:rsidRPr="00764538">
        <w:rPr>
          <w:rFonts w:ascii="Gill Sans MT" w:hAnsi="Gill Sans MT"/>
          <w:b/>
          <w:bCs/>
          <w:sz w:val="22"/>
          <w:szCs w:val="22"/>
          <w:lang w:val="cs-CZ"/>
        </w:rPr>
        <w:t xml:space="preserve"> </w:t>
      </w:r>
    </w:p>
    <w:p w14:paraId="3875C072" w14:textId="77ACC348" w:rsidR="00822A0A" w:rsidRDefault="00822A0A" w:rsidP="00136E3D">
      <w:pPr>
        <w:autoSpaceDE w:val="0"/>
        <w:autoSpaceDN w:val="0"/>
        <w:jc w:val="both"/>
        <w:rPr>
          <w:rFonts w:ascii="Gill Sans MT" w:hAnsi="Gill Sans MT"/>
          <w:sz w:val="22"/>
          <w:szCs w:val="22"/>
          <w:lang w:val="cs-CZ"/>
        </w:rPr>
      </w:pPr>
    </w:p>
    <w:p w14:paraId="39CC8689" w14:textId="4CC06232" w:rsidR="008069B4" w:rsidRDefault="003E2FA4" w:rsidP="00136E3D">
      <w:pPr>
        <w:autoSpaceDE w:val="0"/>
        <w:autoSpaceDN w:val="0"/>
        <w:jc w:val="both"/>
        <w:rPr>
          <w:rFonts w:ascii="Gill Sans MT" w:hAnsi="Gill Sans MT"/>
          <w:sz w:val="22"/>
          <w:szCs w:val="22"/>
          <w:lang w:val="cs-CZ"/>
        </w:rPr>
      </w:pPr>
      <w:r>
        <w:rPr>
          <w:noProof/>
        </w:rPr>
        <w:drawing>
          <wp:inline distT="0" distB="0" distL="0" distR="0" wp14:anchorId="073A8F92" wp14:editId="60E8598D">
            <wp:extent cx="5935980" cy="275082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5980" cy="2750820"/>
                    </a:xfrm>
                    <a:prstGeom prst="rect">
                      <a:avLst/>
                    </a:prstGeom>
                    <a:noFill/>
                    <a:ln>
                      <a:noFill/>
                    </a:ln>
                  </pic:spPr>
                </pic:pic>
              </a:graphicData>
            </a:graphic>
          </wp:inline>
        </w:drawing>
      </w:r>
    </w:p>
    <w:p w14:paraId="7DCE8AB8" w14:textId="77777777" w:rsidR="008069B4" w:rsidRDefault="008069B4" w:rsidP="00136E3D">
      <w:pPr>
        <w:autoSpaceDE w:val="0"/>
        <w:autoSpaceDN w:val="0"/>
        <w:jc w:val="both"/>
        <w:rPr>
          <w:rFonts w:ascii="Gill Sans MT" w:hAnsi="Gill Sans MT"/>
          <w:sz w:val="22"/>
          <w:szCs w:val="22"/>
          <w:lang w:val="cs-CZ"/>
        </w:rPr>
      </w:pPr>
    </w:p>
    <w:p w14:paraId="684B31CD" w14:textId="77777777" w:rsidR="006735B1" w:rsidRPr="00764538" w:rsidRDefault="00764538" w:rsidP="008A7037">
      <w:pPr>
        <w:autoSpaceDE w:val="0"/>
        <w:autoSpaceDN w:val="0"/>
        <w:jc w:val="both"/>
        <w:rPr>
          <w:rFonts w:ascii="Gill Sans MT" w:hAnsi="Gill Sans MT"/>
          <w:bCs/>
          <w:sz w:val="22"/>
          <w:szCs w:val="22"/>
          <w:lang w:val="cs-CZ" w:eastAsia="en-US"/>
        </w:rPr>
      </w:pPr>
      <w:r w:rsidRPr="00764538">
        <w:rPr>
          <w:rFonts w:ascii="Gill Sans MT" w:hAnsi="Gill Sans MT"/>
          <w:bCs/>
          <w:sz w:val="22"/>
          <w:szCs w:val="22"/>
          <w:lang w:val="cs-CZ" w:eastAsia="en-US"/>
        </w:rPr>
        <w:t>Zdroj: Dun &amp; Bradstreet</w:t>
      </w:r>
    </w:p>
    <w:p w14:paraId="27C28108" w14:textId="77777777" w:rsidR="006A250E" w:rsidRPr="00736EF3" w:rsidRDefault="006A250E" w:rsidP="00DD0964">
      <w:pPr>
        <w:pStyle w:val="Zkladntext3"/>
        <w:spacing w:after="0"/>
        <w:rPr>
          <w:rFonts w:ascii="Gill Sans MT" w:hAnsi="Gill Sans MT"/>
          <w:b/>
          <w:sz w:val="22"/>
          <w:szCs w:val="22"/>
          <w:lang w:val="cs-CZ"/>
        </w:rPr>
      </w:pPr>
    </w:p>
    <w:p w14:paraId="6BDCD789" w14:textId="77777777" w:rsidR="000724A3" w:rsidRPr="00C11241" w:rsidRDefault="000724A3" w:rsidP="00DD0964">
      <w:pPr>
        <w:pStyle w:val="Zkladntext3"/>
        <w:spacing w:after="0"/>
        <w:rPr>
          <w:rFonts w:ascii="Gill Sans MT" w:hAnsi="Gill Sans MT"/>
          <w:bCs/>
          <w:sz w:val="22"/>
          <w:szCs w:val="22"/>
          <w:lang w:val="cs-CZ"/>
        </w:rPr>
      </w:pPr>
      <w:r w:rsidRPr="00C11241">
        <w:rPr>
          <w:rFonts w:ascii="Gill Sans MT" w:hAnsi="Gill Sans MT"/>
          <w:bCs/>
          <w:sz w:val="22"/>
          <w:szCs w:val="22"/>
          <w:lang w:val="cs-CZ"/>
        </w:rPr>
        <w:t xml:space="preserve">Deset největších rizik, která vstupují do hodnocení, je založeno na odborných znalostech týmu ekonomů společnosti Dun &amp; Bradstreet, kteří pokrývají 132 zemí, a které představují více než 99 % celosvětového HDP. Posuzují klíčová rizika vycházející z jejich regionu. </w:t>
      </w:r>
      <w:r w:rsidR="00495EC2" w:rsidRPr="00C11241">
        <w:rPr>
          <w:rFonts w:ascii="Gill Sans MT" w:hAnsi="Gill Sans MT"/>
          <w:bCs/>
          <w:sz w:val="22"/>
          <w:szCs w:val="22"/>
          <w:lang w:val="cs-CZ"/>
        </w:rPr>
        <w:t>Výsledné riziko je kalkulováno na základě velikosti pravděpodobného dopadu události na globální prostředí a pravděpodobnosti, že k události skutečně dojde.</w:t>
      </w:r>
    </w:p>
    <w:p w14:paraId="1245957D" w14:textId="77777777" w:rsidR="00AB7E91" w:rsidRPr="00C11241" w:rsidRDefault="00AB7E91" w:rsidP="00DD0964">
      <w:pPr>
        <w:pStyle w:val="Zkladntext3"/>
        <w:spacing w:after="0"/>
        <w:rPr>
          <w:rFonts w:ascii="Gill Sans MT" w:hAnsi="Gill Sans MT"/>
          <w:bCs/>
          <w:sz w:val="22"/>
          <w:szCs w:val="22"/>
          <w:lang w:val="cs-CZ"/>
        </w:rPr>
      </w:pPr>
    </w:p>
    <w:p w14:paraId="1284937C" w14:textId="77777777" w:rsidR="00EE102A" w:rsidRPr="00C11241" w:rsidRDefault="00AB7E91" w:rsidP="00DD0964">
      <w:pPr>
        <w:pStyle w:val="Zkladntext3"/>
        <w:spacing w:after="0"/>
        <w:rPr>
          <w:rFonts w:ascii="Gill Sans MT" w:hAnsi="Gill Sans MT"/>
          <w:b/>
          <w:sz w:val="22"/>
          <w:szCs w:val="22"/>
          <w:lang w:val="cs-CZ"/>
        </w:rPr>
      </w:pPr>
      <w:r w:rsidRPr="00C11241">
        <w:rPr>
          <w:rFonts w:ascii="Gill Sans MT" w:hAnsi="Gill Sans MT"/>
          <w:b/>
          <w:sz w:val="22"/>
          <w:szCs w:val="22"/>
          <w:lang w:val="cs-CZ"/>
        </w:rPr>
        <w:t xml:space="preserve">Mezi hlavními riziky </w:t>
      </w:r>
      <w:r w:rsidR="00EE102A" w:rsidRPr="00C11241">
        <w:rPr>
          <w:rFonts w:ascii="Gill Sans MT" w:hAnsi="Gill Sans MT"/>
          <w:b/>
          <w:sz w:val="22"/>
          <w:szCs w:val="22"/>
          <w:lang w:val="cs-CZ"/>
        </w:rPr>
        <w:t>aktuálně dominuje stagflace (nízký růst a vysoká inflace) a geopolitika.</w:t>
      </w:r>
    </w:p>
    <w:p w14:paraId="031AC2EF" w14:textId="77777777" w:rsidR="00FA0D12" w:rsidRPr="00C11241" w:rsidRDefault="00FA0D12" w:rsidP="00DD0964">
      <w:pPr>
        <w:pStyle w:val="Zkladntext3"/>
        <w:spacing w:after="0"/>
        <w:rPr>
          <w:rFonts w:ascii="Gill Sans MT" w:hAnsi="Gill Sans MT"/>
          <w:bCs/>
          <w:sz w:val="22"/>
          <w:szCs w:val="22"/>
          <w:lang w:val="cs-CZ"/>
        </w:rPr>
      </w:pPr>
    </w:p>
    <w:p w14:paraId="34B4F7DB" w14:textId="77777777" w:rsidR="00EE102A" w:rsidRPr="00C11241" w:rsidRDefault="00EE102A" w:rsidP="00DD0964">
      <w:pPr>
        <w:pStyle w:val="Zkladntext3"/>
        <w:spacing w:after="0"/>
        <w:rPr>
          <w:rFonts w:ascii="Gill Sans MT" w:hAnsi="Gill Sans MT"/>
          <w:bCs/>
          <w:sz w:val="22"/>
          <w:szCs w:val="22"/>
          <w:lang w:val="cs-CZ"/>
        </w:rPr>
      </w:pPr>
      <w:r w:rsidRPr="00C11241">
        <w:rPr>
          <w:rFonts w:ascii="Gill Sans MT" w:hAnsi="Gill Sans MT"/>
          <w:bCs/>
          <w:sz w:val="22"/>
          <w:szCs w:val="22"/>
          <w:lang w:val="cs-CZ"/>
        </w:rPr>
        <w:t xml:space="preserve">Dun &amp; Bradstreet již ve 2. čtvrtletí </w:t>
      </w:r>
      <w:r w:rsidR="00CC263C" w:rsidRPr="00C11241">
        <w:rPr>
          <w:rFonts w:ascii="Gill Sans MT" w:hAnsi="Gill Sans MT"/>
          <w:bCs/>
          <w:sz w:val="22"/>
          <w:szCs w:val="22"/>
          <w:lang w:val="cs-CZ"/>
        </w:rPr>
        <w:t xml:space="preserve">definovala jako nové </w:t>
      </w:r>
      <w:r w:rsidR="00CC263C" w:rsidRPr="00C11241">
        <w:rPr>
          <w:rFonts w:ascii="Gill Sans MT" w:hAnsi="Gill Sans MT"/>
          <w:b/>
          <w:sz w:val="22"/>
          <w:szCs w:val="22"/>
          <w:lang w:val="cs-CZ"/>
        </w:rPr>
        <w:t>riziko stagflaci</w:t>
      </w:r>
      <w:r w:rsidR="00CC263C" w:rsidRPr="00C11241">
        <w:rPr>
          <w:rFonts w:ascii="Gill Sans MT" w:hAnsi="Gill Sans MT"/>
          <w:bCs/>
          <w:sz w:val="22"/>
          <w:szCs w:val="22"/>
          <w:lang w:val="cs-CZ"/>
        </w:rPr>
        <w:t xml:space="preserve">. Toto riziko se stalo </w:t>
      </w:r>
      <w:r w:rsidRPr="00C11241">
        <w:rPr>
          <w:rFonts w:ascii="Gill Sans MT" w:hAnsi="Gill Sans MT"/>
          <w:bCs/>
          <w:sz w:val="22"/>
          <w:szCs w:val="22"/>
          <w:lang w:val="cs-CZ"/>
        </w:rPr>
        <w:t>podstatnějším rizikem z hlediska pravděpodobnosti a dopadu, zejména v USA a Evropě. Jedná se o hlavní riziko, které by podniky měly sledovat i nadále, zejména pokud se stagflace udrží.</w:t>
      </w:r>
    </w:p>
    <w:p w14:paraId="1D956CC5" w14:textId="77777777" w:rsidR="00AA6BFF" w:rsidRPr="00C11241" w:rsidRDefault="00AA6BFF" w:rsidP="00DD0964">
      <w:pPr>
        <w:pStyle w:val="Zkladntext3"/>
        <w:spacing w:after="0"/>
        <w:rPr>
          <w:rFonts w:ascii="Gill Sans MT" w:hAnsi="Gill Sans MT"/>
          <w:bCs/>
          <w:sz w:val="22"/>
          <w:szCs w:val="22"/>
          <w:lang w:val="cs-CZ"/>
        </w:rPr>
      </w:pPr>
    </w:p>
    <w:p w14:paraId="087A94BE" w14:textId="77777777" w:rsidR="00CC263C" w:rsidRPr="00C11241" w:rsidRDefault="00CC263C" w:rsidP="00DD0964">
      <w:pPr>
        <w:pStyle w:val="Zkladntext3"/>
        <w:spacing w:after="0"/>
        <w:rPr>
          <w:rFonts w:ascii="Gill Sans MT" w:hAnsi="Gill Sans MT"/>
          <w:bCs/>
          <w:sz w:val="22"/>
          <w:szCs w:val="22"/>
          <w:lang w:val="cs-CZ"/>
        </w:rPr>
      </w:pPr>
      <w:r w:rsidRPr="00C11241">
        <w:rPr>
          <w:rFonts w:ascii="Gill Sans MT" w:hAnsi="Gill Sans MT"/>
          <w:bCs/>
          <w:sz w:val="22"/>
          <w:szCs w:val="22"/>
          <w:lang w:val="cs-CZ"/>
        </w:rPr>
        <w:t xml:space="preserve">Samostatně se v průběhu tohoto čtvrtletí v důsledku obnovení napětí zvýšila pravděpodobnost také rizikového scénáře v rámci </w:t>
      </w:r>
      <w:r w:rsidRPr="00C11241">
        <w:rPr>
          <w:rFonts w:ascii="Gill Sans MT" w:hAnsi="Gill Sans MT"/>
          <w:b/>
          <w:sz w:val="22"/>
          <w:szCs w:val="22"/>
          <w:lang w:val="cs-CZ"/>
        </w:rPr>
        <w:t>konkurence mezi USA a Čínou</w:t>
      </w:r>
      <w:r w:rsidRPr="00C11241">
        <w:rPr>
          <w:rFonts w:ascii="Gill Sans MT" w:hAnsi="Gill Sans MT"/>
          <w:bCs/>
          <w:sz w:val="22"/>
          <w:szCs w:val="22"/>
          <w:lang w:val="cs-CZ"/>
        </w:rPr>
        <w:t>, který je opakovaným tématem v radaru nejvyšších rizik podle Dun &amp; Bradstreet.</w:t>
      </w:r>
    </w:p>
    <w:p w14:paraId="61A8E1F6" w14:textId="77777777" w:rsidR="00AA6BFF" w:rsidRPr="00C11241" w:rsidRDefault="00AA6BFF" w:rsidP="00DD0964">
      <w:pPr>
        <w:pStyle w:val="Zkladntext3"/>
        <w:spacing w:after="0"/>
        <w:rPr>
          <w:rFonts w:ascii="Gill Sans MT" w:hAnsi="Gill Sans MT"/>
          <w:bCs/>
          <w:sz w:val="22"/>
          <w:szCs w:val="22"/>
          <w:lang w:val="cs-CZ"/>
        </w:rPr>
      </w:pPr>
    </w:p>
    <w:p w14:paraId="26F18943" w14:textId="77777777" w:rsidR="00CC263C" w:rsidRPr="00C11241" w:rsidRDefault="00CC263C" w:rsidP="00DD0964">
      <w:pPr>
        <w:pStyle w:val="Zkladntext3"/>
        <w:spacing w:after="0"/>
        <w:rPr>
          <w:rFonts w:ascii="Gill Sans MT" w:hAnsi="Gill Sans MT"/>
          <w:bCs/>
          <w:sz w:val="22"/>
          <w:szCs w:val="22"/>
          <w:lang w:val="cs-CZ"/>
        </w:rPr>
      </w:pPr>
      <w:r w:rsidRPr="00C11241">
        <w:rPr>
          <w:rFonts w:ascii="Gill Sans MT" w:hAnsi="Gill Sans MT"/>
          <w:bCs/>
          <w:sz w:val="22"/>
          <w:szCs w:val="22"/>
          <w:lang w:val="cs-CZ"/>
        </w:rPr>
        <w:t xml:space="preserve">„Nadále sledujeme obchodní </w:t>
      </w:r>
      <w:r w:rsidRPr="00C11241">
        <w:rPr>
          <w:rFonts w:ascii="Gill Sans MT" w:hAnsi="Gill Sans MT"/>
          <w:b/>
          <w:sz w:val="22"/>
          <w:szCs w:val="22"/>
          <w:lang w:val="cs-CZ"/>
        </w:rPr>
        <w:t>důsledky rusko-ukrajinského konfliktu</w:t>
      </w:r>
      <w:r w:rsidRPr="00C11241">
        <w:rPr>
          <w:rFonts w:ascii="Gill Sans MT" w:hAnsi="Gill Sans MT"/>
          <w:bCs/>
          <w:sz w:val="22"/>
          <w:szCs w:val="22"/>
          <w:lang w:val="cs-CZ"/>
        </w:rPr>
        <w:t xml:space="preserve">. Zisky z prvního diplomatického průlomu – dohody o vývozu pšenice – byly částečně kompenzovány nedávnými sabotážními incidenty namířenými proti Rusku, což udržuje riziko eskalace vysoké. Nyní se obáváme, že Rusko bude stále více využívat svého vlivu na dodávky energií do Evropy. To je pravděpodobnější, ale také mírnější scénář ve srovnání s rozšířením války, na které jsme upozorňovali v naší poslední zprávě,“ uvádí se ve zprávě Dun &amp; Bradstreet. </w:t>
      </w:r>
    </w:p>
    <w:p w14:paraId="1B2BA296" w14:textId="77777777" w:rsidR="00AA6BFF" w:rsidRPr="00C11241" w:rsidRDefault="00AA6BFF" w:rsidP="00DD0964">
      <w:pPr>
        <w:pStyle w:val="Zkladntext3"/>
        <w:spacing w:after="0"/>
        <w:rPr>
          <w:rFonts w:ascii="Gill Sans MT" w:hAnsi="Gill Sans MT"/>
          <w:bCs/>
          <w:sz w:val="22"/>
          <w:szCs w:val="22"/>
          <w:lang w:val="cs-CZ"/>
        </w:rPr>
      </w:pPr>
    </w:p>
    <w:p w14:paraId="740926C3" w14:textId="77777777" w:rsidR="00CC263C" w:rsidRPr="00C11241" w:rsidRDefault="00CC263C" w:rsidP="00DD0964">
      <w:pPr>
        <w:pStyle w:val="Zkladntext3"/>
        <w:spacing w:after="0"/>
        <w:rPr>
          <w:rFonts w:ascii="Gill Sans MT" w:hAnsi="Gill Sans MT"/>
          <w:bCs/>
          <w:sz w:val="22"/>
          <w:szCs w:val="22"/>
          <w:lang w:val="cs-CZ"/>
        </w:rPr>
      </w:pPr>
      <w:r w:rsidRPr="00C11241">
        <w:rPr>
          <w:rFonts w:ascii="Gill Sans MT" w:hAnsi="Gill Sans MT"/>
          <w:bCs/>
          <w:sz w:val="22"/>
          <w:szCs w:val="22"/>
          <w:lang w:val="cs-CZ"/>
        </w:rPr>
        <w:t xml:space="preserve">Relevantním rizikem zůstává zpomalení čínské ekonomiky, přičemž dopad tohoto scénáře byl mírně zvýšen. </w:t>
      </w:r>
      <w:r w:rsidRPr="00C11241">
        <w:rPr>
          <w:rFonts w:ascii="Gill Sans MT" w:hAnsi="Gill Sans MT"/>
          <w:b/>
          <w:sz w:val="22"/>
          <w:szCs w:val="22"/>
          <w:lang w:val="cs-CZ"/>
        </w:rPr>
        <w:t>Zpomalení čínské ekonomiky</w:t>
      </w:r>
      <w:r w:rsidRPr="00C11241">
        <w:rPr>
          <w:rFonts w:ascii="Gill Sans MT" w:hAnsi="Gill Sans MT"/>
          <w:bCs/>
          <w:sz w:val="22"/>
          <w:szCs w:val="22"/>
          <w:lang w:val="cs-CZ"/>
        </w:rPr>
        <w:t xml:space="preserve"> je pro globální ekonomiku špatnou zprávou, ale zpomalení čínské ekonomiky v současném ekonomickém prostředí je ještě horší.</w:t>
      </w:r>
    </w:p>
    <w:p w14:paraId="1E20F19D" w14:textId="77777777" w:rsidR="00AA6BFF" w:rsidRPr="00C11241" w:rsidRDefault="00AA6BFF" w:rsidP="00DD0964">
      <w:pPr>
        <w:pStyle w:val="Zkladntext3"/>
        <w:spacing w:after="0"/>
        <w:rPr>
          <w:rFonts w:ascii="Gill Sans MT" w:hAnsi="Gill Sans MT"/>
          <w:bCs/>
          <w:sz w:val="22"/>
          <w:szCs w:val="22"/>
          <w:lang w:val="cs-CZ"/>
        </w:rPr>
      </w:pPr>
    </w:p>
    <w:p w14:paraId="70E1E7BA" w14:textId="77777777" w:rsidR="00AA6BFF" w:rsidRPr="00C11241" w:rsidRDefault="00AA6BFF" w:rsidP="00AA6BFF">
      <w:pPr>
        <w:pStyle w:val="Zkladntext3"/>
        <w:rPr>
          <w:rFonts w:ascii="Gill Sans MT" w:hAnsi="Gill Sans MT"/>
          <w:bCs/>
          <w:sz w:val="22"/>
          <w:szCs w:val="22"/>
          <w:lang w:val="cs-CZ"/>
        </w:rPr>
      </w:pPr>
      <w:r w:rsidRPr="00C11241">
        <w:rPr>
          <w:rFonts w:ascii="Gill Sans MT" w:hAnsi="Gill Sans MT"/>
          <w:b/>
          <w:sz w:val="22"/>
          <w:szCs w:val="22"/>
          <w:lang w:val="cs-CZ"/>
        </w:rPr>
        <w:t>Kybernetická zranitelnost</w:t>
      </w:r>
      <w:r w:rsidRPr="00C11241">
        <w:rPr>
          <w:rFonts w:ascii="Gill Sans MT" w:hAnsi="Gill Sans MT"/>
          <w:bCs/>
          <w:sz w:val="22"/>
          <w:szCs w:val="22"/>
          <w:lang w:val="cs-CZ"/>
        </w:rPr>
        <w:t xml:space="preserve"> se na začátku tohoto roku dostala na seznam deseti největších rizik podle Dun &amp; Bradstreet. Toto riziko je i nadále klíčové sledovat s tím, jak se zintenzivňuje geopolitická konkurence.</w:t>
      </w:r>
    </w:p>
    <w:p w14:paraId="2583C6A7" w14:textId="77777777" w:rsidR="00AA6BFF" w:rsidRPr="00C11241" w:rsidRDefault="00AA6BFF" w:rsidP="00AA6BFF">
      <w:pPr>
        <w:pStyle w:val="Zkladntext3"/>
        <w:rPr>
          <w:rFonts w:ascii="Gill Sans MT" w:hAnsi="Gill Sans MT"/>
          <w:bCs/>
          <w:sz w:val="22"/>
          <w:szCs w:val="22"/>
          <w:lang w:val="cs-CZ"/>
        </w:rPr>
      </w:pPr>
      <w:r w:rsidRPr="00C11241">
        <w:rPr>
          <w:rFonts w:ascii="Gill Sans MT" w:hAnsi="Gill Sans MT"/>
          <w:bCs/>
          <w:sz w:val="22"/>
          <w:szCs w:val="22"/>
          <w:lang w:val="cs-CZ"/>
        </w:rPr>
        <w:t xml:space="preserve">V předchozím čtvrtletí </w:t>
      </w:r>
      <w:r w:rsidR="000927EA" w:rsidRPr="00C11241">
        <w:rPr>
          <w:rFonts w:ascii="Gill Sans MT" w:hAnsi="Gill Sans MT"/>
          <w:bCs/>
          <w:sz w:val="22"/>
          <w:szCs w:val="22"/>
          <w:lang w:val="cs-CZ"/>
        </w:rPr>
        <w:t>byla mezi</w:t>
      </w:r>
      <w:r w:rsidRPr="00C11241">
        <w:rPr>
          <w:rFonts w:ascii="Gill Sans MT" w:hAnsi="Gill Sans MT"/>
          <w:bCs/>
          <w:sz w:val="22"/>
          <w:szCs w:val="22"/>
          <w:lang w:val="cs-CZ"/>
        </w:rPr>
        <w:t xml:space="preserve"> hlavní rizik </w:t>
      </w:r>
      <w:r w:rsidR="000927EA" w:rsidRPr="00C11241">
        <w:rPr>
          <w:rFonts w:ascii="Gill Sans MT" w:hAnsi="Gill Sans MT"/>
          <w:bCs/>
          <w:sz w:val="22"/>
          <w:szCs w:val="22"/>
          <w:lang w:val="cs-CZ"/>
        </w:rPr>
        <w:t>zařazena</w:t>
      </w:r>
      <w:r w:rsidRPr="00C11241">
        <w:rPr>
          <w:rFonts w:ascii="Gill Sans MT" w:hAnsi="Gill Sans MT"/>
          <w:bCs/>
          <w:sz w:val="22"/>
          <w:szCs w:val="22"/>
          <w:lang w:val="cs-CZ"/>
        </w:rPr>
        <w:t xml:space="preserve"> </w:t>
      </w:r>
      <w:r w:rsidRPr="00C11241">
        <w:rPr>
          <w:rFonts w:ascii="Gill Sans MT" w:hAnsi="Gill Sans MT"/>
          <w:b/>
          <w:sz w:val="22"/>
          <w:szCs w:val="22"/>
          <w:lang w:val="cs-CZ"/>
        </w:rPr>
        <w:t>politick</w:t>
      </w:r>
      <w:r w:rsidR="000927EA" w:rsidRPr="00C11241">
        <w:rPr>
          <w:rFonts w:ascii="Gill Sans MT" w:hAnsi="Gill Sans MT"/>
          <w:b/>
          <w:sz w:val="22"/>
          <w:szCs w:val="22"/>
          <w:lang w:val="cs-CZ"/>
        </w:rPr>
        <w:t>á</w:t>
      </w:r>
      <w:r w:rsidRPr="00C11241">
        <w:rPr>
          <w:rFonts w:ascii="Gill Sans MT" w:hAnsi="Gill Sans MT"/>
          <w:b/>
          <w:sz w:val="22"/>
          <w:szCs w:val="22"/>
          <w:lang w:val="cs-CZ"/>
        </w:rPr>
        <w:t xml:space="preserve"> polarizac</w:t>
      </w:r>
      <w:r w:rsidR="000927EA" w:rsidRPr="00C11241">
        <w:rPr>
          <w:rFonts w:ascii="Gill Sans MT" w:hAnsi="Gill Sans MT"/>
          <w:b/>
          <w:sz w:val="22"/>
          <w:szCs w:val="22"/>
          <w:lang w:val="cs-CZ"/>
        </w:rPr>
        <w:t>e</w:t>
      </w:r>
      <w:r w:rsidRPr="00C11241">
        <w:rPr>
          <w:rFonts w:ascii="Gill Sans MT" w:hAnsi="Gill Sans MT"/>
          <w:bCs/>
          <w:sz w:val="22"/>
          <w:szCs w:val="22"/>
          <w:lang w:val="cs-CZ"/>
        </w:rPr>
        <w:t>, konkrétně riziko pouličních násilností kvůli obavám o životní náklady. Projevem toho byla krize na Srí Lance. Nyní, v další fázi, j</w:t>
      </w:r>
      <w:r w:rsidR="000927EA" w:rsidRPr="00C11241">
        <w:rPr>
          <w:rFonts w:ascii="Gill Sans MT" w:hAnsi="Gill Sans MT"/>
          <w:bCs/>
          <w:sz w:val="22"/>
          <w:szCs w:val="22"/>
          <w:lang w:val="cs-CZ"/>
        </w:rPr>
        <w:t xml:space="preserve">e </w:t>
      </w:r>
      <w:r w:rsidRPr="00C11241">
        <w:rPr>
          <w:rFonts w:ascii="Gill Sans MT" w:hAnsi="Gill Sans MT"/>
          <w:bCs/>
          <w:sz w:val="22"/>
          <w:szCs w:val="22"/>
          <w:lang w:val="cs-CZ"/>
        </w:rPr>
        <w:t>jako nové téma rizik, které je třeba sledovat,</w:t>
      </w:r>
      <w:r w:rsidR="000927EA" w:rsidRPr="00C11241">
        <w:rPr>
          <w:rFonts w:ascii="Gill Sans MT" w:hAnsi="Gill Sans MT"/>
          <w:bCs/>
          <w:sz w:val="22"/>
          <w:szCs w:val="22"/>
          <w:lang w:val="cs-CZ"/>
        </w:rPr>
        <w:t xml:space="preserve"> označena</w:t>
      </w:r>
      <w:r w:rsidRPr="00C11241">
        <w:rPr>
          <w:rFonts w:ascii="Gill Sans MT" w:hAnsi="Gill Sans MT"/>
          <w:bCs/>
          <w:sz w:val="22"/>
          <w:szCs w:val="22"/>
          <w:lang w:val="cs-CZ"/>
        </w:rPr>
        <w:t xml:space="preserve"> </w:t>
      </w:r>
      <w:r w:rsidRPr="00C11241">
        <w:rPr>
          <w:rFonts w:ascii="Gill Sans MT" w:hAnsi="Gill Sans MT"/>
          <w:b/>
          <w:sz w:val="22"/>
          <w:szCs w:val="22"/>
          <w:lang w:val="cs-CZ"/>
        </w:rPr>
        <w:t>obsluhu dluhu na rozvíjejících se trzích</w:t>
      </w:r>
      <w:r w:rsidRPr="00C11241">
        <w:rPr>
          <w:rFonts w:ascii="Gill Sans MT" w:hAnsi="Gill Sans MT"/>
          <w:bCs/>
          <w:sz w:val="22"/>
          <w:szCs w:val="22"/>
          <w:lang w:val="cs-CZ"/>
        </w:rPr>
        <w:t>. Zkušenosti ze Srí Lanky a jejího státního selhání přivedly pozornost k dalším podobně zranitelným rozvíjejícím se trhům. Toto riziko je podpořeno různorodými tlaky na fiskální účty, rostoucími náklady na dluh a zhoršujícím se výhledem globálního růstu.</w:t>
      </w:r>
    </w:p>
    <w:p w14:paraId="4B68C6B7" w14:textId="7C1EACE2" w:rsidR="00AA6BFF" w:rsidRDefault="00AA6BFF" w:rsidP="00AA6BFF">
      <w:pPr>
        <w:pStyle w:val="Zkladntext3"/>
        <w:spacing w:after="0"/>
        <w:rPr>
          <w:rFonts w:ascii="Gill Sans MT" w:hAnsi="Gill Sans MT"/>
          <w:bCs/>
          <w:sz w:val="22"/>
          <w:szCs w:val="22"/>
          <w:lang w:val="cs-CZ"/>
        </w:rPr>
      </w:pPr>
      <w:r w:rsidRPr="00C11241">
        <w:rPr>
          <w:rFonts w:ascii="Gill Sans MT" w:hAnsi="Gill Sans MT"/>
          <w:b/>
          <w:sz w:val="22"/>
          <w:szCs w:val="22"/>
          <w:lang w:val="cs-CZ"/>
        </w:rPr>
        <w:t>Potíže v dodavatelském řetězci</w:t>
      </w:r>
      <w:r w:rsidRPr="00C11241">
        <w:rPr>
          <w:rFonts w:ascii="Gill Sans MT" w:hAnsi="Gill Sans MT"/>
          <w:bCs/>
          <w:sz w:val="22"/>
          <w:szCs w:val="22"/>
          <w:lang w:val="cs-CZ"/>
        </w:rPr>
        <w:t xml:space="preserve">, které byly hlavním rizikem ve druhém čtvrtletí roku 2022, jsou nyní rizikovým scénářem </w:t>
      </w:r>
      <w:r w:rsidRPr="00C11241">
        <w:rPr>
          <w:rFonts w:ascii="Gill Sans MT" w:hAnsi="Gill Sans MT"/>
          <w:b/>
          <w:sz w:val="22"/>
          <w:szCs w:val="22"/>
          <w:lang w:val="cs-CZ"/>
        </w:rPr>
        <w:t>s nižší pravděpodobností a nepatrně nižším dopadem</w:t>
      </w:r>
      <w:r w:rsidRPr="00C11241">
        <w:rPr>
          <w:rFonts w:ascii="Gill Sans MT" w:hAnsi="Gill Sans MT"/>
          <w:bCs/>
          <w:sz w:val="22"/>
          <w:szCs w:val="22"/>
          <w:lang w:val="cs-CZ"/>
        </w:rPr>
        <w:t xml:space="preserve">. Přetrvává napětí v dodavatelských řetězcích, včetně rusko-ukrajinského konfliktu, odstávek v Číně kvůli případům Covid-19 a dokonce nedostatku pracovních sil. Nicméně vzhledem k tomu, že cenové tlaky na komodity začaly polevovat a centrální banky po celém světě plánují zpomalení, obavy z poptávky pravděpodobně převáží a </w:t>
      </w:r>
      <w:r w:rsidR="008069B4">
        <w:rPr>
          <w:rFonts w:ascii="Gill Sans MT" w:hAnsi="Gill Sans MT"/>
          <w:bCs/>
          <w:sz w:val="22"/>
          <w:szCs w:val="22"/>
          <w:lang w:val="cs-CZ"/>
        </w:rPr>
        <w:t>potíže</w:t>
      </w:r>
      <w:r w:rsidRPr="00C11241">
        <w:rPr>
          <w:rFonts w:ascii="Gill Sans MT" w:hAnsi="Gill Sans MT"/>
          <w:bCs/>
          <w:sz w:val="22"/>
          <w:szCs w:val="22"/>
          <w:lang w:val="cs-CZ"/>
        </w:rPr>
        <w:t xml:space="preserve">, </w:t>
      </w:r>
      <w:r w:rsidR="008069B4" w:rsidRPr="00C11241">
        <w:rPr>
          <w:rFonts w:ascii="Gill Sans MT" w:hAnsi="Gill Sans MT"/>
          <w:bCs/>
          <w:sz w:val="22"/>
          <w:szCs w:val="22"/>
          <w:lang w:val="cs-CZ"/>
        </w:rPr>
        <w:t>kter</w:t>
      </w:r>
      <w:r w:rsidR="008069B4">
        <w:rPr>
          <w:rFonts w:ascii="Gill Sans MT" w:hAnsi="Gill Sans MT"/>
          <w:bCs/>
          <w:sz w:val="22"/>
          <w:szCs w:val="22"/>
          <w:lang w:val="cs-CZ"/>
        </w:rPr>
        <w:t>é</w:t>
      </w:r>
      <w:r w:rsidR="008069B4" w:rsidRPr="00C11241">
        <w:rPr>
          <w:rFonts w:ascii="Gill Sans MT" w:hAnsi="Gill Sans MT"/>
          <w:bCs/>
          <w:sz w:val="22"/>
          <w:szCs w:val="22"/>
          <w:lang w:val="cs-CZ"/>
        </w:rPr>
        <w:t xml:space="preserve"> </w:t>
      </w:r>
      <w:r w:rsidRPr="00C11241">
        <w:rPr>
          <w:rFonts w:ascii="Gill Sans MT" w:hAnsi="Gill Sans MT"/>
          <w:bCs/>
          <w:sz w:val="22"/>
          <w:szCs w:val="22"/>
          <w:lang w:val="cs-CZ"/>
        </w:rPr>
        <w:t>podniky pociťují kvůli dodavatelským řetězcům, se pravděpodobně sníží.</w:t>
      </w:r>
    </w:p>
    <w:p w14:paraId="0D9C305A" w14:textId="77777777" w:rsidR="00FA0D12" w:rsidRDefault="00FA0D12" w:rsidP="00AA6BFF">
      <w:pPr>
        <w:pStyle w:val="Zkladntext3"/>
        <w:spacing w:after="0"/>
        <w:rPr>
          <w:rFonts w:ascii="Gill Sans MT" w:hAnsi="Gill Sans MT"/>
          <w:bCs/>
          <w:sz w:val="22"/>
          <w:szCs w:val="22"/>
          <w:lang w:val="cs-CZ"/>
        </w:rPr>
      </w:pPr>
    </w:p>
    <w:p w14:paraId="397099FB" w14:textId="77777777" w:rsidR="003E2FA4" w:rsidRDefault="003E2FA4" w:rsidP="00FA0D12">
      <w:pPr>
        <w:pStyle w:val="Zkladntext3"/>
        <w:rPr>
          <w:rFonts w:ascii="Gill Sans MT" w:hAnsi="Gill Sans MT"/>
          <w:b/>
          <w:lang w:val="cs-CZ"/>
        </w:rPr>
      </w:pPr>
    </w:p>
    <w:p w14:paraId="3BF7A651" w14:textId="3B154122" w:rsidR="00FA0D12" w:rsidRPr="00AE0FCE" w:rsidRDefault="00FA0D12" w:rsidP="00FA0D12">
      <w:pPr>
        <w:pStyle w:val="Zkladntext3"/>
        <w:rPr>
          <w:rFonts w:ascii="Gill Sans MT" w:hAnsi="Gill Sans MT"/>
          <w:b/>
          <w:lang w:val="cs-CZ"/>
        </w:rPr>
      </w:pPr>
      <w:r w:rsidRPr="00AE0FCE">
        <w:rPr>
          <w:rFonts w:ascii="Gill Sans MT" w:hAnsi="Gill Sans MT"/>
          <w:b/>
          <w:lang w:val="cs-CZ"/>
        </w:rPr>
        <w:lastRenderedPageBreak/>
        <w:t>Stagflace: boj centrálních bank o důvěryhodnost</w:t>
      </w:r>
    </w:p>
    <w:p w14:paraId="26B43F0E" w14:textId="77777777" w:rsidR="00FA0D12" w:rsidRPr="00FA0D12" w:rsidRDefault="00FA0D12" w:rsidP="00FA0D12">
      <w:pPr>
        <w:pStyle w:val="Zkladntext3"/>
        <w:rPr>
          <w:rFonts w:ascii="Gill Sans MT" w:hAnsi="Gill Sans MT"/>
          <w:b/>
          <w:sz w:val="22"/>
          <w:szCs w:val="22"/>
          <w:lang w:val="cs-CZ"/>
        </w:rPr>
      </w:pPr>
      <w:r w:rsidRPr="00FA0D12">
        <w:rPr>
          <w:rFonts w:ascii="Gill Sans MT" w:hAnsi="Gill Sans MT"/>
          <w:bCs/>
          <w:sz w:val="22"/>
          <w:szCs w:val="22"/>
          <w:lang w:val="cs-CZ"/>
        </w:rPr>
        <w:t>Největší výzvou pro centrální banky vyspělých trhů je udržení důvěryhodnosti, protože se snaží přesvědčit o své schopnosti omezit inflaci a udržet ji na stanoveném cíli nebo blízko něj. I po postupném a rozsáhlém zvyšování sazeb zůstávají reálné sazby očištěné o inflaci hluboko v záporných hodnotách. V případě USA jsou reálné sazby ve skutečnosti nižší než ve stagflačním období let 1974-</w:t>
      </w:r>
      <w:r>
        <w:rPr>
          <w:rFonts w:ascii="Gill Sans MT" w:hAnsi="Gill Sans MT"/>
          <w:bCs/>
          <w:sz w:val="22"/>
          <w:szCs w:val="22"/>
          <w:lang w:val="cs-CZ"/>
        </w:rPr>
        <w:t>19</w:t>
      </w:r>
      <w:r w:rsidRPr="00FA0D12">
        <w:rPr>
          <w:rFonts w:ascii="Gill Sans MT" w:hAnsi="Gill Sans MT"/>
          <w:bCs/>
          <w:sz w:val="22"/>
          <w:szCs w:val="22"/>
          <w:lang w:val="cs-CZ"/>
        </w:rPr>
        <w:t>82. A přestože inflace vykazuje první známky zmírnění, zůstává vysoko nad cílovou úrovní. V některých částech Evropy ceny stále rostou dvouciferným tempem.</w:t>
      </w:r>
    </w:p>
    <w:p w14:paraId="6BE3B674" w14:textId="77777777" w:rsidR="00FA0D12" w:rsidRPr="00FA0D12" w:rsidRDefault="00FA0D12" w:rsidP="00FA0D12">
      <w:pPr>
        <w:pStyle w:val="Zkladntext3"/>
        <w:rPr>
          <w:rFonts w:ascii="Gill Sans MT" w:hAnsi="Gill Sans MT"/>
          <w:bCs/>
          <w:sz w:val="22"/>
          <w:szCs w:val="22"/>
          <w:lang w:val="cs-CZ"/>
        </w:rPr>
      </w:pPr>
      <w:r w:rsidRPr="00FA0D12">
        <w:rPr>
          <w:rFonts w:ascii="Gill Sans MT" w:hAnsi="Gill Sans MT"/>
          <w:bCs/>
          <w:sz w:val="22"/>
          <w:szCs w:val="22"/>
          <w:lang w:val="cs-CZ"/>
        </w:rPr>
        <w:t xml:space="preserve">Neschopnost centrálních bank věrohodně kontrolovat inflaci může potlačit poptávku, zatímco nabídkové tlaky, které k inflaci významně přispěly, zůstávají nezmenšené. Čím déle bude trvat, než se inflace normalizuje, tím větší je očekávání, že další zvyšování sazeb bude muset být ještě dramatičtější. Riziko pro podniky nepředstavuje tato událost sama o sobě, ale nejistota v mezidobí, kdy by růst mohl zůstat přidušený a inflace by mohla zůstat na rekordně vysokých úrovních. </w:t>
      </w:r>
      <w:r>
        <w:rPr>
          <w:rFonts w:ascii="Gill Sans MT" w:hAnsi="Gill Sans MT"/>
          <w:bCs/>
          <w:sz w:val="22"/>
          <w:szCs w:val="22"/>
          <w:lang w:val="cs-CZ"/>
        </w:rPr>
        <w:t>Dun &amp; Bradstreet s</w:t>
      </w:r>
      <w:r w:rsidRPr="00FA0D12">
        <w:rPr>
          <w:rFonts w:ascii="Gill Sans MT" w:hAnsi="Gill Sans MT"/>
          <w:bCs/>
          <w:sz w:val="22"/>
          <w:szCs w:val="22"/>
          <w:lang w:val="cs-CZ"/>
        </w:rPr>
        <w:t>leduje následujících pět souvisejících rizikových témat:</w:t>
      </w:r>
    </w:p>
    <w:p w14:paraId="19DB6D17" w14:textId="77777777" w:rsidR="00FA0D12" w:rsidRPr="00FA0D12" w:rsidRDefault="00FA0D12" w:rsidP="00FA0D12">
      <w:pPr>
        <w:pStyle w:val="Zkladntext3"/>
        <w:rPr>
          <w:rFonts w:ascii="Gill Sans MT" w:hAnsi="Gill Sans MT"/>
          <w:bCs/>
          <w:sz w:val="22"/>
          <w:szCs w:val="22"/>
          <w:lang w:val="cs-CZ"/>
        </w:rPr>
      </w:pPr>
      <w:r w:rsidRPr="00FA0D12">
        <w:rPr>
          <w:rFonts w:ascii="Gill Sans MT" w:hAnsi="Gill Sans MT"/>
          <w:bCs/>
          <w:sz w:val="22"/>
          <w:szCs w:val="22"/>
          <w:lang w:val="cs-CZ"/>
        </w:rPr>
        <w:t xml:space="preserve">1.    </w:t>
      </w:r>
      <w:r w:rsidRPr="00FA0D12">
        <w:rPr>
          <w:rFonts w:ascii="Gill Sans MT" w:hAnsi="Gill Sans MT"/>
          <w:b/>
          <w:sz w:val="22"/>
          <w:szCs w:val="22"/>
          <w:lang w:val="cs-CZ"/>
        </w:rPr>
        <w:t>Přetrvávající stagflace</w:t>
      </w:r>
      <w:r w:rsidRPr="00FA0D12">
        <w:rPr>
          <w:rFonts w:ascii="Gill Sans MT" w:hAnsi="Gill Sans MT"/>
          <w:bCs/>
          <w:sz w:val="22"/>
          <w:szCs w:val="22"/>
          <w:lang w:val="cs-CZ"/>
        </w:rPr>
        <w:t xml:space="preserve">: Poté, co jsme po většinu roku 2021 špatně interpretovali signály o inflaci, bychom nyní mohli vstoupit do fáze, kdy centrální banky podlehnou pokušení falešných startů v oblasti omezování inflace nebo zvyšování nezaměstnanosti a příliš rychle změní směr nebo se zastaví. V této fázi </w:t>
      </w:r>
      <w:r w:rsidRPr="00FA0D12">
        <w:rPr>
          <w:rFonts w:ascii="Gill Sans MT" w:hAnsi="Gill Sans MT"/>
          <w:b/>
          <w:sz w:val="22"/>
          <w:szCs w:val="22"/>
          <w:lang w:val="cs-CZ"/>
        </w:rPr>
        <w:t>zůstanou podniky na vážkách, pokud jde o přijímání nových zaměstnanců a investiční rozhodnutí, což prodlouží období pomalého růstu a občasně vysoké inflace</w:t>
      </w:r>
      <w:r w:rsidRPr="00FA0D12">
        <w:rPr>
          <w:rFonts w:ascii="Gill Sans MT" w:hAnsi="Gill Sans MT"/>
          <w:bCs/>
          <w:sz w:val="22"/>
          <w:szCs w:val="22"/>
          <w:lang w:val="cs-CZ"/>
        </w:rPr>
        <w:t xml:space="preserve">. </w:t>
      </w:r>
      <w:r w:rsidRPr="00FA0D12">
        <w:rPr>
          <w:rFonts w:ascii="Gill Sans MT" w:hAnsi="Gill Sans MT"/>
          <w:b/>
          <w:sz w:val="22"/>
          <w:szCs w:val="22"/>
          <w:lang w:val="cs-CZ"/>
        </w:rPr>
        <w:t>Riziko</w:t>
      </w:r>
      <w:r w:rsidRPr="00FA0D12">
        <w:rPr>
          <w:rFonts w:ascii="Gill Sans MT" w:hAnsi="Gill Sans MT"/>
          <w:bCs/>
          <w:sz w:val="22"/>
          <w:szCs w:val="22"/>
          <w:lang w:val="cs-CZ"/>
        </w:rPr>
        <w:t xml:space="preserve">, že bychom mohli vstoupit do </w:t>
      </w:r>
      <w:r w:rsidRPr="00FA0D12">
        <w:rPr>
          <w:rFonts w:ascii="Gill Sans MT" w:hAnsi="Gill Sans MT"/>
          <w:b/>
          <w:sz w:val="22"/>
          <w:szCs w:val="22"/>
          <w:lang w:val="cs-CZ"/>
        </w:rPr>
        <w:t>fáze trvalé stagflace</w:t>
      </w:r>
      <w:r w:rsidRPr="00FA0D12">
        <w:rPr>
          <w:rFonts w:ascii="Gill Sans MT" w:hAnsi="Gill Sans MT"/>
          <w:bCs/>
          <w:sz w:val="22"/>
          <w:szCs w:val="22"/>
          <w:lang w:val="cs-CZ"/>
        </w:rPr>
        <w:t xml:space="preserve">, výrazně vzrostlo a nyní je </w:t>
      </w:r>
      <w:r>
        <w:rPr>
          <w:rFonts w:ascii="Gill Sans MT" w:hAnsi="Gill Sans MT"/>
          <w:bCs/>
          <w:sz w:val="22"/>
          <w:szCs w:val="22"/>
          <w:lang w:val="cs-CZ"/>
        </w:rPr>
        <w:t>podle Dun &amp; Bradstreet</w:t>
      </w:r>
      <w:r w:rsidRPr="00FA0D12">
        <w:rPr>
          <w:rFonts w:ascii="Gill Sans MT" w:hAnsi="Gill Sans MT"/>
          <w:bCs/>
          <w:sz w:val="22"/>
          <w:szCs w:val="22"/>
          <w:lang w:val="cs-CZ"/>
        </w:rPr>
        <w:t xml:space="preserve"> nejvyšším rizikem s nejvyšším skóre GBI 51 (skóre se pohybuje v rozmezí 1-100; vyšší skóre znamená vyšší globální dopad).</w:t>
      </w:r>
    </w:p>
    <w:p w14:paraId="11F4C308" w14:textId="77777777" w:rsidR="00FA0D12" w:rsidRPr="00FA0D12" w:rsidRDefault="00FA0D12" w:rsidP="00FA0D12">
      <w:pPr>
        <w:pStyle w:val="Zkladntext3"/>
        <w:rPr>
          <w:rFonts w:ascii="Gill Sans MT" w:hAnsi="Gill Sans MT"/>
          <w:bCs/>
          <w:sz w:val="22"/>
          <w:szCs w:val="22"/>
          <w:lang w:val="cs-CZ"/>
        </w:rPr>
      </w:pPr>
      <w:r w:rsidRPr="00FA0D12">
        <w:rPr>
          <w:rFonts w:ascii="Gill Sans MT" w:hAnsi="Gill Sans MT"/>
          <w:bCs/>
          <w:sz w:val="22"/>
          <w:szCs w:val="22"/>
          <w:lang w:val="cs-CZ"/>
        </w:rPr>
        <w:t xml:space="preserve">2.    </w:t>
      </w:r>
      <w:r w:rsidRPr="00FA0D12">
        <w:rPr>
          <w:rFonts w:ascii="Gill Sans MT" w:hAnsi="Gill Sans MT"/>
          <w:b/>
          <w:sz w:val="22"/>
          <w:szCs w:val="22"/>
          <w:lang w:val="cs-CZ"/>
        </w:rPr>
        <w:t>Zpomalení čínské ekonomiky</w:t>
      </w:r>
      <w:r w:rsidRPr="00FA0D12">
        <w:rPr>
          <w:rFonts w:ascii="Gill Sans MT" w:hAnsi="Gill Sans MT"/>
          <w:bCs/>
          <w:sz w:val="22"/>
          <w:szCs w:val="22"/>
          <w:lang w:val="cs-CZ"/>
        </w:rPr>
        <w:t xml:space="preserve">: </w:t>
      </w:r>
      <w:r w:rsidRPr="00FA0D12">
        <w:rPr>
          <w:rFonts w:ascii="Gill Sans MT" w:hAnsi="Gill Sans MT"/>
          <w:b/>
          <w:sz w:val="22"/>
          <w:szCs w:val="22"/>
          <w:lang w:val="cs-CZ"/>
        </w:rPr>
        <w:t>Riziko zpomalení čínské ekonomiky je s každým dalším čtvrtletím stále aktuálnější</w:t>
      </w:r>
      <w:r w:rsidRPr="00FA0D12">
        <w:rPr>
          <w:rFonts w:ascii="Gill Sans MT" w:hAnsi="Gill Sans MT"/>
          <w:bCs/>
          <w:sz w:val="22"/>
          <w:szCs w:val="22"/>
          <w:lang w:val="cs-CZ"/>
        </w:rPr>
        <w:t xml:space="preserve">. I po znovuotevření ekonomických center se předstihové ukazatele spotřebitelských výdajů a výroby vrátily ke slabým výsledkům (s výjimkou počátečního nárůstu). Riziko podobných výluk je nedotčeno. Mezitím pokračuje pomalu se rozvíjející krize v ekonomicky důležitém sektoru nemovitostí. Vzhledem k tomu, že cíl růstu na úrovni 5,5 % v roce 2022 se zdá být stále více nedosažitelný, pozornost se přesunula na kontrolu škod. Podpora fiskální a měnové politiky zatím nedokázala znovu nastartovat motory růstu, přičemž se zhoršilo i globální ekonomické prostředí. </w:t>
      </w:r>
      <w:r w:rsidRPr="00FA0D12">
        <w:rPr>
          <w:rFonts w:ascii="Gill Sans MT" w:hAnsi="Gill Sans MT"/>
          <w:b/>
          <w:sz w:val="22"/>
          <w:szCs w:val="22"/>
          <w:lang w:val="cs-CZ"/>
        </w:rPr>
        <w:t>Zpomalení Číny nyní pravděpodobně ještě více poškodí asijské rozvíjející se trhy a vývozce komodit</w:t>
      </w:r>
      <w:r w:rsidRPr="00FA0D12">
        <w:rPr>
          <w:rFonts w:ascii="Gill Sans MT" w:hAnsi="Gill Sans MT"/>
          <w:bCs/>
          <w:sz w:val="22"/>
          <w:szCs w:val="22"/>
          <w:lang w:val="cs-CZ"/>
        </w:rPr>
        <w:t>. Skóre GBI pro toto riziko se zvýšilo na 39 bodů (oproti 36 bodům ve 2. čtvrtletí 2022).</w:t>
      </w:r>
    </w:p>
    <w:p w14:paraId="75EABBCE" w14:textId="3FDB5463" w:rsidR="00FA0D12" w:rsidRPr="00FA0D12" w:rsidRDefault="00FA0D12" w:rsidP="00FA0D12">
      <w:pPr>
        <w:pStyle w:val="Zkladntext3"/>
        <w:rPr>
          <w:rFonts w:ascii="Gill Sans MT" w:hAnsi="Gill Sans MT"/>
          <w:bCs/>
          <w:sz w:val="22"/>
          <w:szCs w:val="22"/>
          <w:lang w:val="cs-CZ"/>
        </w:rPr>
      </w:pPr>
      <w:r w:rsidRPr="00FA0D12">
        <w:rPr>
          <w:rFonts w:ascii="Gill Sans MT" w:hAnsi="Gill Sans MT"/>
          <w:bCs/>
          <w:sz w:val="22"/>
          <w:szCs w:val="22"/>
          <w:lang w:val="cs-CZ"/>
        </w:rPr>
        <w:t xml:space="preserve">3.    </w:t>
      </w:r>
      <w:r w:rsidRPr="005C7E91">
        <w:rPr>
          <w:rFonts w:ascii="Gill Sans MT" w:hAnsi="Gill Sans MT"/>
          <w:b/>
          <w:sz w:val="22"/>
          <w:szCs w:val="22"/>
          <w:lang w:val="cs-CZ"/>
        </w:rPr>
        <w:t>Potíže v dodavatelském řetězci</w:t>
      </w:r>
      <w:r w:rsidRPr="00FA0D12">
        <w:rPr>
          <w:rFonts w:ascii="Gill Sans MT" w:hAnsi="Gill Sans MT"/>
          <w:bCs/>
          <w:sz w:val="22"/>
          <w:szCs w:val="22"/>
          <w:lang w:val="cs-CZ"/>
        </w:rPr>
        <w:t xml:space="preserve">: Hlavní riziko z minulého čtvrtletí, potíže dodavatelského řetězce, se v tomto čtvrtletí stalo jako </w:t>
      </w:r>
      <w:r w:rsidRPr="005C7E91">
        <w:rPr>
          <w:rFonts w:ascii="Gill Sans MT" w:hAnsi="Gill Sans MT"/>
          <w:b/>
          <w:sz w:val="22"/>
          <w:szCs w:val="22"/>
          <w:lang w:val="cs-CZ"/>
        </w:rPr>
        <w:t>riziko mírnějším</w:t>
      </w:r>
      <w:r w:rsidRPr="00FA0D12">
        <w:rPr>
          <w:rFonts w:ascii="Gill Sans MT" w:hAnsi="Gill Sans MT"/>
          <w:bCs/>
          <w:sz w:val="22"/>
          <w:szCs w:val="22"/>
          <w:lang w:val="cs-CZ"/>
        </w:rPr>
        <w:t xml:space="preserve">, nikoliv kvůli zlepšení základních faktorů (rusko-ukrajinský konflikt nebo případy Covid v Číně), ale proto, že nyní začaly převažovat úvahy o poptávce. Ve skutečnosti jsou patrné i nové tlakové body </w:t>
      </w:r>
      <w:r w:rsidR="008069B4">
        <w:rPr>
          <w:rFonts w:ascii="Gill Sans MT" w:hAnsi="Gill Sans MT"/>
          <w:bCs/>
          <w:sz w:val="22"/>
          <w:szCs w:val="22"/>
          <w:lang w:val="cs-CZ"/>
        </w:rPr>
        <w:t>–</w:t>
      </w:r>
      <w:r w:rsidRPr="00FA0D12">
        <w:rPr>
          <w:rFonts w:ascii="Gill Sans MT" w:hAnsi="Gill Sans MT"/>
          <w:bCs/>
          <w:sz w:val="22"/>
          <w:szCs w:val="22"/>
          <w:lang w:val="cs-CZ"/>
        </w:rPr>
        <w:t xml:space="preserve"> sucho v některých částech světa a geopolitické překážky pro dodávky čipů. První náznaky zmírnění však přicházejí v důsledku snižování cen komodit. Skóre GBI pro riziko v rámci tématu je stále na vysoké úrovni 39 bodů.</w:t>
      </w:r>
    </w:p>
    <w:p w14:paraId="4933CCFD" w14:textId="77777777" w:rsidR="00FA0D12" w:rsidRPr="00FA0D12" w:rsidRDefault="00FA0D12" w:rsidP="00FA0D12">
      <w:pPr>
        <w:pStyle w:val="Zkladntext3"/>
        <w:rPr>
          <w:rFonts w:ascii="Gill Sans MT" w:hAnsi="Gill Sans MT"/>
          <w:bCs/>
          <w:sz w:val="22"/>
          <w:szCs w:val="22"/>
          <w:lang w:val="cs-CZ"/>
        </w:rPr>
      </w:pPr>
      <w:r w:rsidRPr="00FA0D12">
        <w:rPr>
          <w:rFonts w:ascii="Gill Sans MT" w:hAnsi="Gill Sans MT"/>
          <w:bCs/>
          <w:sz w:val="22"/>
          <w:szCs w:val="22"/>
          <w:lang w:val="cs-CZ"/>
        </w:rPr>
        <w:t xml:space="preserve">4.    </w:t>
      </w:r>
      <w:r w:rsidRPr="005C7E91">
        <w:rPr>
          <w:rFonts w:ascii="Gill Sans MT" w:hAnsi="Gill Sans MT"/>
          <w:b/>
          <w:sz w:val="22"/>
          <w:szCs w:val="22"/>
          <w:lang w:val="cs-CZ"/>
        </w:rPr>
        <w:t>Oživující se vlny Covid-19</w:t>
      </w:r>
      <w:r w:rsidRPr="00FA0D12">
        <w:rPr>
          <w:rFonts w:ascii="Gill Sans MT" w:hAnsi="Gill Sans MT"/>
          <w:bCs/>
          <w:sz w:val="22"/>
          <w:szCs w:val="22"/>
          <w:lang w:val="cs-CZ"/>
        </w:rPr>
        <w:t xml:space="preserve">: Případů Covid-19 po celém světě opět přibývá. Znovuotevření vedlo v některých částech světa k silnému oživení cestovního ruchu. To může vést k dalším vlnám nákazy s blížící se zimní sezónou, stejně jako ve 3. čtvrtletí 2021, které vedlo k rozsáhlým odstávkám po celém světě. I když </w:t>
      </w:r>
      <w:r w:rsidR="00EF019C">
        <w:rPr>
          <w:rFonts w:ascii="Gill Sans MT" w:hAnsi="Gill Sans MT"/>
          <w:bCs/>
          <w:sz w:val="22"/>
          <w:szCs w:val="22"/>
          <w:lang w:val="cs-CZ"/>
        </w:rPr>
        <w:t>Dun &amp; Bradstreet očekává</w:t>
      </w:r>
      <w:r w:rsidRPr="00FA0D12">
        <w:rPr>
          <w:rFonts w:ascii="Gill Sans MT" w:hAnsi="Gill Sans MT"/>
          <w:bCs/>
          <w:sz w:val="22"/>
          <w:szCs w:val="22"/>
          <w:lang w:val="cs-CZ"/>
        </w:rPr>
        <w:t xml:space="preserve"> menší dopad na obchodní operace než v minulosti, </w:t>
      </w:r>
      <w:r w:rsidR="00EF019C">
        <w:rPr>
          <w:rFonts w:ascii="Gill Sans MT" w:hAnsi="Gill Sans MT"/>
          <w:bCs/>
          <w:sz w:val="22"/>
          <w:szCs w:val="22"/>
          <w:lang w:val="cs-CZ"/>
        </w:rPr>
        <w:t>je</w:t>
      </w:r>
      <w:r w:rsidRPr="00FA0D12">
        <w:rPr>
          <w:rFonts w:ascii="Gill Sans MT" w:hAnsi="Gill Sans MT"/>
          <w:bCs/>
          <w:sz w:val="22"/>
          <w:szCs w:val="22"/>
          <w:lang w:val="cs-CZ"/>
        </w:rPr>
        <w:t xml:space="preserve"> pravděpodobnost tohoto rizika ve 3. čtvrtletí 2022 se skóre GBI 19.</w:t>
      </w:r>
    </w:p>
    <w:p w14:paraId="634BE930" w14:textId="77777777" w:rsidR="00FA0D12" w:rsidRDefault="00FA0D12" w:rsidP="00FA0D12">
      <w:pPr>
        <w:pStyle w:val="Zkladntext3"/>
        <w:spacing w:after="0"/>
        <w:rPr>
          <w:rFonts w:ascii="Gill Sans MT" w:hAnsi="Gill Sans MT"/>
          <w:bCs/>
          <w:sz w:val="22"/>
          <w:szCs w:val="22"/>
          <w:lang w:val="cs-CZ"/>
        </w:rPr>
      </w:pPr>
      <w:r w:rsidRPr="00FA0D12">
        <w:rPr>
          <w:rFonts w:ascii="Gill Sans MT" w:hAnsi="Gill Sans MT"/>
          <w:bCs/>
          <w:sz w:val="22"/>
          <w:szCs w:val="22"/>
          <w:lang w:val="cs-CZ"/>
        </w:rPr>
        <w:t xml:space="preserve">5.    </w:t>
      </w:r>
      <w:r w:rsidRPr="005C7E91">
        <w:rPr>
          <w:rFonts w:ascii="Gill Sans MT" w:hAnsi="Gill Sans MT"/>
          <w:b/>
          <w:sz w:val="22"/>
          <w:szCs w:val="22"/>
          <w:lang w:val="cs-CZ"/>
        </w:rPr>
        <w:t>Dluhová služba na rozvíjejících se trzích</w:t>
      </w:r>
      <w:r w:rsidRPr="00FA0D12">
        <w:rPr>
          <w:rFonts w:ascii="Gill Sans MT" w:hAnsi="Gill Sans MT"/>
          <w:bCs/>
          <w:sz w:val="22"/>
          <w:szCs w:val="22"/>
          <w:lang w:val="cs-CZ"/>
        </w:rPr>
        <w:t xml:space="preserve">: Po selhání státu na Srí Lance se pozornost investorů obrátila k podobně zranitelným rozvíjejícím se trhům. Státní rozvahy se potácejí pod četnými tlaky oslabující měny, rostoucích nákladů na úrokovou obsluhu a refinancování a vyšších účtů za dotace na </w:t>
      </w:r>
      <w:r w:rsidRPr="00FA0D12">
        <w:rPr>
          <w:rFonts w:ascii="Gill Sans MT" w:hAnsi="Gill Sans MT"/>
          <w:bCs/>
          <w:sz w:val="22"/>
          <w:szCs w:val="22"/>
          <w:lang w:val="cs-CZ"/>
        </w:rPr>
        <w:lastRenderedPageBreak/>
        <w:t xml:space="preserve">potraviny a pohonné hmoty. Dluh veřejného sektoru na rozvíjejících se trzích je obzvláště zranitelný vůči domácí nebo vnější spouštěcí události, která by mohla urychlit odliv kapitálu a přiblížit se tak dalšímu selhání. I v případě, že k takové události nedojde, budou slabý hospodářský výhled a špatné úvěrové prostředí udržovat vysoké náklady na financování podniků, což zhorší střednědobé vyhlídky. Pro tento rizikový scénář </w:t>
      </w:r>
      <w:r w:rsidR="00EF019C">
        <w:rPr>
          <w:rFonts w:ascii="Gill Sans MT" w:hAnsi="Gill Sans MT"/>
          <w:bCs/>
          <w:sz w:val="22"/>
          <w:szCs w:val="22"/>
          <w:lang w:val="cs-CZ"/>
        </w:rPr>
        <w:t>je</w:t>
      </w:r>
      <w:r w:rsidRPr="00FA0D12">
        <w:rPr>
          <w:rFonts w:ascii="Gill Sans MT" w:hAnsi="Gill Sans MT"/>
          <w:bCs/>
          <w:sz w:val="22"/>
          <w:szCs w:val="22"/>
          <w:lang w:val="cs-CZ"/>
        </w:rPr>
        <w:t xml:space="preserve"> skóre GBI na úrovni 18.</w:t>
      </w:r>
    </w:p>
    <w:p w14:paraId="723DCA20" w14:textId="77777777" w:rsidR="00FA0D12" w:rsidRDefault="00FA0D12" w:rsidP="00AA6BFF">
      <w:pPr>
        <w:pStyle w:val="Zkladntext3"/>
        <w:spacing w:after="0"/>
        <w:rPr>
          <w:rFonts w:ascii="Gill Sans MT" w:hAnsi="Gill Sans MT"/>
          <w:bCs/>
          <w:sz w:val="22"/>
          <w:szCs w:val="22"/>
          <w:lang w:val="cs-CZ"/>
        </w:rPr>
      </w:pPr>
    </w:p>
    <w:p w14:paraId="478018D9" w14:textId="77777777" w:rsidR="00FA0D12" w:rsidRDefault="00FA0D12" w:rsidP="00AA6BFF">
      <w:pPr>
        <w:pStyle w:val="Zkladntext3"/>
        <w:spacing w:after="0"/>
        <w:rPr>
          <w:rFonts w:ascii="Gill Sans MT" w:hAnsi="Gill Sans MT"/>
          <w:bCs/>
          <w:sz w:val="22"/>
          <w:szCs w:val="22"/>
          <w:lang w:val="cs-CZ"/>
        </w:rPr>
      </w:pPr>
    </w:p>
    <w:p w14:paraId="184613FA" w14:textId="77777777" w:rsidR="00AE0FCE" w:rsidRPr="00AE0FCE" w:rsidRDefault="00AE0FCE" w:rsidP="00AE0FCE">
      <w:pPr>
        <w:pStyle w:val="Zkladntext3"/>
        <w:rPr>
          <w:rFonts w:ascii="Gill Sans MT" w:hAnsi="Gill Sans MT"/>
          <w:b/>
          <w:lang w:val="cs-CZ"/>
        </w:rPr>
      </w:pPr>
      <w:r w:rsidRPr="00AE0FCE">
        <w:rPr>
          <w:rFonts w:ascii="Gill Sans MT" w:hAnsi="Gill Sans MT"/>
          <w:b/>
          <w:lang w:val="cs-CZ"/>
        </w:rPr>
        <w:t>Geopolitika: rostoucí rozpory v multipolárním světě</w:t>
      </w:r>
    </w:p>
    <w:p w14:paraId="53791AD0" w14:textId="77777777" w:rsidR="00AE0FCE" w:rsidRPr="00AE0FCE" w:rsidRDefault="00AE0FCE" w:rsidP="00AE0FCE">
      <w:pPr>
        <w:pStyle w:val="Zkladntext3"/>
        <w:rPr>
          <w:rFonts w:ascii="Gill Sans MT" w:hAnsi="Gill Sans MT"/>
          <w:bCs/>
          <w:sz w:val="22"/>
          <w:szCs w:val="22"/>
          <w:lang w:val="cs-CZ"/>
        </w:rPr>
      </w:pPr>
      <w:r w:rsidRPr="00AE0FCE">
        <w:rPr>
          <w:rFonts w:ascii="Gill Sans MT" w:hAnsi="Gill Sans MT"/>
          <w:bCs/>
          <w:sz w:val="22"/>
          <w:szCs w:val="22"/>
          <w:lang w:val="cs-CZ"/>
        </w:rPr>
        <w:t>Probíhající období v geopolitice je poznamenáno událostmi, které signalizují rostoucí rozpory mezi národy. První náznaky diplomatického průlomu v rusko-ukrajinském konfliktu (který trvá již šestý měsíc) se objevily s dohodou o dodávkách pšenice. Došlo také k dohodě mezi evropskými zeměmi o mechanismu dobrovolného snižování závislosti na ruském plynu. Tyto úspěchy však neměly dlouhého trvání. To, že Rusko stále častěji využívalo své páky vůči evropskému bloku</w:t>
      </w:r>
      <w:r>
        <w:rPr>
          <w:rFonts w:ascii="Gill Sans MT" w:hAnsi="Gill Sans MT"/>
          <w:bCs/>
          <w:sz w:val="22"/>
          <w:szCs w:val="22"/>
          <w:lang w:val="cs-CZ"/>
        </w:rPr>
        <w:t>,</w:t>
      </w:r>
      <w:r w:rsidRPr="00AE0FCE">
        <w:rPr>
          <w:rFonts w:ascii="Gill Sans MT" w:hAnsi="Gill Sans MT"/>
          <w:bCs/>
          <w:sz w:val="22"/>
          <w:szCs w:val="22"/>
          <w:lang w:val="cs-CZ"/>
        </w:rPr>
        <w:t xml:space="preserve"> výrazně snížilo dodávky plynu před zimou</w:t>
      </w:r>
      <w:r>
        <w:rPr>
          <w:rFonts w:ascii="Gill Sans MT" w:hAnsi="Gill Sans MT"/>
          <w:bCs/>
          <w:sz w:val="22"/>
          <w:szCs w:val="22"/>
          <w:lang w:val="cs-CZ"/>
        </w:rPr>
        <w:t>,</w:t>
      </w:r>
      <w:r w:rsidRPr="00AE0FCE">
        <w:rPr>
          <w:rFonts w:ascii="Gill Sans MT" w:hAnsi="Gill Sans MT"/>
          <w:bCs/>
          <w:sz w:val="22"/>
          <w:szCs w:val="22"/>
          <w:lang w:val="cs-CZ"/>
        </w:rPr>
        <w:t xml:space="preserve"> nahrávalo pocitu energetické nejistoty a vyvolalo mezi zeměmi EU spěch s plněním cílů v oblasti skladování plynu. Stejně tak diplomatické úsilí ve válce </w:t>
      </w:r>
      <w:r w:rsidR="0072225E">
        <w:rPr>
          <w:rFonts w:ascii="Gill Sans MT" w:hAnsi="Gill Sans MT"/>
          <w:bCs/>
          <w:sz w:val="22"/>
          <w:szCs w:val="22"/>
          <w:lang w:val="cs-CZ"/>
        </w:rPr>
        <w:t>nebylo úspěšné</w:t>
      </w:r>
      <w:r w:rsidRPr="00AE0FCE">
        <w:rPr>
          <w:rFonts w:ascii="Gill Sans MT" w:hAnsi="Gill Sans MT"/>
          <w:bCs/>
          <w:sz w:val="22"/>
          <w:szCs w:val="22"/>
          <w:lang w:val="cs-CZ"/>
        </w:rPr>
        <w:t>, protože série sabotážních aktivit zaměřených na ruská aktiva potenciálně rozšířila akční pole a nabídla prostor pro další eskalaci.</w:t>
      </w:r>
    </w:p>
    <w:p w14:paraId="680671DB" w14:textId="77777777" w:rsidR="00AE0FCE" w:rsidRPr="00AE0FCE" w:rsidRDefault="00AE0FCE" w:rsidP="00AE0FCE">
      <w:pPr>
        <w:pStyle w:val="Zkladntext3"/>
        <w:rPr>
          <w:rFonts w:ascii="Gill Sans MT" w:hAnsi="Gill Sans MT"/>
          <w:bCs/>
          <w:sz w:val="22"/>
          <w:szCs w:val="22"/>
          <w:lang w:val="cs-CZ"/>
        </w:rPr>
      </w:pPr>
      <w:r w:rsidRPr="00AE0FCE">
        <w:rPr>
          <w:rFonts w:ascii="Gill Sans MT" w:hAnsi="Gill Sans MT"/>
          <w:bCs/>
          <w:sz w:val="22"/>
          <w:szCs w:val="22"/>
          <w:lang w:val="cs-CZ"/>
        </w:rPr>
        <w:t>Mezitím americko-čínské soupeření, které tváří v tvář probíhající válce v Evropě ustoupilo do pozadí, dostalo nový impuls v souvislosti s návštěvou předsedy americké sněmovny na Tchaj-wanu. Tuto vysoce prestižní návštěvu doprovázela zostřená rétorika, po níž následovaly vojenské aktivity. Demonstrace odhodlání a vojenské síly mezi oběma světovými mocnostmi by mohla potenciálně uvést do pohybu řadu akcí s bezpečnostními důsledky v asijsko-pacifickém regionu. Sledujeme pět rizikových témat souvisejících s geopolitikou:</w:t>
      </w:r>
    </w:p>
    <w:p w14:paraId="5A4AC5A9" w14:textId="77777777" w:rsidR="00AE0FCE" w:rsidRPr="00AE0FCE" w:rsidRDefault="00AE0FCE" w:rsidP="00AE0FCE">
      <w:pPr>
        <w:pStyle w:val="Zkladntext3"/>
        <w:rPr>
          <w:rFonts w:ascii="Gill Sans MT" w:hAnsi="Gill Sans MT"/>
          <w:bCs/>
          <w:sz w:val="22"/>
          <w:szCs w:val="22"/>
          <w:lang w:val="cs-CZ"/>
        </w:rPr>
      </w:pPr>
      <w:r w:rsidRPr="00AE0FCE">
        <w:rPr>
          <w:rFonts w:ascii="Gill Sans MT" w:hAnsi="Gill Sans MT"/>
          <w:bCs/>
          <w:sz w:val="22"/>
          <w:szCs w:val="22"/>
          <w:lang w:val="cs-CZ"/>
        </w:rPr>
        <w:t xml:space="preserve">1.    </w:t>
      </w:r>
      <w:r w:rsidRPr="0072225E">
        <w:rPr>
          <w:rFonts w:ascii="Gill Sans MT" w:hAnsi="Gill Sans MT"/>
          <w:b/>
          <w:sz w:val="22"/>
          <w:szCs w:val="22"/>
          <w:lang w:val="cs-CZ"/>
        </w:rPr>
        <w:t>Eskalace rusko-ukrajinského konfliktu</w:t>
      </w:r>
      <w:r w:rsidRPr="00AE0FCE">
        <w:rPr>
          <w:rFonts w:ascii="Gill Sans MT" w:hAnsi="Gill Sans MT"/>
          <w:bCs/>
          <w:sz w:val="22"/>
          <w:szCs w:val="22"/>
          <w:lang w:val="cs-CZ"/>
        </w:rPr>
        <w:t xml:space="preserve">: Rusko by mohlo využít záminku, že Ukrajina používá na svém území zástupné síly, k ospravedlnění masivní vojenské eskalace, čímž by zvrátilo úspěchy diplomatického průlomu dosaženého při povolení vývozu pšenice z Ukrajiny. Současně by drobné kroky Evropy směřující k odpojení od ruských dodávek plynu mohly přimět Rusko k tomu, aby způsobilo členům EU krátkodobě značnou bolest prudkým snížením dodávek plynu. To by mohlo ohrozit dodávky energie podnikům, zejména v několika evropských zemích. Takovému rizikovému scénáři </w:t>
      </w:r>
      <w:r w:rsidR="00EF019C">
        <w:rPr>
          <w:rFonts w:ascii="Gill Sans MT" w:hAnsi="Gill Sans MT"/>
          <w:bCs/>
          <w:sz w:val="22"/>
          <w:szCs w:val="22"/>
          <w:lang w:val="cs-CZ"/>
        </w:rPr>
        <w:t xml:space="preserve">je </w:t>
      </w:r>
      <w:r w:rsidRPr="00AE0FCE">
        <w:rPr>
          <w:rFonts w:ascii="Gill Sans MT" w:hAnsi="Gill Sans MT"/>
          <w:bCs/>
          <w:sz w:val="22"/>
          <w:szCs w:val="22"/>
          <w:lang w:val="cs-CZ"/>
        </w:rPr>
        <w:t>přiřaz</w:t>
      </w:r>
      <w:r w:rsidR="00EF019C">
        <w:rPr>
          <w:rFonts w:ascii="Gill Sans MT" w:hAnsi="Gill Sans MT"/>
          <w:bCs/>
          <w:sz w:val="22"/>
          <w:szCs w:val="22"/>
          <w:lang w:val="cs-CZ"/>
        </w:rPr>
        <w:t>eno</w:t>
      </w:r>
      <w:r w:rsidRPr="00AE0FCE">
        <w:rPr>
          <w:rFonts w:ascii="Gill Sans MT" w:hAnsi="Gill Sans MT"/>
          <w:bCs/>
          <w:sz w:val="22"/>
          <w:szCs w:val="22"/>
          <w:lang w:val="cs-CZ"/>
        </w:rPr>
        <w:t xml:space="preserve"> vysoké skóre GBI 48.</w:t>
      </w:r>
    </w:p>
    <w:p w14:paraId="018DBBD7" w14:textId="77777777" w:rsidR="00AE0FCE" w:rsidRPr="00AE0FCE" w:rsidRDefault="00AE0FCE" w:rsidP="00AE0FCE">
      <w:pPr>
        <w:pStyle w:val="Zkladntext3"/>
        <w:rPr>
          <w:rFonts w:ascii="Gill Sans MT" w:hAnsi="Gill Sans MT"/>
          <w:bCs/>
          <w:sz w:val="22"/>
          <w:szCs w:val="22"/>
          <w:lang w:val="cs-CZ"/>
        </w:rPr>
      </w:pPr>
      <w:r w:rsidRPr="00AE0FCE">
        <w:rPr>
          <w:rFonts w:ascii="Gill Sans MT" w:hAnsi="Gill Sans MT"/>
          <w:bCs/>
          <w:sz w:val="22"/>
          <w:szCs w:val="22"/>
          <w:lang w:val="cs-CZ"/>
        </w:rPr>
        <w:t xml:space="preserve">2.    </w:t>
      </w:r>
      <w:r w:rsidRPr="0072225E">
        <w:rPr>
          <w:rFonts w:ascii="Gill Sans MT" w:hAnsi="Gill Sans MT"/>
          <w:b/>
          <w:sz w:val="22"/>
          <w:szCs w:val="22"/>
          <w:lang w:val="cs-CZ"/>
        </w:rPr>
        <w:t>Konkurence mezi USA a Čínou</w:t>
      </w:r>
      <w:r w:rsidRPr="00AE0FCE">
        <w:rPr>
          <w:rFonts w:ascii="Gill Sans MT" w:hAnsi="Gill Sans MT"/>
          <w:bCs/>
          <w:sz w:val="22"/>
          <w:szCs w:val="22"/>
          <w:lang w:val="cs-CZ"/>
        </w:rPr>
        <w:t>: Nové kolo napětí, které následovalo po návštěvě předsedy americké sněmovny na Tchaj-wanu, by mohlo udržet vysokou teplotu. Pokusy o udržení a posílení manévrovatelnosti v okolních mořích by mohly vyvolat větší a delší vojenská cvičení v regionu. Mezitím by technologické oddělování nabíralo na obrátkách prostřednictvím legislativy a řady sekundárních sankcí a protisankcí. Nedostatečná spolupráce v souvislosti s obnoveným raketovým programem Severní Koreje by mohla vyvolat malé závody ve zbrojení v regionu, přičemž Jižní Korea a Japonsko by se snažily posílit své vlastní schopnosti. Společně s nedostatečnou spoluprací v oblasti obchodu a klimatu by to mohlo zvýšit bezpečnostní rizika a náklady na dodržování předpisů pro podniky. Skóre GBI pro tento scénář je hodnoceno jako 40 bodů.</w:t>
      </w:r>
    </w:p>
    <w:p w14:paraId="356BD99C" w14:textId="77777777" w:rsidR="00AE0FCE" w:rsidRPr="00AE0FCE" w:rsidRDefault="00AE0FCE" w:rsidP="00AE0FCE">
      <w:pPr>
        <w:pStyle w:val="Zkladntext3"/>
        <w:rPr>
          <w:rFonts w:ascii="Gill Sans MT" w:hAnsi="Gill Sans MT"/>
          <w:bCs/>
          <w:sz w:val="22"/>
          <w:szCs w:val="22"/>
          <w:lang w:val="cs-CZ"/>
        </w:rPr>
      </w:pPr>
      <w:r w:rsidRPr="00AE0FCE">
        <w:rPr>
          <w:rFonts w:ascii="Gill Sans MT" w:hAnsi="Gill Sans MT"/>
          <w:bCs/>
          <w:sz w:val="22"/>
          <w:szCs w:val="22"/>
          <w:lang w:val="cs-CZ"/>
        </w:rPr>
        <w:t xml:space="preserve">3.    </w:t>
      </w:r>
      <w:r w:rsidRPr="00EF019C">
        <w:rPr>
          <w:rFonts w:ascii="Gill Sans MT" w:hAnsi="Gill Sans MT"/>
          <w:b/>
          <w:sz w:val="22"/>
          <w:szCs w:val="22"/>
          <w:lang w:val="cs-CZ"/>
        </w:rPr>
        <w:t>Politik</w:t>
      </w:r>
      <w:r w:rsidR="00D318FE">
        <w:rPr>
          <w:rFonts w:ascii="Gill Sans MT" w:hAnsi="Gill Sans MT"/>
          <w:b/>
          <w:sz w:val="22"/>
          <w:szCs w:val="22"/>
          <w:lang w:val="cs-CZ"/>
        </w:rPr>
        <w:t>a</w:t>
      </w:r>
      <w:r w:rsidRPr="00EF019C">
        <w:rPr>
          <w:rFonts w:ascii="Gill Sans MT" w:hAnsi="Gill Sans MT"/>
          <w:b/>
          <w:sz w:val="22"/>
          <w:szCs w:val="22"/>
          <w:lang w:val="cs-CZ"/>
        </w:rPr>
        <w:t xml:space="preserve"> v oblasti klimatu</w:t>
      </w:r>
      <w:r w:rsidRPr="00AE0FCE">
        <w:rPr>
          <w:rFonts w:ascii="Gill Sans MT" w:hAnsi="Gill Sans MT"/>
          <w:bCs/>
          <w:sz w:val="22"/>
          <w:szCs w:val="22"/>
          <w:lang w:val="cs-CZ"/>
        </w:rPr>
        <w:t>: Rostoucí energetická nejistota v Evropě urychlí celosvětový tlak na energetickou transformaci mezi rozvinutými zeměmi s přístupem ke zdrojům. Na druhou stranu vysoce zranitelné země budou nuceny upřednostnit udržení světla v provozu pomocí provizorních opatření, jako je například uhlí. Stále více zemí se bude řadit do jedné ze dvou skupin: ty, které pokrok v oblasti klimatických cílů ignorují nebo ho zvrátily, a ty, které se k němu urychleně přibližují. Zatímco vlády budou určovat priority, podniky budou nadále trpět nejistotou. Skóre GBI pro toto riziko je 30.</w:t>
      </w:r>
    </w:p>
    <w:p w14:paraId="0587F97D" w14:textId="77777777" w:rsidR="00AE0FCE" w:rsidRPr="00AE0FCE" w:rsidRDefault="00AE0FCE" w:rsidP="00AE0FCE">
      <w:pPr>
        <w:pStyle w:val="Zkladntext3"/>
        <w:rPr>
          <w:rFonts w:ascii="Gill Sans MT" w:hAnsi="Gill Sans MT"/>
          <w:bCs/>
          <w:sz w:val="22"/>
          <w:szCs w:val="22"/>
          <w:lang w:val="cs-CZ"/>
        </w:rPr>
      </w:pPr>
      <w:r w:rsidRPr="00AE0FCE">
        <w:rPr>
          <w:rFonts w:ascii="Gill Sans MT" w:hAnsi="Gill Sans MT"/>
          <w:bCs/>
          <w:sz w:val="22"/>
          <w:szCs w:val="22"/>
          <w:lang w:val="cs-CZ"/>
        </w:rPr>
        <w:lastRenderedPageBreak/>
        <w:t xml:space="preserve">4.    </w:t>
      </w:r>
      <w:r w:rsidRPr="00EF019C">
        <w:rPr>
          <w:rFonts w:ascii="Gill Sans MT" w:hAnsi="Gill Sans MT"/>
          <w:b/>
          <w:sz w:val="22"/>
          <w:szCs w:val="22"/>
          <w:lang w:val="cs-CZ"/>
        </w:rPr>
        <w:t>Kybernetická zranitelnost</w:t>
      </w:r>
      <w:r w:rsidRPr="00AE0FCE">
        <w:rPr>
          <w:rFonts w:ascii="Gill Sans MT" w:hAnsi="Gill Sans MT"/>
          <w:bCs/>
          <w:sz w:val="22"/>
          <w:szCs w:val="22"/>
          <w:lang w:val="cs-CZ"/>
        </w:rPr>
        <w:t>: Kybernetický prostor je levnějším a pohodlnějším bojištěm pro státy, které mezi sebou válčí,</w:t>
      </w:r>
      <w:r w:rsidR="00C54142">
        <w:rPr>
          <w:rFonts w:ascii="Gill Sans MT" w:hAnsi="Gill Sans MT"/>
          <w:bCs/>
          <w:sz w:val="22"/>
          <w:szCs w:val="22"/>
          <w:lang w:val="cs-CZ"/>
        </w:rPr>
        <w:t xml:space="preserve"> nicméně škody páchá i na</w:t>
      </w:r>
      <w:r w:rsidRPr="00AE0FCE">
        <w:rPr>
          <w:rFonts w:ascii="Gill Sans MT" w:hAnsi="Gill Sans MT"/>
          <w:bCs/>
          <w:sz w:val="22"/>
          <w:szCs w:val="22"/>
          <w:lang w:val="cs-CZ"/>
        </w:rPr>
        <w:t xml:space="preserve"> soukrom</w:t>
      </w:r>
      <w:r w:rsidR="00C54142">
        <w:rPr>
          <w:rFonts w:ascii="Gill Sans MT" w:hAnsi="Gill Sans MT"/>
          <w:bCs/>
          <w:sz w:val="22"/>
          <w:szCs w:val="22"/>
          <w:lang w:val="cs-CZ"/>
        </w:rPr>
        <w:t>ých</w:t>
      </w:r>
      <w:r w:rsidRPr="00AE0FCE">
        <w:rPr>
          <w:rFonts w:ascii="Gill Sans MT" w:hAnsi="Gill Sans MT"/>
          <w:bCs/>
          <w:sz w:val="22"/>
          <w:szCs w:val="22"/>
          <w:lang w:val="cs-CZ"/>
        </w:rPr>
        <w:t xml:space="preserve"> </w:t>
      </w:r>
      <w:r w:rsidR="00C54142">
        <w:rPr>
          <w:rFonts w:ascii="Gill Sans MT" w:hAnsi="Gill Sans MT"/>
          <w:bCs/>
          <w:sz w:val="22"/>
          <w:szCs w:val="22"/>
          <w:lang w:val="cs-CZ"/>
        </w:rPr>
        <w:t>společnostech.</w:t>
      </w:r>
      <w:r w:rsidRPr="00AE0FCE">
        <w:rPr>
          <w:rFonts w:ascii="Gill Sans MT" w:hAnsi="Gill Sans MT"/>
          <w:bCs/>
          <w:sz w:val="22"/>
          <w:szCs w:val="22"/>
          <w:lang w:val="cs-CZ"/>
        </w:rPr>
        <w:t xml:space="preserve"> S rostoucím geopolitickým napětím roste i míra ohrožení v kyberprostoru. Je také pozoruhodné, že tempo digitalizace během pandemie daleko předstihlo tempo modernizace schopností organizací v oblasti kybernetické bezpečnosti. V rámci sankcí je také mnoho podniků odříznuto od přístupu ke kritickým technologiím, což z krádeží duševního vlastnictví činí záležitost strategického významu. Skóre GBI pro tento rizikový scénář </w:t>
      </w:r>
      <w:r w:rsidR="00EF019C">
        <w:rPr>
          <w:rFonts w:ascii="Gill Sans MT" w:hAnsi="Gill Sans MT"/>
          <w:bCs/>
          <w:sz w:val="22"/>
          <w:szCs w:val="22"/>
          <w:lang w:val="cs-CZ"/>
        </w:rPr>
        <w:t>je</w:t>
      </w:r>
      <w:r w:rsidRPr="00AE0FCE">
        <w:rPr>
          <w:rFonts w:ascii="Gill Sans MT" w:hAnsi="Gill Sans MT"/>
          <w:bCs/>
          <w:sz w:val="22"/>
          <w:szCs w:val="22"/>
          <w:lang w:val="cs-CZ"/>
        </w:rPr>
        <w:t xml:space="preserve"> 20 bodů.</w:t>
      </w:r>
    </w:p>
    <w:p w14:paraId="4C7AD7BF" w14:textId="77777777" w:rsidR="00FA0D12" w:rsidRDefault="00AE0FCE" w:rsidP="00AE0FCE">
      <w:pPr>
        <w:pStyle w:val="Zkladntext3"/>
        <w:spacing w:after="0"/>
        <w:rPr>
          <w:rFonts w:ascii="Gill Sans MT" w:hAnsi="Gill Sans MT"/>
          <w:bCs/>
          <w:sz w:val="22"/>
          <w:szCs w:val="22"/>
          <w:lang w:val="cs-CZ"/>
        </w:rPr>
      </w:pPr>
      <w:r w:rsidRPr="00AE0FCE">
        <w:rPr>
          <w:rFonts w:ascii="Gill Sans MT" w:hAnsi="Gill Sans MT"/>
          <w:bCs/>
          <w:sz w:val="22"/>
          <w:szCs w:val="22"/>
          <w:lang w:val="cs-CZ"/>
        </w:rPr>
        <w:t xml:space="preserve">5.    </w:t>
      </w:r>
      <w:r w:rsidRPr="00EF019C">
        <w:rPr>
          <w:rFonts w:ascii="Gill Sans MT" w:hAnsi="Gill Sans MT"/>
          <w:b/>
          <w:sz w:val="22"/>
          <w:szCs w:val="22"/>
          <w:lang w:val="cs-CZ"/>
        </w:rPr>
        <w:t>Politika v EU</w:t>
      </w:r>
      <w:r w:rsidRPr="00AE0FCE">
        <w:rPr>
          <w:rFonts w:ascii="Gill Sans MT" w:hAnsi="Gill Sans MT"/>
          <w:bCs/>
          <w:sz w:val="22"/>
          <w:szCs w:val="22"/>
          <w:lang w:val="cs-CZ"/>
        </w:rPr>
        <w:t>: Pokračuje zkouška evropského vedení v oblasti</w:t>
      </w:r>
      <w:r w:rsidR="00C54142" w:rsidRPr="00AE0FCE">
        <w:rPr>
          <w:rFonts w:ascii="Gill Sans MT" w:hAnsi="Gill Sans MT"/>
          <w:bCs/>
          <w:sz w:val="22"/>
          <w:szCs w:val="22"/>
          <w:lang w:val="cs-CZ"/>
        </w:rPr>
        <w:t xml:space="preserve"> unijní</w:t>
      </w:r>
      <w:r w:rsidRPr="00AE0FCE">
        <w:rPr>
          <w:rFonts w:ascii="Gill Sans MT" w:hAnsi="Gill Sans MT"/>
          <w:bCs/>
          <w:sz w:val="22"/>
          <w:szCs w:val="22"/>
          <w:lang w:val="cs-CZ"/>
        </w:rPr>
        <w:t xml:space="preserve"> soudržnosti, imigrace, energetické bezpečnosti a klimatické politiky. V Itálii připravil odchod Maria Draghiho půdu pro nové volby, v nichž nyní vede krajně pravicová strana Bratři Itálie. Jejich volební úspěch pravděpodobně nezmění proatlantickou orientaci země, ale může na nějakou dobu ohrozit vztahy mezi Itálií a EU. Ve Francii bude navíc prezidentu Macronovi i nadále bránit v realizaci jeho legislativních priorit nedostatek parlamentní většiny. Vzhledem k tomu, že životní náklady zůstávají vysoké, může se v evropských zemích vrátit vlna populismu, na jejíž vlně se v nadcházejících volbách svezou euroskeptičtí a proruští populističtí lídři. Vzhledem k tomu, že se jeho pravděpodobnost oproti předchozímu čtvrtletí zvýšila, nyní </w:t>
      </w:r>
      <w:r w:rsidR="00C54142">
        <w:rPr>
          <w:rFonts w:ascii="Gill Sans MT" w:hAnsi="Gill Sans MT"/>
          <w:bCs/>
          <w:sz w:val="22"/>
          <w:szCs w:val="22"/>
          <w:lang w:val="cs-CZ"/>
        </w:rPr>
        <w:t xml:space="preserve">se </w:t>
      </w:r>
      <w:r w:rsidRPr="00AE0FCE">
        <w:rPr>
          <w:rFonts w:ascii="Gill Sans MT" w:hAnsi="Gill Sans MT"/>
          <w:bCs/>
          <w:sz w:val="22"/>
          <w:szCs w:val="22"/>
          <w:lang w:val="cs-CZ"/>
        </w:rPr>
        <w:t>skóre GBI pro tento rizikový scénář</w:t>
      </w:r>
      <w:r w:rsidR="00C54142">
        <w:rPr>
          <w:rFonts w:ascii="Gill Sans MT" w:hAnsi="Gill Sans MT"/>
          <w:bCs/>
          <w:sz w:val="22"/>
          <w:szCs w:val="22"/>
          <w:lang w:val="cs-CZ"/>
        </w:rPr>
        <w:t xml:space="preserve"> posouvá</w:t>
      </w:r>
      <w:r w:rsidRPr="00AE0FCE">
        <w:rPr>
          <w:rFonts w:ascii="Gill Sans MT" w:hAnsi="Gill Sans MT"/>
          <w:bCs/>
          <w:sz w:val="22"/>
          <w:szCs w:val="22"/>
          <w:lang w:val="cs-CZ"/>
        </w:rPr>
        <w:t xml:space="preserve"> na 18 bodů.</w:t>
      </w:r>
    </w:p>
    <w:p w14:paraId="1FB3A217" w14:textId="77777777" w:rsidR="00FA0D12" w:rsidRDefault="00FA0D12" w:rsidP="00AA6BFF">
      <w:pPr>
        <w:pStyle w:val="Zkladntext3"/>
        <w:spacing w:after="0"/>
        <w:rPr>
          <w:rFonts w:ascii="Gill Sans MT" w:hAnsi="Gill Sans MT"/>
          <w:bCs/>
          <w:sz w:val="22"/>
          <w:szCs w:val="22"/>
          <w:lang w:val="cs-CZ"/>
        </w:rPr>
      </w:pPr>
    </w:p>
    <w:p w14:paraId="495E0ED1" w14:textId="77777777" w:rsidR="00FA0D12" w:rsidRPr="00EE102A" w:rsidRDefault="00FA0D12" w:rsidP="00AA6BFF">
      <w:pPr>
        <w:pStyle w:val="Zkladntext3"/>
        <w:spacing w:after="0"/>
        <w:rPr>
          <w:rFonts w:ascii="Gill Sans MT" w:hAnsi="Gill Sans MT"/>
          <w:bCs/>
          <w:sz w:val="22"/>
          <w:szCs w:val="22"/>
          <w:lang w:val="cs-CZ"/>
        </w:rPr>
      </w:pPr>
    </w:p>
    <w:p w14:paraId="386B4630" w14:textId="77777777" w:rsidR="006C0598" w:rsidRDefault="00567627" w:rsidP="006C0598">
      <w:pPr>
        <w:pStyle w:val="Zkladntext3"/>
        <w:rPr>
          <w:rFonts w:ascii="Gill Sans MT" w:hAnsi="Gill Sans MT"/>
          <w:bCs/>
          <w:sz w:val="22"/>
          <w:szCs w:val="22"/>
          <w:lang w:val="cs-CZ"/>
        </w:rPr>
      </w:pPr>
      <w:r w:rsidRPr="006C0598">
        <w:rPr>
          <w:rFonts w:ascii="Gill Sans MT" w:hAnsi="Gill Sans MT"/>
          <w:b/>
          <w:lang w:val="cs-CZ"/>
        </w:rPr>
        <w:t xml:space="preserve">Co to znamená pro </w:t>
      </w:r>
      <w:r w:rsidR="006C0598" w:rsidRPr="006C0598">
        <w:rPr>
          <w:rFonts w:ascii="Gill Sans MT" w:hAnsi="Gill Sans MT"/>
          <w:b/>
          <w:lang w:val="cs-CZ"/>
        </w:rPr>
        <w:t>firmy</w:t>
      </w:r>
      <w:r w:rsidR="004A5C6A" w:rsidRPr="006C0598">
        <w:rPr>
          <w:rFonts w:ascii="Gill Sans MT" w:hAnsi="Gill Sans MT"/>
          <w:b/>
          <w:lang w:val="cs-CZ"/>
        </w:rPr>
        <w:t>?</w:t>
      </w:r>
      <w:r w:rsidR="004A5C6A">
        <w:rPr>
          <w:rFonts w:ascii="Gill Sans MT" w:hAnsi="Gill Sans MT"/>
          <w:b/>
          <w:sz w:val="22"/>
          <w:szCs w:val="22"/>
          <w:lang w:val="cs-CZ"/>
        </w:rPr>
        <w:br/>
      </w:r>
      <w:r w:rsidR="006C0598" w:rsidRPr="006C0598">
        <w:rPr>
          <w:rFonts w:ascii="Gill Sans MT" w:hAnsi="Gill Sans MT"/>
          <w:bCs/>
          <w:sz w:val="22"/>
          <w:szCs w:val="22"/>
          <w:lang w:val="cs-CZ"/>
        </w:rPr>
        <w:t xml:space="preserve">Globální skóre dopadu na podnikání společnosti Dun &amp; Bradstreet pro 3. čtvrtletí roku 2022 ukazuje, že </w:t>
      </w:r>
      <w:r w:rsidR="006C0598" w:rsidRPr="006C0598">
        <w:rPr>
          <w:rFonts w:ascii="Gill Sans MT" w:hAnsi="Gill Sans MT"/>
          <w:b/>
          <w:sz w:val="22"/>
          <w:szCs w:val="22"/>
          <w:lang w:val="cs-CZ"/>
        </w:rPr>
        <w:t>rizika, kterým podniky čelí, zůstávají zvýšená</w:t>
      </w:r>
      <w:r w:rsidR="006C0598" w:rsidRPr="006C0598">
        <w:rPr>
          <w:rFonts w:ascii="Gill Sans MT" w:hAnsi="Gill Sans MT"/>
          <w:bCs/>
          <w:sz w:val="22"/>
          <w:szCs w:val="22"/>
          <w:lang w:val="cs-CZ"/>
        </w:rPr>
        <w:t xml:space="preserve">, přičemž skóre </w:t>
      </w:r>
      <w:r w:rsidR="006C0598" w:rsidRPr="006C0598">
        <w:rPr>
          <w:rFonts w:ascii="Gill Sans MT" w:hAnsi="Gill Sans MT"/>
          <w:b/>
          <w:sz w:val="22"/>
          <w:szCs w:val="22"/>
          <w:lang w:val="cs-CZ"/>
        </w:rPr>
        <w:t>oproti 2. čtvrtletí roku 2022 vzrostlo</w:t>
      </w:r>
      <w:r w:rsidR="006C0598" w:rsidRPr="006C0598">
        <w:rPr>
          <w:rFonts w:ascii="Gill Sans MT" w:hAnsi="Gill Sans MT"/>
          <w:bCs/>
          <w:sz w:val="22"/>
          <w:szCs w:val="22"/>
          <w:lang w:val="cs-CZ"/>
        </w:rPr>
        <w:t>. Většina rizikových scénářů se buď zhoršila, nebo zůstala na stejné úrovni, přičemž se objevila některá nová rizika. Pokusy o kontrolu přelévání geopolitických konfliktů a otřesů v dodavatelském řetězci při současném zmírnění dopadu na podnikatelskou činnost, státní finance a společenské napětí zvýšily rizika, což ukazuje, jak mohou neočekávané události náhle zhoršit rizikové prostředí pro podniky působící v zahraničí.</w:t>
      </w:r>
    </w:p>
    <w:p w14:paraId="62C92064" w14:textId="49315CC1" w:rsidR="00152D71" w:rsidRDefault="006C0598" w:rsidP="00DD0964">
      <w:pPr>
        <w:pStyle w:val="Zkladntext3"/>
        <w:spacing w:after="0"/>
        <w:rPr>
          <w:rFonts w:ascii="Gill Sans MT" w:hAnsi="Gill Sans MT"/>
          <w:bCs/>
          <w:sz w:val="22"/>
          <w:szCs w:val="22"/>
          <w:lang w:val="cs-CZ"/>
        </w:rPr>
      </w:pPr>
      <w:r w:rsidRPr="006C0598">
        <w:rPr>
          <w:rFonts w:ascii="Gill Sans MT" w:hAnsi="Gill Sans MT"/>
          <w:bCs/>
          <w:sz w:val="22"/>
          <w:szCs w:val="22"/>
          <w:lang w:val="cs-CZ"/>
        </w:rPr>
        <w:t xml:space="preserve">Výsledek za 3. čtvrtletí roku 2022 zdůrazňuje, že osoby s rozhodovací pravomocí v podnicích musí mít připraveny pohotovostní plány pro případ náhlého narušení zdánlivě bezpečných dodavatelských řetězců a zvýšit povědomí o globálním ekonomickém prostředí a geopolitickém vývoji. Kromě toho geografické rozložení a různorodost dopadů v desítce nejvýznamnějších rizik </w:t>
      </w:r>
      <w:r>
        <w:rPr>
          <w:rFonts w:ascii="Gill Sans MT" w:hAnsi="Gill Sans MT"/>
          <w:bCs/>
          <w:sz w:val="22"/>
          <w:szCs w:val="22"/>
          <w:lang w:val="cs-CZ"/>
        </w:rPr>
        <w:t xml:space="preserve">Dun &amp; Bradstreet </w:t>
      </w:r>
      <w:r w:rsidRPr="006C0598">
        <w:rPr>
          <w:rFonts w:ascii="Gill Sans MT" w:hAnsi="Gill Sans MT"/>
          <w:bCs/>
          <w:sz w:val="22"/>
          <w:szCs w:val="22"/>
          <w:lang w:val="cs-CZ"/>
        </w:rPr>
        <w:t>podtrhuje důležitost širokého přístupu ke zmírňování těchto rizik.</w:t>
      </w:r>
    </w:p>
    <w:p w14:paraId="58EC7E7C" w14:textId="77777777" w:rsidR="000724A3" w:rsidRDefault="000724A3" w:rsidP="00DD0964">
      <w:pPr>
        <w:pStyle w:val="Zkladntext3"/>
        <w:spacing w:after="0"/>
        <w:rPr>
          <w:rFonts w:ascii="Gill Sans MT" w:hAnsi="Gill Sans MT"/>
          <w:b/>
          <w:sz w:val="22"/>
          <w:szCs w:val="22"/>
          <w:lang w:val="cs-CZ"/>
        </w:rPr>
      </w:pPr>
    </w:p>
    <w:p w14:paraId="03BD32F1" w14:textId="77777777" w:rsidR="00DD0964" w:rsidRPr="006B25CC" w:rsidRDefault="00DD0964" w:rsidP="00DD0964">
      <w:pPr>
        <w:pStyle w:val="Zkladntext3"/>
        <w:spacing w:after="0"/>
        <w:rPr>
          <w:rFonts w:ascii="Gill Sans MT" w:hAnsi="Gill Sans MT"/>
          <w:b/>
          <w:sz w:val="22"/>
          <w:szCs w:val="22"/>
          <w:lang w:val="cs-CZ"/>
        </w:rPr>
      </w:pPr>
      <w:r w:rsidRPr="006B25CC">
        <w:rPr>
          <w:rFonts w:ascii="Gill Sans MT" w:hAnsi="Gill Sans MT"/>
          <w:b/>
          <w:sz w:val="22"/>
          <w:szCs w:val="22"/>
          <w:lang w:val="cs-CZ"/>
        </w:rPr>
        <w:t>O Dun &amp; Bradstreet</w:t>
      </w:r>
    </w:p>
    <w:p w14:paraId="0C57FD81" w14:textId="77777777" w:rsidR="00DD0964" w:rsidRPr="006B25CC" w:rsidRDefault="00DD0964" w:rsidP="00DD0964">
      <w:pPr>
        <w:pStyle w:val="Zkladntext3"/>
        <w:spacing w:after="0"/>
        <w:rPr>
          <w:rFonts w:ascii="Gill Sans MT" w:hAnsi="Gill Sans MT"/>
          <w:bCs/>
          <w:sz w:val="22"/>
          <w:szCs w:val="22"/>
          <w:lang w:val="cs-CZ"/>
        </w:rPr>
      </w:pPr>
      <w:r w:rsidRPr="006B25CC">
        <w:rPr>
          <w:rFonts w:ascii="Gill Sans MT" w:hAnsi="Gill Sans MT"/>
          <w:bCs/>
          <w:sz w:val="22"/>
          <w:szCs w:val="22"/>
          <w:lang w:val="cs-CZ"/>
        </w:rPr>
        <w:t xml:space="preserve">Dun &amp; Bradstreet je světový lídr v poskytování klíčových obchodních dat a analytických řešení, která firmám po celém světě pomáhají zlepšovat jejich rozhodovací procesy a zvyšovat výkonnost. Dun &amp; Bradstreet Data Cloud podporuje řešení, která zákazníkům pomáhají v růstu tržeb, snižování nákladů, zmírnění rizik a transformaci jejich podnikání. Od roku 1841 firmy všech velikostí spoléhají na Dun &amp; Bradstreet v řešení pro řízení rizik a rozšiřování obchodních příležitostí. </w:t>
      </w:r>
    </w:p>
    <w:p w14:paraId="26A4E8F3" w14:textId="77777777" w:rsidR="00DD0964" w:rsidRPr="006B25CC" w:rsidRDefault="00DD0964" w:rsidP="00317693">
      <w:pPr>
        <w:pStyle w:val="Zkladntext3"/>
        <w:spacing w:after="0"/>
        <w:rPr>
          <w:rFonts w:ascii="Gill Sans MT" w:hAnsi="Gill Sans MT"/>
          <w:b/>
          <w:sz w:val="22"/>
          <w:szCs w:val="22"/>
          <w:lang w:val="cs-CZ"/>
        </w:rPr>
      </w:pPr>
    </w:p>
    <w:p w14:paraId="1F8976C4" w14:textId="77777777" w:rsidR="007B4CDA" w:rsidRPr="006B25CC" w:rsidRDefault="00BB7E57" w:rsidP="007810D0">
      <w:pPr>
        <w:pStyle w:val="Zkladntext3"/>
        <w:spacing w:after="0" w:line="264" w:lineRule="auto"/>
        <w:rPr>
          <w:rFonts w:ascii="Gill Sans MT" w:hAnsi="Gill Sans MT"/>
          <w:sz w:val="22"/>
          <w:szCs w:val="22"/>
          <w:lang w:val="cs-CZ"/>
        </w:rPr>
      </w:pPr>
      <w:r w:rsidRPr="006B25CC">
        <w:rPr>
          <w:rFonts w:ascii="Gill Sans MT" w:hAnsi="Gill Sans MT"/>
          <w:sz w:val="22"/>
          <w:szCs w:val="22"/>
          <w:lang w:val="cs-CZ"/>
        </w:rPr>
        <w:t>dnb.co</w:t>
      </w:r>
      <w:r w:rsidR="00317693" w:rsidRPr="006B25CC">
        <w:rPr>
          <w:rFonts w:ascii="Gill Sans MT" w:hAnsi="Gill Sans MT"/>
          <w:sz w:val="22"/>
          <w:szCs w:val="22"/>
          <w:lang w:val="cs-CZ"/>
        </w:rPr>
        <w:t>m</w:t>
      </w:r>
      <w:r w:rsidR="006D432B" w:rsidRPr="006B25CC">
        <w:rPr>
          <w:rFonts w:ascii="Gill Sans MT" w:hAnsi="Gill Sans MT"/>
          <w:sz w:val="22"/>
          <w:szCs w:val="22"/>
          <w:lang w:val="cs-CZ"/>
        </w:rPr>
        <w:t>/</w:t>
      </w:r>
      <w:r w:rsidR="00DD0964" w:rsidRPr="006B25CC">
        <w:rPr>
          <w:rFonts w:ascii="Gill Sans MT" w:hAnsi="Gill Sans MT"/>
          <w:sz w:val="22"/>
          <w:szCs w:val="22"/>
          <w:lang w:val="cs-CZ"/>
        </w:rPr>
        <w:t>cz</w:t>
      </w:r>
    </w:p>
    <w:p w14:paraId="779DF16D" w14:textId="77777777" w:rsidR="007B4CDA" w:rsidRPr="006B25CC" w:rsidRDefault="007B4CDA" w:rsidP="007B4CDA">
      <w:pPr>
        <w:pStyle w:val="Zkladntext3"/>
        <w:spacing w:after="0"/>
        <w:rPr>
          <w:rFonts w:ascii="Gill Sans MT" w:hAnsi="Gill Sans MT"/>
          <w:b/>
          <w:bCs/>
          <w:sz w:val="22"/>
          <w:szCs w:val="22"/>
          <w:lang w:val="cs-CZ"/>
        </w:rPr>
      </w:pPr>
    </w:p>
    <w:p w14:paraId="0143D398" w14:textId="77777777" w:rsidR="007B4CDA" w:rsidRPr="006B25CC" w:rsidRDefault="00734F6A" w:rsidP="007B4CDA">
      <w:pPr>
        <w:rPr>
          <w:rFonts w:ascii="Gill Sans MT" w:hAnsi="Gill Sans MT"/>
          <w:b/>
          <w:sz w:val="22"/>
          <w:szCs w:val="22"/>
          <w:lang w:val="cs-CZ"/>
        </w:rPr>
      </w:pPr>
      <w:r w:rsidRPr="006B25CC">
        <w:rPr>
          <w:rFonts w:ascii="Gill Sans MT" w:hAnsi="Gill Sans MT"/>
          <w:b/>
          <w:sz w:val="22"/>
          <w:szCs w:val="22"/>
          <w:lang w:val="cs-CZ"/>
        </w:rPr>
        <w:t>Kontakt pr</w:t>
      </w:r>
      <w:r w:rsidR="005B4C5D">
        <w:rPr>
          <w:rFonts w:ascii="Gill Sans MT" w:hAnsi="Gill Sans MT"/>
          <w:b/>
          <w:sz w:val="22"/>
          <w:szCs w:val="22"/>
          <w:lang w:val="cs-CZ"/>
        </w:rPr>
        <w:t>o</w:t>
      </w:r>
      <w:r w:rsidRPr="006B25CC">
        <w:rPr>
          <w:rFonts w:ascii="Gill Sans MT" w:hAnsi="Gill Sans MT"/>
          <w:b/>
          <w:sz w:val="22"/>
          <w:szCs w:val="22"/>
          <w:lang w:val="cs-CZ"/>
        </w:rPr>
        <w:t xml:space="preserve"> média: </w:t>
      </w:r>
    </w:p>
    <w:p w14:paraId="22191E66" w14:textId="77777777" w:rsidR="00734F6A" w:rsidRPr="006B25CC" w:rsidRDefault="00734F6A" w:rsidP="00734F6A">
      <w:pPr>
        <w:rPr>
          <w:rFonts w:ascii="Gill Sans MT" w:hAnsi="Gill Sans MT" w:cs="Calibri"/>
          <w:b/>
          <w:sz w:val="22"/>
          <w:szCs w:val="22"/>
          <w:lang w:val="cs-CZ"/>
        </w:rPr>
      </w:pPr>
      <w:r w:rsidRPr="006B25CC">
        <w:rPr>
          <w:rFonts w:ascii="Gill Sans MT" w:hAnsi="Gill Sans MT" w:cs="Calibri"/>
          <w:b/>
          <w:sz w:val="22"/>
          <w:szCs w:val="22"/>
          <w:lang w:val="cs-CZ"/>
        </w:rPr>
        <w:t>Petra Štěpánová, PR Director</w:t>
      </w:r>
      <w:r w:rsidR="006C0598">
        <w:rPr>
          <w:rFonts w:ascii="Gill Sans MT" w:hAnsi="Gill Sans MT" w:cs="Calibri"/>
          <w:b/>
          <w:sz w:val="22"/>
          <w:szCs w:val="22"/>
          <w:lang w:val="cs-CZ"/>
        </w:rPr>
        <w:t xml:space="preserve"> CZ &amp; SK</w:t>
      </w:r>
    </w:p>
    <w:p w14:paraId="38B00107" w14:textId="77777777" w:rsidR="00734F6A" w:rsidRPr="006B25CC" w:rsidRDefault="00734F6A" w:rsidP="00734F6A">
      <w:pPr>
        <w:rPr>
          <w:rFonts w:ascii="Gill Sans MT" w:hAnsi="Gill Sans MT" w:cs="Calibri"/>
          <w:sz w:val="22"/>
          <w:szCs w:val="22"/>
          <w:lang w:val="cs-CZ"/>
        </w:rPr>
      </w:pPr>
      <w:r w:rsidRPr="006B25CC">
        <w:rPr>
          <w:rFonts w:ascii="Gill Sans MT" w:hAnsi="Gill Sans MT" w:cs="Calibri"/>
          <w:sz w:val="22"/>
          <w:szCs w:val="22"/>
          <w:lang w:val="cs-CZ"/>
        </w:rPr>
        <w:t>Telef</w:t>
      </w:r>
      <w:r w:rsidR="00890E10">
        <w:rPr>
          <w:rFonts w:ascii="Gill Sans MT" w:hAnsi="Gill Sans MT" w:cs="Calibri"/>
          <w:sz w:val="22"/>
          <w:szCs w:val="22"/>
          <w:lang w:val="cs-CZ"/>
        </w:rPr>
        <w:t>o</w:t>
      </w:r>
      <w:r w:rsidRPr="006B25CC">
        <w:rPr>
          <w:rFonts w:ascii="Gill Sans MT" w:hAnsi="Gill Sans MT" w:cs="Calibri"/>
          <w:sz w:val="22"/>
          <w:szCs w:val="22"/>
          <w:lang w:val="cs-CZ"/>
        </w:rPr>
        <w:t>n: +420 606 744 909</w:t>
      </w:r>
    </w:p>
    <w:p w14:paraId="532443F1" w14:textId="77777777" w:rsidR="00EF09B3" w:rsidRPr="00736EF3" w:rsidRDefault="00734F6A" w:rsidP="00734F6A">
      <w:pPr>
        <w:rPr>
          <w:rFonts w:ascii="Gill Sans MT" w:hAnsi="Gill Sans MT" w:cs="Calibri"/>
          <w:sz w:val="22"/>
          <w:szCs w:val="22"/>
          <w:lang w:val="cs-CZ"/>
        </w:rPr>
      </w:pPr>
      <w:r w:rsidRPr="006B25CC">
        <w:rPr>
          <w:rFonts w:ascii="Gill Sans MT" w:hAnsi="Gill Sans MT" w:cs="Calibri"/>
          <w:sz w:val="22"/>
          <w:szCs w:val="22"/>
          <w:lang w:val="cs-CZ"/>
        </w:rPr>
        <w:t>E-mail:</w:t>
      </w:r>
      <w:r w:rsidR="00AB4166">
        <w:rPr>
          <w:rFonts w:ascii="Gill Sans MT" w:hAnsi="Gill Sans MT" w:cs="Calibri"/>
          <w:sz w:val="22"/>
          <w:szCs w:val="22"/>
          <w:lang w:val="cs-CZ"/>
        </w:rPr>
        <w:t xml:space="preserve"> S</w:t>
      </w:r>
      <w:r w:rsidR="005B4C5D">
        <w:rPr>
          <w:rFonts w:ascii="Gill Sans MT" w:hAnsi="Gill Sans MT" w:cs="Calibri"/>
          <w:sz w:val="22"/>
          <w:szCs w:val="22"/>
          <w:lang w:val="cs-CZ"/>
        </w:rPr>
        <w:t>t</w:t>
      </w:r>
      <w:r w:rsidR="00AB4166">
        <w:rPr>
          <w:rFonts w:ascii="Gill Sans MT" w:hAnsi="Gill Sans MT" w:cs="Calibri"/>
          <w:sz w:val="22"/>
          <w:szCs w:val="22"/>
          <w:lang w:val="cs-CZ"/>
        </w:rPr>
        <w:t>epanovaP@DNB.com</w:t>
      </w:r>
    </w:p>
    <w:sectPr w:rsidR="00EF09B3" w:rsidRPr="00736EF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289E" w14:textId="77777777" w:rsidR="00500AE9" w:rsidRDefault="00500AE9" w:rsidP="007B4CDA">
      <w:r>
        <w:separator/>
      </w:r>
    </w:p>
  </w:endnote>
  <w:endnote w:type="continuationSeparator" w:id="0">
    <w:p w14:paraId="5D76C1DD" w14:textId="77777777" w:rsidR="00500AE9" w:rsidRDefault="00500AE9" w:rsidP="007B4CDA">
      <w:r>
        <w:continuationSeparator/>
      </w:r>
    </w:p>
  </w:endnote>
  <w:endnote w:type="continuationNotice" w:id="1">
    <w:p w14:paraId="5D63065F" w14:textId="77777777" w:rsidR="00500AE9" w:rsidRDefault="0050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Gill Sans MT">
    <w:charset w:val="EE"/>
    <w:family w:val="swiss"/>
    <w:pitch w:val="variable"/>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0043" w14:textId="77777777" w:rsidR="00B96CDF" w:rsidRDefault="00B96C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2A20" w14:textId="28AB51F1" w:rsidR="00B96CDF" w:rsidRDefault="003E2FA4">
    <w:pPr>
      <w:pStyle w:val="Zpat"/>
    </w:pPr>
    <w:r>
      <w:rPr>
        <w:noProof/>
      </w:rPr>
      <mc:AlternateContent>
        <mc:Choice Requires="wps">
          <w:drawing>
            <wp:anchor distT="0" distB="0" distL="114300" distR="114300" simplePos="0" relativeHeight="251657728" behindDoc="0" locked="0" layoutInCell="0" allowOverlap="1" wp14:anchorId="328FFF14" wp14:editId="2EF2837E">
              <wp:simplePos x="0" y="0"/>
              <wp:positionH relativeFrom="page">
                <wp:posOffset>0</wp:posOffset>
              </wp:positionH>
              <wp:positionV relativeFrom="page">
                <wp:posOffset>9594215</wp:posOffset>
              </wp:positionV>
              <wp:extent cx="7772400" cy="273685"/>
              <wp:effectExtent l="0" t="2540" r="0" b="0"/>
              <wp:wrapNone/>
              <wp:docPr id="1" name="MSIPCM9d4a4efc82181aade11addbc" descr="{&quot;HashCode&quot;:-865276130,&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E2B4" w14:textId="6791BF39" w:rsidR="00F566FF" w:rsidRPr="00F566FF" w:rsidRDefault="00F566FF" w:rsidP="00F566FF">
                          <w:pPr>
                            <w:jc w:val="center"/>
                            <w:rPr>
                              <w:rFonts w:ascii="Calibri" w:hAnsi="Calibri" w:cs="Calibri"/>
                              <w:color w:val="000000"/>
                              <w:sz w:val="16"/>
                            </w:rPr>
                          </w:pPr>
                          <w:r w:rsidRPr="00F566FF">
                            <w:rPr>
                              <w:rFonts w:ascii="Calibri" w:hAnsi="Calibri" w:cs="Calibri"/>
                              <w:color w:val="000000"/>
                              <w:sz w:val="16"/>
                            </w:rPr>
                            <w:t>Public</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FFF14" id="_x0000_t202" coordsize="21600,21600" o:spt="202" path="m,l,21600r21600,l21600,xe">
              <v:stroke joinstyle="miter"/>
              <v:path gradientshapeok="t" o:connecttype="rect"/>
            </v:shapetype>
            <v:shape id="MSIPCM9d4a4efc82181aade11addbc" o:spid="_x0000_s1026" type="#_x0000_t202" alt="{&quot;HashCode&quot;:-865276130,&quot;Height&quot;:792.0,&quot;Width&quot;:612.0,&quot;Placement&quot;:&quot;Footer&quot;,&quot;Index&quot;:&quot;Primary&quot;,&quot;Section&quot;:1,&quot;Top&quot;:0.0,&quot;Left&quot;:0.0}" style="position:absolute;margin-left:0;margin-top:755.45pt;width:612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13FCE2B4" w14:textId="6791BF39" w:rsidR="00F566FF" w:rsidRPr="00F566FF" w:rsidRDefault="00F566FF" w:rsidP="00F566FF">
                    <w:pPr>
                      <w:jc w:val="center"/>
                      <w:rPr>
                        <w:rFonts w:ascii="Calibri" w:hAnsi="Calibri" w:cs="Calibri"/>
                        <w:color w:val="000000"/>
                        <w:sz w:val="16"/>
                      </w:rPr>
                    </w:pPr>
                    <w:r w:rsidRPr="00F566FF">
                      <w:rPr>
                        <w:rFonts w:ascii="Calibri" w:hAnsi="Calibri" w:cs="Calibri"/>
                        <w:color w:val="000000"/>
                        <w:sz w:val="16"/>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2992" w14:textId="77777777" w:rsidR="00B96CDF" w:rsidRDefault="00B96C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590B" w14:textId="77777777" w:rsidR="00500AE9" w:rsidRDefault="00500AE9" w:rsidP="007B4CDA">
      <w:r>
        <w:separator/>
      </w:r>
    </w:p>
  </w:footnote>
  <w:footnote w:type="continuationSeparator" w:id="0">
    <w:p w14:paraId="6CFB7773" w14:textId="77777777" w:rsidR="00500AE9" w:rsidRDefault="00500AE9" w:rsidP="007B4CDA">
      <w:r>
        <w:continuationSeparator/>
      </w:r>
    </w:p>
  </w:footnote>
  <w:footnote w:type="continuationNotice" w:id="1">
    <w:p w14:paraId="6F41BAB6" w14:textId="77777777" w:rsidR="00500AE9" w:rsidRDefault="00500A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DE0B" w14:textId="77777777" w:rsidR="00B96CDF" w:rsidRDefault="00B96C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99D9" w14:textId="5CB679C3" w:rsidR="00690D4F" w:rsidRDefault="003E2FA4" w:rsidP="00690D4F">
    <w:pPr>
      <w:pStyle w:val="Zhlav"/>
      <w:jc w:val="right"/>
    </w:pPr>
    <w:r>
      <w:rPr>
        <w:noProof/>
      </w:rPr>
      <w:drawing>
        <wp:inline distT="0" distB="0" distL="0" distR="0" wp14:anchorId="496943B7" wp14:editId="2F975C23">
          <wp:extent cx="1935480" cy="2895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289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5D15" w14:textId="77777777" w:rsidR="00B96CDF" w:rsidRDefault="00B96CD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A6C"/>
    <w:multiLevelType w:val="multilevel"/>
    <w:tmpl w:val="B8DE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75DA1"/>
    <w:multiLevelType w:val="hybridMultilevel"/>
    <w:tmpl w:val="83AC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52008"/>
    <w:multiLevelType w:val="hybridMultilevel"/>
    <w:tmpl w:val="F73C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6D4C"/>
    <w:multiLevelType w:val="multilevel"/>
    <w:tmpl w:val="B0EE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B103D"/>
    <w:multiLevelType w:val="hybridMultilevel"/>
    <w:tmpl w:val="D07E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48D661D"/>
    <w:multiLevelType w:val="hybridMultilevel"/>
    <w:tmpl w:val="7D4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D30DE"/>
    <w:multiLevelType w:val="hybridMultilevel"/>
    <w:tmpl w:val="ABAA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25776"/>
    <w:multiLevelType w:val="multilevel"/>
    <w:tmpl w:val="242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FA6138"/>
    <w:multiLevelType w:val="hybridMultilevel"/>
    <w:tmpl w:val="ED264E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909C3"/>
    <w:multiLevelType w:val="hybridMultilevel"/>
    <w:tmpl w:val="6F96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C213D"/>
    <w:multiLevelType w:val="multilevel"/>
    <w:tmpl w:val="AB5E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382E69"/>
    <w:multiLevelType w:val="hybridMultilevel"/>
    <w:tmpl w:val="618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353E2"/>
    <w:multiLevelType w:val="multilevel"/>
    <w:tmpl w:val="8CB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547D0F"/>
    <w:multiLevelType w:val="hybridMultilevel"/>
    <w:tmpl w:val="E8C67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4E5B90"/>
    <w:multiLevelType w:val="hybridMultilevel"/>
    <w:tmpl w:val="C712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106246">
    <w:abstractNumId w:val="13"/>
  </w:num>
  <w:num w:numId="2" w16cid:durableId="664431056">
    <w:abstractNumId w:val="5"/>
  </w:num>
  <w:num w:numId="3" w16cid:durableId="168300132">
    <w:abstractNumId w:val="6"/>
  </w:num>
  <w:num w:numId="4" w16cid:durableId="862474240">
    <w:abstractNumId w:val="4"/>
  </w:num>
  <w:num w:numId="5" w16cid:durableId="1323044284">
    <w:abstractNumId w:val="8"/>
  </w:num>
  <w:num w:numId="6" w16cid:durableId="468935620">
    <w:abstractNumId w:val="2"/>
  </w:num>
  <w:num w:numId="7" w16cid:durableId="198712401">
    <w:abstractNumId w:val="11"/>
  </w:num>
  <w:num w:numId="8" w16cid:durableId="326783987">
    <w:abstractNumId w:val="14"/>
  </w:num>
  <w:num w:numId="9" w16cid:durableId="2137023881">
    <w:abstractNumId w:val="1"/>
  </w:num>
  <w:num w:numId="10" w16cid:durableId="1829402508">
    <w:abstractNumId w:val="3"/>
  </w:num>
  <w:num w:numId="11" w16cid:durableId="228882254">
    <w:abstractNumId w:val="0"/>
  </w:num>
  <w:num w:numId="12" w16cid:durableId="2022661851">
    <w:abstractNumId w:val="10"/>
  </w:num>
  <w:num w:numId="13" w16cid:durableId="1041514009">
    <w:abstractNumId w:val="7"/>
  </w:num>
  <w:num w:numId="14" w16cid:durableId="1306545676">
    <w:abstractNumId w:val="12"/>
  </w:num>
  <w:num w:numId="15" w16cid:durableId="20831346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735B1"/>
    <w:rsid w:val="0000365D"/>
    <w:rsid w:val="00012DE8"/>
    <w:rsid w:val="000133C0"/>
    <w:rsid w:val="0001411B"/>
    <w:rsid w:val="000167E6"/>
    <w:rsid w:val="00017221"/>
    <w:rsid w:val="00020BF9"/>
    <w:rsid w:val="00020D06"/>
    <w:rsid w:val="0002296E"/>
    <w:rsid w:val="00024378"/>
    <w:rsid w:val="00026F14"/>
    <w:rsid w:val="00033B24"/>
    <w:rsid w:val="00037062"/>
    <w:rsid w:val="00040BEA"/>
    <w:rsid w:val="00041F90"/>
    <w:rsid w:val="00043587"/>
    <w:rsid w:val="00043C44"/>
    <w:rsid w:val="00047FF4"/>
    <w:rsid w:val="000509F4"/>
    <w:rsid w:val="00053028"/>
    <w:rsid w:val="00054F80"/>
    <w:rsid w:val="0005652A"/>
    <w:rsid w:val="00056815"/>
    <w:rsid w:val="00057157"/>
    <w:rsid w:val="00060257"/>
    <w:rsid w:val="00060AD7"/>
    <w:rsid w:val="00060B1A"/>
    <w:rsid w:val="0006173B"/>
    <w:rsid w:val="000642EF"/>
    <w:rsid w:val="0006462B"/>
    <w:rsid w:val="000653CD"/>
    <w:rsid w:val="00066507"/>
    <w:rsid w:val="000710CF"/>
    <w:rsid w:val="00071638"/>
    <w:rsid w:val="00071AEC"/>
    <w:rsid w:val="000724A3"/>
    <w:rsid w:val="00072BEC"/>
    <w:rsid w:val="00074528"/>
    <w:rsid w:val="00074B53"/>
    <w:rsid w:val="00075EC2"/>
    <w:rsid w:val="00076813"/>
    <w:rsid w:val="000815F0"/>
    <w:rsid w:val="00082E92"/>
    <w:rsid w:val="00087F54"/>
    <w:rsid w:val="00091369"/>
    <w:rsid w:val="00091720"/>
    <w:rsid w:val="000927EA"/>
    <w:rsid w:val="0009350B"/>
    <w:rsid w:val="000A0140"/>
    <w:rsid w:val="000A270D"/>
    <w:rsid w:val="000A4E64"/>
    <w:rsid w:val="000A6361"/>
    <w:rsid w:val="000B0F3A"/>
    <w:rsid w:val="000B228C"/>
    <w:rsid w:val="000B2B01"/>
    <w:rsid w:val="000B5A7A"/>
    <w:rsid w:val="000B7DF8"/>
    <w:rsid w:val="000C3155"/>
    <w:rsid w:val="000D2B8D"/>
    <w:rsid w:val="000D3FBD"/>
    <w:rsid w:val="000D5DDB"/>
    <w:rsid w:val="000D5FDE"/>
    <w:rsid w:val="000D7AA6"/>
    <w:rsid w:val="000F0243"/>
    <w:rsid w:val="000F1530"/>
    <w:rsid w:val="000F23E5"/>
    <w:rsid w:val="000F3E8E"/>
    <w:rsid w:val="000F4898"/>
    <w:rsid w:val="000F4DD7"/>
    <w:rsid w:val="000F57C7"/>
    <w:rsid w:val="000F6543"/>
    <w:rsid w:val="00102F38"/>
    <w:rsid w:val="00102FFE"/>
    <w:rsid w:val="001031DF"/>
    <w:rsid w:val="001041B5"/>
    <w:rsid w:val="0010434D"/>
    <w:rsid w:val="00104919"/>
    <w:rsid w:val="001071A8"/>
    <w:rsid w:val="00107460"/>
    <w:rsid w:val="00110049"/>
    <w:rsid w:val="001108F7"/>
    <w:rsid w:val="00111014"/>
    <w:rsid w:val="00111374"/>
    <w:rsid w:val="0011175C"/>
    <w:rsid w:val="001144F0"/>
    <w:rsid w:val="0011788E"/>
    <w:rsid w:val="001203BA"/>
    <w:rsid w:val="001309FD"/>
    <w:rsid w:val="00132AB8"/>
    <w:rsid w:val="00132FB5"/>
    <w:rsid w:val="00134ACB"/>
    <w:rsid w:val="00136703"/>
    <w:rsid w:val="00136734"/>
    <w:rsid w:val="00136CC9"/>
    <w:rsid w:val="00136E3D"/>
    <w:rsid w:val="00152D71"/>
    <w:rsid w:val="001569E3"/>
    <w:rsid w:val="001579E0"/>
    <w:rsid w:val="00161575"/>
    <w:rsid w:val="00162DB9"/>
    <w:rsid w:val="0016455D"/>
    <w:rsid w:val="00165580"/>
    <w:rsid w:val="00166320"/>
    <w:rsid w:val="00171F3D"/>
    <w:rsid w:val="0017595C"/>
    <w:rsid w:val="00175F09"/>
    <w:rsid w:val="001766ED"/>
    <w:rsid w:val="00180340"/>
    <w:rsid w:val="00181770"/>
    <w:rsid w:val="00182A62"/>
    <w:rsid w:val="00183B9A"/>
    <w:rsid w:val="00183D61"/>
    <w:rsid w:val="00184C20"/>
    <w:rsid w:val="00185E26"/>
    <w:rsid w:val="00186257"/>
    <w:rsid w:val="00191F9D"/>
    <w:rsid w:val="00194E61"/>
    <w:rsid w:val="0019634D"/>
    <w:rsid w:val="001A4155"/>
    <w:rsid w:val="001A56BD"/>
    <w:rsid w:val="001A6074"/>
    <w:rsid w:val="001A69C0"/>
    <w:rsid w:val="001B008C"/>
    <w:rsid w:val="001B3BC0"/>
    <w:rsid w:val="001B75D1"/>
    <w:rsid w:val="001C0326"/>
    <w:rsid w:val="001C1441"/>
    <w:rsid w:val="001C18FF"/>
    <w:rsid w:val="001D03C6"/>
    <w:rsid w:val="001D2EAE"/>
    <w:rsid w:val="001D4BC7"/>
    <w:rsid w:val="001D61A3"/>
    <w:rsid w:val="001D6FC6"/>
    <w:rsid w:val="001E0028"/>
    <w:rsid w:val="001E203A"/>
    <w:rsid w:val="001E22B0"/>
    <w:rsid w:val="001E44FC"/>
    <w:rsid w:val="001F0B4E"/>
    <w:rsid w:val="001F72C4"/>
    <w:rsid w:val="001F79D8"/>
    <w:rsid w:val="0020029A"/>
    <w:rsid w:val="0020048B"/>
    <w:rsid w:val="00201475"/>
    <w:rsid w:val="00205EFE"/>
    <w:rsid w:val="00207362"/>
    <w:rsid w:val="00210663"/>
    <w:rsid w:val="002128C9"/>
    <w:rsid w:val="00214744"/>
    <w:rsid w:val="0021780A"/>
    <w:rsid w:val="002250E7"/>
    <w:rsid w:val="002278A1"/>
    <w:rsid w:val="00230785"/>
    <w:rsid w:val="002328A9"/>
    <w:rsid w:val="00232F59"/>
    <w:rsid w:val="00235B17"/>
    <w:rsid w:val="00236ABA"/>
    <w:rsid w:val="00240694"/>
    <w:rsid w:val="0024247E"/>
    <w:rsid w:val="00243F94"/>
    <w:rsid w:val="00243FEA"/>
    <w:rsid w:val="0024424A"/>
    <w:rsid w:val="002467B3"/>
    <w:rsid w:val="00246F84"/>
    <w:rsid w:val="00251B66"/>
    <w:rsid w:val="00253B8F"/>
    <w:rsid w:val="002555EE"/>
    <w:rsid w:val="00255BF5"/>
    <w:rsid w:val="002563D2"/>
    <w:rsid w:val="00256BF8"/>
    <w:rsid w:val="00257878"/>
    <w:rsid w:val="00263E09"/>
    <w:rsid w:val="00264E5B"/>
    <w:rsid w:val="00271AA6"/>
    <w:rsid w:val="00271FEF"/>
    <w:rsid w:val="00275AD5"/>
    <w:rsid w:val="0027609D"/>
    <w:rsid w:val="00276C1C"/>
    <w:rsid w:val="00277C59"/>
    <w:rsid w:val="00283596"/>
    <w:rsid w:val="002838A3"/>
    <w:rsid w:val="002856B2"/>
    <w:rsid w:val="00286F0B"/>
    <w:rsid w:val="00294B38"/>
    <w:rsid w:val="002A0648"/>
    <w:rsid w:val="002A4545"/>
    <w:rsid w:val="002B2BAF"/>
    <w:rsid w:val="002C0DC4"/>
    <w:rsid w:val="002C16F2"/>
    <w:rsid w:val="002C1D9E"/>
    <w:rsid w:val="002C25DC"/>
    <w:rsid w:val="002C3AAD"/>
    <w:rsid w:val="002D095B"/>
    <w:rsid w:val="002D1FEF"/>
    <w:rsid w:val="002D33DF"/>
    <w:rsid w:val="002E0338"/>
    <w:rsid w:val="002E3561"/>
    <w:rsid w:val="002E51CE"/>
    <w:rsid w:val="002E719D"/>
    <w:rsid w:val="002F2251"/>
    <w:rsid w:val="002F2DAA"/>
    <w:rsid w:val="002F3339"/>
    <w:rsid w:val="002F5083"/>
    <w:rsid w:val="002F51B9"/>
    <w:rsid w:val="002F665E"/>
    <w:rsid w:val="002F7332"/>
    <w:rsid w:val="003007CC"/>
    <w:rsid w:val="00301332"/>
    <w:rsid w:val="0030280E"/>
    <w:rsid w:val="003040A8"/>
    <w:rsid w:val="003049D2"/>
    <w:rsid w:val="00310E87"/>
    <w:rsid w:val="003173B7"/>
    <w:rsid w:val="00317693"/>
    <w:rsid w:val="00321F14"/>
    <w:rsid w:val="00323557"/>
    <w:rsid w:val="00326CBF"/>
    <w:rsid w:val="003277B1"/>
    <w:rsid w:val="003322F9"/>
    <w:rsid w:val="00332444"/>
    <w:rsid w:val="00340148"/>
    <w:rsid w:val="003408F4"/>
    <w:rsid w:val="00344CEA"/>
    <w:rsid w:val="00352B27"/>
    <w:rsid w:val="00356DAE"/>
    <w:rsid w:val="0035710B"/>
    <w:rsid w:val="00364622"/>
    <w:rsid w:val="003718A9"/>
    <w:rsid w:val="0038076D"/>
    <w:rsid w:val="00382EEA"/>
    <w:rsid w:val="00383BD2"/>
    <w:rsid w:val="00384346"/>
    <w:rsid w:val="003875DE"/>
    <w:rsid w:val="00393B6C"/>
    <w:rsid w:val="003954F7"/>
    <w:rsid w:val="00397B1A"/>
    <w:rsid w:val="003A291D"/>
    <w:rsid w:val="003A39A0"/>
    <w:rsid w:val="003A3FD9"/>
    <w:rsid w:val="003A4C17"/>
    <w:rsid w:val="003A75AB"/>
    <w:rsid w:val="003B11E2"/>
    <w:rsid w:val="003B4D61"/>
    <w:rsid w:val="003B6366"/>
    <w:rsid w:val="003C1ACE"/>
    <w:rsid w:val="003C3E13"/>
    <w:rsid w:val="003C43BF"/>
    <w:rsid w:val="003D1E4B"/>
    <w:rsid w:val="003D292D"/>
    <w:rsid w:val="003D775E"/>
    <w:rsid w:val="003E2FA4"/>
    <w:rsid w:val="003E3E3A"/>
    <w:rsid w:val="003F02B4"/>
    <w:rsid w:val="003F05A9"/>
    <w:rsid w:val="003F201D"/>
    <w:rsid w:val="003F3FB4"/>
    <w:rsid w:val="003F4069"/>
    <w:rsid w:val="003F5058"/>
    <w:rsid w:val="003F5CA2"/>
    <w:rsid w:val="0040100F"/>
    <w:rsid w:val="00402AAB"/>
    <w:rsid w:val="0041023C"/>
    <w:rsid w:val="00414524"/>
    <w:rsid w:val="004147C5"/>
    <w:rsid w:val="0041495C"/>
    <w:rsid w:val="00414DEA"/>
    <w:rsid w:val="0041567E"/>
    <w:rsid w:val="0041765E"/>
    <w:rsid w:val="004178C3"/>
    <w:rsid w:val="004178E6"/>
    <w:rsid w:val="00421DAD"/>
    <w:rsid w:val="00425BCA"/>
    <w:rsid w:val="004276C4"/>
    <w:rsid w:val="004326F5"/>
    <w:rsid w:val="00433F4B"/>
    <w:rsid w:val="00435D1F"/>
    <w:rsid w:val="00440BFF"/>
    <w:rsid w:val="00440C10"/>
    <w:rsid w:val="00440F3D"/>
    <w:rsid w:val="00442B41"/>
    <w:rsid w:val="00442D9D"/>
    <w:rsid w:val="004466B9"/>
    <w:rsid w:val="004526DA"/>
    <w:rsid w:val="00453773"/>
    <w:rsid w:val="004547E7"/>
    <w:rsid w:val="00455038"/>
    <w:rsid w:val="00456AED"/>
    <w:rsid w:val="00463809"/>
    <w:rsid w:val="00464654"/>
    <w:rsid w:val="00465C75"/>
    <w:rsid w:val="004729A4"/>
    <w:rsid w:val="00474871"/>
    <w:rsid w:val="00477AF3"/>
    <w:rsid w:val="00480015"/>
    <w:rsid w:val="00480A1F"/>
    <w:rsid w:val="00484BE3"/>
    <w:rsid w:val="00484FCC"/>
    <w:rsid w:val="0048581D"/>
    <w:rsid w:val="00486B64"/>
    <w:rsid w:val="00486E9F"/>
    <w:rsid w:val="0049081B"/>
    <w:rsid w:val="00492B08"/>
    <w:rsid w:val="00493B82"/>
    <w:rsid w:val="00495EC2"/>
    <w:rsid w:val="0049607E"/>
    <w:rsid w:val="00496D0A"/>
    <w:rsid w:val="004A0654"/>
    <w:rsid w:val="004A2A3F"/>
    <w:rsid w:val="004A44F8"/>
    <w:rsid w:val="004A5C6A"/>
    <w:rsid w:val="004A6495"/>
    <w:rsid w:val="004B1692"/>
    <w:rsid w:val="004B3E93"/>
    <w:rsid w:val="004B6E2D"/>
    <w:rsid w:val="004D07FB"/>
    <w:rsid w:val="004D35F5"/>
    <w:rsid w:val="004D4E99"/>
    <w:rsid w:val="004E226C"/>
    <w:rsid w:val="004E334F"/>
    <w:rsid w:val="004F3952"/>
    <w:rsid w:val="00500AE9"/>
    <w:rsid w:val="00501F0C"/>
    <w:rsid w:val="00502BE7"/>
    <w:rsid w:val="0050338C"/>
    <w:rsid w:val="005048AE"/>
    <w:rsid w:val="005059AE"/>
    <w:rsid w:val="00506CC5"/>
    <w:rsid w:val="005166B4"/>
    <w:rsid w:val="005236B4"/>
    <w:rsid w:val="00525D9D"/>
    <w:rsid w:val="00526BD6"/>
    <w:rsid w:val="00526C07"/>
    <w:rsid w:val="00530F45"/>
    <w:rsid w:val="00531A07"/>
    <w:rsid w:val="0053434F"/>
    <w:rsid w:val="005375E8"/>
    <w:rsid w:val="0054406A"/>
    <w:rsid w:val="00544D18"/>
    <w:rsid w:val="00545B2E"/>
    <w:rsid w:val="00546479"/>
    <w:rsid w:val="00551ABE"/>
    <w:rsid w:val="00552554"/>
    <w:rsid w:val="005539A7"/>
    <w:rsid w:val="00561B4D"/>
    <w:rsid w:val="0056382E"/>
    <w:rsid w:val="00566D3E"/>
    <w:rsid w:val="00567627"/>
    <w:rsid w:val="00567EDA"/>
    <w:rsid w:val="005700AE"/>
    <w:rsid w:val="005728A9"/>
    <w:rsid w:val="00572B83"/>
    <w:rsid w:val="00573BA4"/>
    <w:rsid w:val="00577E47"/>
    <w:rsid w:val="005815E5"/>
    <w:rsid w:val="00582688"/>
    <w:rsid w:val="0058372D"/>
    <w:rsid w:val="005841EE"/>
    <w:rsid w:val="00584909"/>
    <w:rsid w:val="00591769"/>
    <w:rsid w:val="00593482"/>
    <w:rsid w:val="0059627C"/>
    <w:rsid w:val="005A21BB"/>
    <w:rsid w:val="005A365F"/>
    <w:rsid w:val="005A77D9"/>
    <w:rsid w:val="005B3979"/>
    <w:rsid w:val="005B4314"/>
    <w:rsid w:val="005B4C5D"/>
    <w:rsid w:val="005B6A09"/>
    <w:rsid w:val="005C16D3"/>
    <w:rsid w:val="005C489E"/>
    <w:rsid w:val="005C5258"/>
    <w:rsid w:val="005C74E5"/>
    <w:rsid w:val="005C7E91"/>
    <w:rsid w:val="005D44A1"/>
    <w:rsid w:val="005D5F31"/>
    <w:rsid w:val="005E483A"/>
    <w:rsid w:val="005F0345"/>
    <w:rsid w:val="005F07C5"/>
    <w:rsid w:val="005F0BD4"/>
    <w:rsid w:val="005F471A"/>
    <w:rsid w:val="006061F2"/>
    <w:rsid w:val="00610BD3"/>
    <w:rsid w:val="00612914"/>
    <w:rsid w:val="00614D1F"/>
    <w:rsid w:val="00615086"/>
    <w:rsid w:val="0061670D"/>
    <w:rsid w:val="006171D9"/>
    <w:rsid w:val="00617A47"/>
    <w:rsid w:val="00617BB6"/>
    <w:rsid w:val="00623329"/>
    <w:rsid w:val="0062720E"/>
    <w:rsid w:val="006362C1"/>
    <w:rsid w:val="006378BB"/>
    <w:rsid w:val="0064485E"/>
    <w:rsid w:val="006452D4"/>
    <w:rsid w:val="00645CAF"/>
    <w:rsid w:val="006466E8"/>
    <w:rsid w:val="00646EC6"/>
    <w:rsid w:val="00653262"/>
    <w:rsid w:val="00654E17"/>
    <w:rsid w:val="00655EE0"/>
    <w:rsid w:val="00657FD6"/>
    <w:rsid w:val="00663F22"/>
    <w:rsid w:val="00667144"/>
    <w:rsid w:val="00671EB0"/>
    <w:rsid w:val="006735B1"/>
    <w:rsid w:val="006754FE"/>
    <w:rsid w:val="00687847"/>
    <w:rsid w:val="00690D4F"/>
    <w:rsid w:val="00691CBD"/>
    <w:rsid w:val="00691EA3"/>
    <w:rsid w:val="00693F3B"/>
    <w:rsid w:val="00695009"/>
    <w:rsid w:val="00696528"/>
    <w:rsid w:val="006A250E"/>
    <w:rsid w:val="006A32EB"/>
    <w:rsid w:val="006A45EC"/>
    <w:rsid w:val="006A65EB"/>
    <w:rsid w:val="006B25CC"/>
    <w:rsid w:val="006B37AF"/>
    <w:rsid w:val="006B383C"/>
    <w:rsid w:val="006C0598"/>
    <w:rsid w:val="006C51AF"/>
    <w:rsid w:val="006C52DB"/>
    <w:rsid w:val="006C5E99"/>
    <w:rsid w:val="006D432B"/>
    <w:rsid w:val="006D55D5"/>
    <w:rsid w:val="006D7B46"/>
    <w:rsid w:val="006E0334"/>
    <w:rsid w:val="006E2571"/>
    <w:rsid w:val="006E31AF"/>
    <w:rsid w:val="006E58F2"/>
    <w:rsid w:val="006E62B0"/>
    <w:rsid w:val="006F7271"/>
    <w:rsid w:val="00703B11"/>
    <w:rsid w:val="00705192"/>
    <w:rsid w:val="0070537B"/>
    <w:rsid w:val="00706A53"/>
    <w:rsid w:val="00707CDB"/>
    <w:rsid w:val="0071147B"/>
    <w:rsid w:val="00711703"/>
    <w:rsid w:val="007146BC"/>
    <w:rsid w:val="00715362"/>
    <w:rsid w:val="0071557F"/>
    <w:rsid w:val="00716BF4"/>
    <w:rsid w:val="007176B8"/>
    <w:rsid w:val="0072225E"/>
    <w:rsid w:val="00722646"/>
    <w:rsid w:val="00723A05"/>
    <w:rsid w:val="00724F9A"/>
    <w:rsid w:val="00725369"/>
    <w:rsid w:val="007277EB"/>
    <w:rsid w:val="0073266E"/>
    <w:rsid w:val="00733066"/>
    <w:rsid w:val="007331BB"/>
    <w:rsid w:val="007345EA"/>
    <w:rsid w:val="00734F6A"/>
    <w:rsid w:val="00736EF3"/>
    <w:rsid w:val="007377FE"/>
    <w:rsid w:val="0074183D"/>
    <w:rsid w:val="007602D1"/>
    <w:rsid w:val="00764538"/>
    <w:rsid w:val="00765D1A"/>
    <w:rsid w:val="0077143F"/>
    <w:rsid w:val="007741CD"/>
    <w:rsid w:val="007765C4"/>
    <w:rsid w:val="007806BB"/>
    <w:rsid w:val="0078076A"/>
    <w:rsid w:val="007810D0"/>
    <w:rsid w:val="00781B4E"/>
    <w:rsid w:val="00782EDA"/>
    <w:rsid w:val="0078372F"/>
    <w:rsid w:val="00784B4E"/>
    <w:rsid w:val="00786E9C"/>
    <w:rsid w:val="00790A4F"/>
    <w:rsid w:val="0079101C"/>
    <w:rsid w:val="007A0CE1"/>
    <w:rsid w:val="007B042E"/>
    <w:rsid w:val="007B1C95"/>
    <w:rsid w:val="007B2FFA"/>
    <w:rsid w:val="007B4CDA"/>
    <w:rsid w:val="007B5B88"/>
    <w:rsid w:val="007C34B2"/>
    <w:rsid w:val="007C4110"/>
    <w:rsid w:val="007D3B45"/>
    <w:rsid w:val="007D4E5C"/>
    <w:rsid w:val="007D75E7"/>
    <w:rsid w:val="007E50B2"/>
    <w:rsid w:val="007E69DF"/>
    <w:rsid w:val="007E6CCB"/>
    <w:rsid w:val="007E7E77"/>
    <w:rsid w:val="007F355D"/>
    <w:rsid w:val="007F3E1F"/>
    <w:rsid w:val="007F626C"/>
    <w:rsid w:val="007F6ECF"/>
    <w:rsid w:val="00804379"/>
    <w:rsid w:val="0080453F"/>
    <w:rsid w:val="008050F6"/>
    <w:rsid w:val="008069B4"/>
    <w:rsid w:val="00807A99"/>
    <w:rsid w:val="00815863"/>
    <w:rsid w:val="00816115"/>
    <w:rsid w:val="008165F2"/>
    <w:rsid w:val="00820172"/>
    <w:rsid w:val="008212DC"/>
    <w:rsid w:val="00822A0A"/>
    <w:rsid w:val="0082302E"/>
    <w:rsid w:val="00824480"/>
    <w:rsid w:val="008254EF"/>
    <w:rsid w:val="00826251"/>
    <w:rsid w:val="008270D9"/>
    <w:rsid w:val="0083359D"/>
    <w:rsid w:val="00833911"/>
    <w:rsid w:val="00834C4E"/>
    <w:rsid w:val="00840F9E"/>
    <w:rsid w:val="00842B30"/>
    <w:rsid w:val="00843836"/>
    <w:rsid w:val="00845CC3"/>
    <w:rsid w:val="00847FA3"/>
    <w:rsid w:val="00851C5B"/>
    <w:rsid w:val="00851FF7"/>
    <w:rsid w:val="008528D0"/>
    <w:rsid w:val="008547C2"/>
    <w:rsid w:val="00855316"/>
    <w:rsid w:val="00861036"/>
    <w:rsid w:val="00863932"/>
    <w:rsid w:val="0086491E"/>
    <w:rsid w:val="00864B5B"/>
    <w:rsid w:val="0086593F"/>
    <w:rsid w:val="008659AE"/>
    <w:rsid w:val="00867D15"/>
    <w:rsid w:val="00870139"/>
    <w:rsid w:val="00870C82"/>
    <w:rsid w:val="00872FAC"/>
    <w:rsid w:val="008749B9"/>
    <w:rsid w:val="008765B8"/>
    <w:rsid w:val="0087663B"/>
    <w:rsid w:val="00877B92"/>
    <w:rsid w:val="008815DA"/>
    <w:rsid w:val="00882879"/>
    <w:rsid w:val="00884743"/>
    <w:rsid w:val="00885115"/>
    <w:rsid w:val="008871B7"/>
    <w:rsid w:val="008878D2"/>
    <w:rsid w:val="00890E10"/>
    <w:rsid w:val="00891C16"/>
    <w:rsid w:val="00893E71"/>
    <w:rsid w:val="008943FF"/>
    <w:rsid w:val="008A5E76"/>
    <w:rsid w:val="008A6D8C"/>
    <w:rsid w:val="008A6D98"/>
    <w:rsid w:val="008A7037"/>
    <w:rsid w:val="008B13C1"/>
    <w:rsid w:val="008B3023"/>
    <w:rsid w:val="008B75D1"/>
    <w:rsid w:val="008C0972"/>
    <w:rsid w:val="008C296D"/>
    <w:rsid w:val="008C53B4"/>
    <w:rsid w:val="008C55C0"/>
    <w:rsid w:val="008C60F3"/>
    <w:rsid w:val="008C7EA4"/>
    <w:rsid w:val="008D3DD9"/>
    <w:rsid w:val="008D4536"/>
    <w:rsid w:val="008D7C9A"/>
    <w:rsid w:val="008E0AA3"/>
    <w:rsid w:val="008E13A5"/>
    <w:rsid w:val="008E3DE6"/>
    <w:rsid w:val="008E4D01"/>
    <w:rsid w:val="008E76C3"/>
    <w:rsid w:val="008F4FCD"/>
    <w:rsid w:val="008F53CF"/>
    <w:rsid w:val="009006E4"/>
    <w:rsid w:val="009045F1"/>
    <w:rsid w:val="009116B4"/>
    <w:rsid w:val="00913FF2"/>
    <w:rsid w:val="00915077"/>
    <w:rsid w:val="00917988"/>
    <w:rsid w:val="00922E8F"/>
    <w:rsid w:val="0092333F"/>
    <w:rsid w:val="00923EC5"/>
    <w:rsid w:val="00932C73"/>
    <w:rsid w:val="0093352F"/>
    <w:rsid w:val="009364F7"/>
    <w:rsid w:val="009372A7"/>
    <w:rsid w:val="00940234"/>
    <w:rsid w:val="009406C4"/>
    <w:rsid w:val="009448EF"/>
    <w:rsid w:val="00947AFD"/>
    <w:rsid w:val="00947BAE"/>
    <w:rsid w:val="00951A50"/>
    <w:rsid w:val="009545E2"/>
    <w:rsid w:val="009567CA"/>
    <w:rsid w:val="00957428"/>
    <w:rsid w:val="00957DA4"/>
    <w:rsid w:val="009617AE"/>
    <w:rsid w:val="00965825"/>
    <w:rsid w:val="00966338"/>
    <w:rsid w:val="00966D51"/>
    <w:rsid w:val="00967C32"/>
    <w:rsid w:val="00970BFC"/>
    <w:rsid w:val="009730FF"/>
    <w:rsid w:val="00974CB3"/>
    <w:rsid w:val="009757BE"/>
    <w:rsid w:val="009806EC"/>
    <w:rsid w:val="009814BC"/>
    <w:rsid w:val="00983C88"/>
    <w:rsid w:val="009850F8"/>
    <w:rsid w:val="00985E2D"/>
    <w:rsid w:val="00986201"/>
    <w:rsid w:val="00987D0D"/>
    <w:rsid w:val="00991917"/>
    <w:rsid w:val="00991E30"/>
    <w:rsid w:val="00992E8A"/>
    <w:rsid w:val="00993329"/>
    <w:rsid w:val="00993B29"/>
    <w:rsid w:val="00993E0A"/>
    <w:rsid w:val="00995B3F"/>
    <w:rsid w:val="00996F2A"/>
    <w:rsid w:val="00996F94"/>
    <w:rsid w:val="0099765F"/>
    <w:rsid w:val="00997C94"/>
    <w:rsid w:val="009A0471"/>
    <w:rsid w:val="009A48A1"/>
    <w:rsid w:val="009A50AE"/>
    <w:rsid w:val="009A56A7"/>
    <w:rsid w:val="009A7E96"/>
    <w:rsid w:val="009B2E5B"/>
    <w:rsid w:val="009B31FD"/>
    <w:rsid w:val="009C0534"/>
    <w:rsid w:val="009C0CDC"/>
    <w:rsid w:val="009C1ACD"/>
    <w:rsid w:val="009D2771"/>
    <w:rsid w:val="009D4B0B"/>
    <w:rsid w:val="009D5CFF"/>
    <w:rsid w:val="009D641D"/>
    <w:rsid w:val="009E396E"/>
    <w:rsid w:val="009E3D47"/>
    <w:rsid w:val="009E753D"/>
    <w:rsid w:val="009E7877"/>
    <w:rsid w:val="009F0964"/>
    <w:rsid w:val="009F33FB"/>
    <w:rsid w:val="009F7681"/>
    <w:rsid w:val="00A01C2C"/>
    <w:rsid w:val="00A02626"/>
    <w:rsid w:val="00A0372F"/>
    <w:rsid w:val="00A05C40"/>
    <w:rsid w:val="00A10A8D"/>
    <w:rsid w:val="00A11A0D"/>
    <w:rsid w:val="00A2082F"/>
    <w:rsid w:val="00A2302F"/>
    <w:rsid w:val="00A2790E"/>
    <w:rsid w:val="00A36D8C"/>
    <w:rsid w:val="00A3799F"/>
    <w:rsid w:val="00A37F70"/>
    <w:rsid w:val="00A514CF"/>
    <w:rsid w:val="00A51FA3"/>
    <w:rsid w:val="00A53512"/>
    <w:rsid w:val="00A53559"/>
    <w:rsid w:val="00A5781B"/>
    <w:rsid w:val="00A60015"/>
    <w:rsid w:val="00A60593"/>
    <w:rsid w:val="00A6237F"/>
    <w:rsid w:val="00A7220E"/>
    <w:rsid w:val="00A74171"/>
    <w:rsid w:val="00A76885"/>
    <w:rsid w:val="00A76CB0"/>
    <w:rsid w:val="00A76DE7"/>
    <w:rsid w:val="00A77BB4"/>
    <w:rsid w:val="00A80BE1"/>
    <w:rsid w:val="00A81B6A"/>
    <w:rsid w:val="00AA6355"/>
    <w:rsid w:val="00AA6BFF"/>
    <w:rsid w:val="00AA707B"/>
    <w:rsid w:val="00AA7B34"/>
    <w:rsid w:val="00AB00EA"/>
    <w:rsid w:val="00AB2883"/>
    <w:rsid w:val="00AB2C71"/>
    <w:rsid w:val="00AB2EF1"/>
    <w:rsid w:val="00AB4166"/>
    <w:rsid w:val="00AB7E91"/>
    <w:rsid w:val="00AC0859"/>
    <w:rsid w:val="00AC4187"/>
    <w:rsid w:val="00AD0548"/>
    <w:rsid w:val="00AD335E"/>
    <w:rsid w:val="00AD401F"/>
    <w:rsid w:val="00AD63FA"/>
    <w:rsid w:val="00AE0FCE"/>
    <w:rsid w:val="00AE27DB"/>
    <w:rsid w:val="00AE3647"/>
    <w:rsid w:val="00AE40BB"/>
    <w:rsid w:val="00AF119A"/>
    <w:rsid w:val="00B03893"/>
    <w:rsid w:val="00B05169"/>
    <w:rsid w:val="00B24209"/>
    <w:rsid w:val="00B315A6"/>
    <w:rsid w:val="00B32591"/>
    <w:rsid w:val="00B3471A"/>
    <w:rsid w:val="00B3513D"/>
    <w:rsid w:val="00B35166"/>
    <w:rsid w:val="00B36141"/>
    <w:rsid w:val="00B36F2F"/>
    <w:rsid w:val="00B375BE"/>
    <w:rsid w:val="00B4077D"/>
    <w:rsid w:val="00B439AC"/>
    <w:rsid w:val="00B43A2C"/>
    <w:rsid w:val="00B43EB7"/>
    <w:rsid w:val="00B451D1"/>
    <w:rsid w:val="00B466B9"/>
    <w:rsid w:val="00B46BE6"/>
    <w:rsid w:val="00B566A6"/>
    <w:rsid w:val="00B578A8"/>
    <w:rsid w:val="00B57CB6"/>
    <w:rsid w:val="00B64E73"/>
    <w:rsid w:val="00B73D47"/>
    <w:rsid w:val="00B7526C"/>
    <w:rsid w:val="00B829E6"/>
    <w:rsid w:val="00B9060C"/>
    <w:rsid w:val="00B95DC7"/>
    <w:rsid w:val="00B96CDF"/>
    <w:rsid w:val="00BA0733"/>
    <w:rsid w:val="00BA56C3"/>
    <w:rsid w:val="00BB0726"/>
    <w:rsid w:val="00BB7E57"/>
    <w:rsid w:val="00BC0804"/>
    <w:rsid w:val="00BC74B6"/>
    <w:rsid w:val="00BC7680"/>
    <w:rsid w:val="00BD0BCA"/>
    <w:rsid w:val="00BD5076"/>
    <w:rsid w:val="00BD6C19"/>
    <w:rsid w:val="00BE2E7F"/>
    <w:rsid w:val="00BF167D"/>
    <w:rsid w:val="00BF3F54"/>
    <w:rsid w:val="00BF410A"/>
    <w:rsid w:val="00BF443F"/>
    <w:rsid w:val="00C01DC0"/>
    <w:rsid w:val="00C023F8"/>
    <w:rsid w:val="00C02FC1"/>
    <w:rsid w:val="00C0567F"/>
    <w:rsid w:val="00C11241"/>
    <w:rsid w:val="00C14B3A"/>
    <w:rsid w:val="00C20939"/>
    <w:rsid w:val="00C23B69"/>
    <w:rsid w:val="00C323A4"/>
    <w:rsid w:val="00C34ACF"/>
    <w:rsid w:val="00C34D80"/>
    <w:rsid w:val="00C36D7C"/>
    <w:rsid w:val="00C40222"/>
    <w:rsid w:val="00C4078D"/>
    <w:rsid w:val="00C4090B"/>
    <w:rsid w:val="00C40E79"/>
    <w:rsid w:val="00C4113E"/>
    <w:rsid w:val="00C46635"/>
    <w:rsid w:val="00C4762E"/>
    <w:rsid w:val="00C51DB9"/>
    <w:rsid w:val="00C53D74"/>
    <w:rsid w:val="00C54142"/>
    <w:rsid w:val="00C551C5"/>
    <w:rsid w:val="00C57DA6"/>
    <w:rsid w:val="00C628EA"/>
    <w:rsid w:val="00C644A2"/>
    <w:rsid w:val="00C67B7A"/>
    <w:rsid w:val="00C70185"/>
    <w:rsid w:val="00C7778E"/>
    <w:rsid w:val="00C82755"/>
    <w:rsid w:val="00C83A4A"/>
    <w:rsid w:val="00C90D77"/>
    <w:rsid w:val="00C93A21"/>
    <w:rsid w:val="00CA37CE"/>
    <w:rsid w:val="00CA7462"/>
    <w:rsid w:val="00CB2391"/>
    <w:rsid w:val="00CB39FA"/>
    <w:rsid w:val="00CB4A4F"/>
    <w:rsid w:val="00CB6A85"/>
    <w:rsid w:val="00CB7E08"/>
    <w:rsid w:val="00CC08F7"/>
    <w:rsid w:val="00CC096E"/>
    <w:rsid w:val="00CC263C"/>
    <w:rsid w:val="00CC3A21"/>
    <w:rsid w:val="00CC57B4"/>
    <w:rsid w:val="00CD05F7"/>
    <w:rsid w:val="00CD22A8"/>
    <w:rsid w:val="00CE1629"/>
    <w:rsid w:val="00CE2021"/>
    <w:rsid w:val="00CE4953"/>
    <w:rsid w:val="00CE4C3D"/>
    <w:rsid w:val="00CE5390"/>
    <w:rsid w:val="00CE61B1"/>
    <w:rsid w:val="00CF2D23"/>
    <w:rsid w:val="00CF6522"/>
    <w:rsid w:val="00D0182A"/>
    <w:rsid w:val="00D01E6B"/>
    <w:rsid w:val="00D057FF"/>
    <w:rsid w:val="00D14734"/>
    <w:rsid w:val="00D2369E"/>
    <w:rsid w:val="00D24953"/>
    <w:rsid w:val="00D253B9"/>
    <w:rsid w:val="00D27618"/>
    <w:rsid w:val="00D318FE"/>
    <w:rsid w:val="00D3240E"/>
    <w:rsid w:val="00D35D3D"/>
    <w:rsid w:val="00D36236"/>
    <w:rsid w:val="00D3633F"/>
    <w:rsid w:val="00D405DB"/>
    <w:rsid w:val="00D42D28"/>
    <w:rsid w:val="00D44B4D"/>
    <w:rsid w:val="00D50E6D"/>
    <w:rsid w:val="00D536E4"/>
    <w:rsid w:val="00D553EE"/>
    <w:rsid w:val="00D56C0E"/>
    <w:rsid w:val="00D57E82"/>
    <w:rsid w:val="00D61BEE"/>
    <w:rsid w:val="00D64CEA"/>
    <w:rsid w:val="00D67114"/>
    <w:rsid w:val="00D70E62"/>
    <w:rsid w:val="00D74ECA"/>
    <w:rsid w:val="00D77AB3"/>
    <w:rsid w:val="00D8061B"/>
    <w:rsid w:val="00D82D5F"/>
    <w:rsid w:val="00D865E6"/>
    <w:rsid w:val="00D869DA"/>
    <w:rsid w:val="00D8707F"/>
    <w:rsid w:val="00D90B59"/>
    <w:rsid w:val="00DA339A"/>
    <w:rsid w:val="00DA3837"/>
    <w:rsid w:val="00DA514A"/>
    <w:rsid w:val="00DA6489"/>
    <w:rsid w:val="00DA77F9"/>
    <w:rsid w:val="00DA7CD6"/>
    <w:rsid w:val="00DB2ACF"/>
    <w:rsid w:val="00DB44BA"/>
    <w:rsid w:val="00DB6C04"/>
    <w:rsid w:val="00DC0E5D"/>
    <w:rsid w:val="00DC217E"/>
    <w:rsid w:val="00DC41B0"/>
    <w:rsid w:val="00DC5CE7"/>
    <w:rsid w:val="00DD0964"/>
    <w:rsid w:val="00DD48A5"/>
    <w:rsid w:val="00DE23B4"/>
    <w:rsid w:val="00DE56C5"/>
    <w:rsid w:val="00DF0347"/>
    <w:rsid w:val="00DF2C24"/>
    <w:rsid w:val="00DF4103"/>
    <w:rsid w:val="00DF4109"/>
    <w:rsid w:val="00DF7ECC"/>
    <w:rsid w:val="00E07D41"/>
    <w:rsid w:val="00E11261"/>
    <w:rsid w:val="00E142FC"/>
    <w:rsid w:val="00E20426"/>
    <w:rsid w:val="00E21DF0"/>
    <w:rsid w:val="00E2303B"/>
    <w:rsid w:val="00E2519F"/>
    <w:rsid w:val="00E3153B"/>
    <w:rsid w:val="00E371E9"/>
    <w:rsid w:val="00E42918"/>
    <w:rsid w:val="00E44785"/>
    <w:rsid w:val="00E4709E"/>
    <w:rsid w:val="00E5158F"/>
    <w:rsid w:val="00E546AB"/>
    <w:rsid w:val="00E54BC2"/>
    <w:rsid w:val="00E55771"/>
    <w:rsid w:val="00E565F0"/>
    <w:rsid w:val="00E57A4A"/>
    <w:rsid w:val="00E60FE5"/>
    <w:rsid w:val="00E620BE"/>
    <w:rsid w:val="00E66B79"/>
    <w:rsid w:val="00E73620"/>
    <w:rsid w:val="00E76FF9"/>
    <w:rsid w:val="00E90B5F"/>
    <w:rsid w:val="00E92DF8"/>
    <w:rsid w:val="00E93240"/>
    <w:rsid w:val="00E94A7C"/>
    <w:rsid w:val="00EA6095"/>
    <w:rsid w:val="00EC10F7"/>
    <w:rsid w:val="00EC4D54"/>
    <w:rsid w:val="00EC519A"/>
    <w:rsid w:val="00ED0D94"/>
    <w:rsid w:val="00ED5E5C"/>
    <w:rsid w:val="00ED693E"/>
    <w:rsid w:val="00ED6EF2"/>
    <w:rsid w:val="00ED7138"/>
    <w:rsid w:val="00EE102A"/>
    <w:rsid w:val="00EE110A"/>
    <w:rsid w:val="00EE13A7"/>
    <w:rsid w:val="00EE51E8"/>
    <w:rsid w:val="00EE70B6"/>
    <w:rsid w:val="00EF019C"/>
    <w:rsid w:val="00EF09B3"/>
    <w:rsid w:val="00EF4C87"/>
    <w:rsid w:val="00EF6B26"/>
    <w:rsid w:val="00F00253"/>
    <w:rsid w:val="00F00295"/>
    <w:rsid w:val="00F01C8C"/>
    <w:rsid w:val="00F01F82"/>
    <w:rsid w:val="00F0227E"/>
    <w:rsid w:val="00F03CFB"/>
    <w:rsid w:val="00F14D8C"/>
    <w:rsid w:val="00F15627"/>
    <w:rsid w:val="00F222EA"/>
    <w:rsid w:val="00F231C9"/>
    <w:rsid w:val="00F23681"/>
    <w:rsid w:val="00F24085"/>
    <w:rsid w:val="00F3284F"/>
    <w:rsid w:val="00F33F86"/>
    <w:rsid w:val="00F3666D"/>
    <w:rsid w:val="00F41C56"/>
    <w:rsid w:val="00F4266F"/>
    <w:rsid w:val="00F42DB1"/>
    <w:rsid w:val="00F51379"/>
    <w:rsid w:val="00F51E6F"/>
    <w:rsid w:val="00F520D7"/>
    <w:rsid w:val="00F5473B"/>
    <w:rsid w:val="00F566FF"/>
    <w:rsid w:val="00F56EA1"/>
    <w:rsid w:val="00F57E01"/>
    <w:rsid w:val="00F61462"/>
    <w:rsid w:val="00F61A58"/>
    <w:rsid w:val="00F61F2D"/>
    <w:rsid w:val="00F63DB7"/>
    <w:rsid w:val="00F65719"/>
    <w:rsid w:val="00F7322D"/>
    <w:rsid w:val="00F7368B"/>
    <w:rsid w:val="00F73811"/>
    <w:rsid w:val="00F74679"/>
    <w:rsid w:val="00F74CBB"/>
    <w:rsid w:val="00F74FA7"/>
    <w:rsid w:val="00F752AC"/>
    <w:rsid w:val="00F757CD"/>
    <w:rsid w:val="00F81A51"/>
    <w:rsid w:val="00F81F05"/>
    <w:rsid w:val="00F9336A"/>
    <w:rsid w:val="00F97E65"/>
    <w:rsid w:val="00FA0D12"/>
    <w:rsid w:val="00FA143C"/>
    <w:rsid w:val="00FA2E9E"/>
    <w:rsid w:val="00FA35A9"/>
    <w:rsid w:val="00FA4FA4"/>
    <w:rsid w:val="00FB032A"/>
    <w:rsid w:val="00FB365E"/>
    <w:rsid w:val="00FC00B2"/>
    <w:rsid w:val="00FC4CF5"/>
    <w:rsid w:val="00FC4D60"/>
    <w:rsid w:val="00FD0363"/>
    <w:rsid w:val="00FD16BC"/>
    <w:rsid w:val="00FD1DFC"/>
    <w:rsid w:val="00FD322B"/>
    <w:rsid w:val="00FD3BCD"/>
    <w:rsid w:val="00FD6982"/>
    <w:rsid w:val="00FD78B4"/>
    <w:rsid w:val="00FE18B9"/>
    <w:rsid w:val="00FE230F"/>
    <w:rsid w:val="00FE320B"/>
    <w:rsid w:val="00FE56EA"/>
    <w:rsid w:val="00FE5C68"/>
    <w:rsid w:val="00FE6ABE"/>
    <w:rsid w:val="00FE6DDB"/>
    <w:rsid w:val="00FE70D9"/>
    <w:rsid w:val="00FF02D5"/>
    <w:rsid w:val="00FF1DCC"/>
    <w:rsid w:val="00FF2202"/>
    <w:rsid w:val="00FF260C"/>
    <w:rsid w:val="00FF52FC"/>
    <w:rsid w:val="00FF5598"/>
    <w:rsid w:val="00FF66F4"/>
    <w:rsid w:val="7E77E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5A3C9"/>
  <w15:chartTrackingRefBased/>
  <w15:docId w15:val="{C9BDD8D2-791D-4268-B71A-FB5926A7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9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97"/>
    <w:qFormat/>
    <w:rsid w:val="008A7037"/>
    <w:rPr>
      <w:rFonts w:ascii="Times New Roman" w:eastAsia="Times New Roman" w:hAnsi="Times New Roman"/>
      <w:sz w:val="24"/>
      <w:szCs w:val="24"/>
      <w:lang w:val="sk-SK"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3"/>
    <w:qFormat/>
    <w:rsid w:val="007B4CDA"/>
    <w:pPr>
      <w:spacing w:after="240"/>
    </w:pPr>
    <w:rPr>
      <w:lang w:val="en-US" w:eastAsia="en-US"/>
    </w:rPr>
  </w:style>
  <w:style w:type="character" w:customStyle="1" w:styleId="Zkladntext3Char">
    <w:name w:val="Základní text 3 Char"/>
    <w:link w:val="Zkladntext3"/>
    <w:uiPriority w:val="3"/>
    <w:rsid w:val="007B4CDA"/>
    <w:rPr>
      <w:rFonts w:ascii="Times New Roman" w:eastAsia="Times New Roman" w:hAnsi="Times New Roman" w:cs="Times New Roman"/>
      <w:sz w:val="24"/>
      <w:szCs w:val="24"/>
    </w:rPr>
  </w:style>
  <w:style w:type="paragraph" w:styleId="Odstavecseseznamem">
    <w:name w:val="List Paragraph"/>
    <w:aliases w:val="Bullet List,FooterText,numbered,List Paragraph1,Paragraphe de liste1,Bulletr List Paragraph,列出段落,列出段落1,List Paragraph2,List Paragraph21,Párrafo de lista1,Parágrafo da Lista1,リスト段落1,Listeafsnit1,Bullet list,List Paragraph11,列?出?段?落"/>
    <w:basedOn w:val="Normln"/>
    <w:link w:val="OdstavecseseznamemChar"/>
    <w:uiPriority w:val="34"/>
    <w:unhideWhenUsed/>
    <w:qFormat/>
    <w:rsid w:val="007B4CDA"/>
    <w:pPr>
      <w:spacing w:after="240"/>
      <w:ind w:left="720"/>
      <w:contextualSpacing/>
    </w:pPr>
    <w:rPr>
      <w:rFonts w:eastAsia="Calibri"/>
      <w:lang w:val="en-US" w:eastAsia="en-US"/>
    </w:rPr>
  </w:style>
  <w:style w:type="character" w:styleId="Hypertextovodkaz">
    <w:name w:val="Hyperlink"/>
    <w:uiPriority w:val="99"/>
    <w:unhideWhenUsed/>
    <w:rsid w:val="007B4CDA"/>
    <w:rPr>
      <w:color w:val="0000FF"/>
      <w:u w:val="single"/>
    </w:rPr>
  </w:style>
  <w:style w:type="character" w:customStyle="1" w:styleId="normaltextrun">
    <w:name w:val="normaltextrun"/>
    <w:rsid w:val="007B4CDA"/>
  </w:style>
  <w:style w:type="paragraph" w:customStyle="1" w:styleId="paragraph">
    <w:name w:val="paragraph"/>
    <w:basedOn w:val="Normln"/>
    <w:rsid w:val="007B4CDA"/>
    <w:pPr>
      <w:spacing w:before="100" w:beforeAutospacing="1" w:after="100" w:afterAutospacing="1"/>
    </w:pPr>
    <w:rPr>
      <w:lang w:val="en-US" w:eastAsia="en-US"/>
    </w:rPr>
  </w:style>
  <w:style w:type="character" w:customStyle="1" w:styleId="OdstavecseseznamemChar">
    <w:name w:val="Odstavec se seznamem Char"/>
    <w:aliases w:val="Bullet List Char,FooterText Char,numbered Char,List Paragraph1 Char,Paragraphe de liste1 Char,Bulletr List Paragraph Char,列出段落 Char,列出段落1 Char,List Paragraph2 Char,List Paragraph21 Char,Párrafo de lista1 Char,リスト段落1 Char"/>
    <w:link w:val="Odstavecseseznamem"/>
    <w:uiPriority w:val="34"/>
    <w:locked/>
    <w:rsid w:val="007B4CDA"/>
    <w:rPr>
      <w:rFonts w:ascii="Times New Roman" w:eastAsia="Calibri" w:hAnsi="Times New Roman" w:cs="Times New Roman"/>
      <w:sz w:val="24"/>
      <w:szCs w:val="24"/>
    </w:rPr>
  </w:style>
  <w:style w:type="paragraph" w:styleId="Textbubliny">
    <w:name w:val="Balloon Text"/>
    <w:basedOn w:val="Normln"/>
    <w:link w:val="TextbublinyChar"/>
    <w:uiPriority w:val="99"/>
    <w:semiHidden/>
    <w:unhideWhenUsed/>
    <w:rsid w:val="00EC519A"/>
    <w:rPr>
      <w:rFonts w:ascii="Segoe UI" w:hAnsi="Segoe UI" w:cs="Segoe UI"/>
      <w:sz w:val="18"/>
      <w:szCs w:val="18"/>
    </w:rPr>
  </w:style>
  <w:style w:type="character" w:customStyle="1" w:styleId="TextbublinyChar">
    <w:name w:val="Text bubliny Char"/>
    <w:link w:val="Textbubliny"/>
    <w:uiPriority w:val="99"/>
    <w:semiHidden/>
    <w:rsid w:val="00EC519A"/>
    <w:rPr>
      <w:rFonts w:ascii="Segoe UI" w:eastAsia="Calibri" w:hAnsi="Segoe UI" w:cs="Segoe UI"/>
      <w:sz w:val="18"/>
      <w:szCs w:val="18"/>
    </w:rPr>
  </w:style>
  <w:style w:type="paragraph" w:styleId="Zhlav">
    <w:name w:val="header"/>
    <w:basedOn w:val="Normln"/>
    <w:link w:val="ZhlavChar"/>
    <w:uiPriority w:val="99"/>
    <w:unhideWhenUsed/>
    <w:rsid w:val="00690D4F"/>
    <w:pPr>
      <w:tabs>
        <w:tab w:val="center" w:pos="4680"/>
        <w:tab w:val="right" w:pos="9360"/>
      </w:tabs>
    </w:pPr>
    <w:rPr>
      <w:rFonts w:eastAsia="Calibri"/>
      <w:lang w:val="en-US" w:eastAsia="en-US"/>
    </w:rPr>
  </w:style>
  <w:style w:type="character" w:customStyle="1" w:styleId="ZhlavChar">
    <w:name w:val="Záhlaví Char"/>
    <w:link w:val="Zhlav"/>
    <w:uiPriority w:val="99"/>
    <w:rsid w:val="00690D4F"/>
    <w:rPr>
      <w:rFonts w:ascii="Times New Roman" w:eastAsia="Calibri" w:hAnsi="Times New Roman" w:cs="Times New Roman"/>
      <w:sz w:val="24"/>
      <w:szCs w:val="24"/>
    </w:rPr>
  </w:style>
  <w:style w:type="paragraph" w:styleId="Zpat">
    <w:name w:val="footer"/>
    <w:basedOn w:val="Normln"/>
    <w:link w:val="ZpatChar"/>
    <w:uiPriority w:val="99"/>
    <w:unhideWhenUsed/>
    <w:rsid w:val="00690D4F"/>
    <w:pPr>
      <w:tabs>
        <w:tab w:val="center" w:pos="4680"/>
        <w:tab w:val="right" w:pos="9360"/>
      </w:tabs>
    </w:pPr>
    <w:rPr>
      <w:rFonts w:eastAsia="Calibri"/>
      <w:lang w:val="en-US" w:eastAsia="en-US"/>
    </w:rPr>
  </w:style>
  <w:style w:type="character" w:customStyle="1" w:styleId="ZpatChar">
    <w:name w:val="Zápatí Char"/>
    <w:link w:val="Zpat"/>
    <w:uiPriority w:val="99"/>
    <w:rsid w:val="00690D4F"/>
    <w:rPr>
      <w:rFonts w:ascii="Times New Roman" w:eastAsia="Calibri" w:hAnsi="Times New Roman" w:cs="Times New Roman"/>
      <w:sz w:val="24"/>
      <w:szCs w:val="24"/>
    </w:rPr>
  </w:style>
  <w:style w:type="character" w:styleId="Odkaznakoment">
    <w:name w:val="annotation reference"/>
    <w:uiPriority w:val="99"/>
    <w:semiHidden/>
    <w:unhideWhenUsed/>
    <w:rsid w:val="000509F4"/>
    <w:rPr>
      <w:sz w:val="16"/>
      <w:szCs w:val="16"/>
    </w:rPr>
  </w:style>
  <w:style w:type="paragraph" w:styleId="Textkomente">
    <w:name w:val="annotation text"/>
    <w:basedOn w:val="Normln"/>
    <w:link w:val="TextkomenteChar"/>
    <w:uiPriority w:val="99"/>
    <w:semiHidden/>
    <w:unhideWhenUsed/>
    <w:rsid w:val="000509F4"/>
    <w:rPr>
      <w:rFonts w:eastAsia="Calibri"/>
      <w:sz w:val="20"/>
      <w:szCs w:val="20"/>
      <w:lang w:val="en-US" w:eastAsia="en-US"/>
    </w:rPr>
  </w:style>
  <w:style w:type="character" w:customStyle="1" w:styleId="TextkomenteChar">
    <w:name w:val="Text komentáře Char"/>
    <w:link w:val="Textkomente"/>
    <w:uiPriority w:val="99"/>
    <w:semiHidden/>
    <w:rsid w:val="000509F4"/>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509F4"/>
    <w:rPr>
      <w:b/>
      <w:bCs/>
    </w:rPr>
  </w:style>
  <w:style w:type="character" w:customStyle="1" w:styleId="PedmtkomenteChar">
    <w:name w:val="Předmět komentáře Char"/>
    <w:link w:val="Pedmtkomente"/>
    <w:uiPriority w:val="99"/>
    <w:semiHidden/>
    <w:rsid w:val="000509F4"/>
    <w:rPr>
      <w:rFonts w:ascii="Times New Roman" w:eastAsia="Calibri" w:hAnsi="Times New Roman" w:cs="Times New Roman"/>
      <w:b/>
      <w:bCs/>
      <w:sz w:val="20"/>
      <w:szCs w:val="20"/>
    </w:rPr>
  </w:style>
  <w:style w:type="character" w:customStyle="1" w:styleId="xn-person">
    <w:name w:val="xn-person"/>
    <w:basedOn w:val="Standardnpsmoodstavce"/>
    <w:rsid w:val="000509F4"/>
  </w:style>
  <w:style w:type="character" w:styleId="Zdraznn">
    <w:name w:val="Emphasis"/>
    <w:uiPriority w:val="20"/>
    <w:qFormat/>
    <w:rsid w:val="0049607E"/>
    <w:rPr>
      <w:i/>
      <w:iCs/>
    </w:rPr>
  </w:style>
  <w:style w:type="character" w:customStyle="1" w:styleId="xn-location">
    <w:name w:val="xn-location"/>
    <w:basedOn w:val="Standardnpsmoodstavce"/>
    <w:rsid w:val="0049607E"/>
  </w:style>
  <w:style w:type="paragraph" w:styleId="Normlnweb">
    <w:name w:val="Normal (Web)"/>
    <w:basedOn w:val="Normln"/>
    <w:uiPriority w:val="99"/>
    <w:semiHidden/>
    <w:unhideWhenUsed/>
    <w:rsid w:val="00617BB6"/>
    <w:pPr>
      <w:spacing w:before="100" w:beforeAutospacing="1" w:after="100" w:afterAutospacing="1"/>
    </w:pPr>
  </w:style>
  <w:style w:type="character" w:customStyle="1" w:styleId="eop">
    <w:name w:val="eop"/>
    <w:basedOn w:val="Standardnpsmoodstavce"/>
    <w:rsid w:val="00FF5598"/>
  </w:style>
  <w:style w:type="character" w:customStyle="1" w:styleId="scxw10188871">
    <w:name w:val="scxw10188871"/>
    <w:basedOn w:val="Standardnpsmoodstavce"/>
    <w:rsid w:val="00B36141"/>
  </w:style>
  <w:style w:type="paragraph" w:customStyle="1" w:styleId="Default">
    <w:name w:val="Default"/>
    <w:basedOn w:val="Normln"/>
    <w:rsid w:val="009850F8"/>
    <w:pPr>
      <w:autoSpaceDE w:val="0"/>
      <w:autoSpaceDN w:val="0"/>
    </w:pPr>
    <w:rPr>
      <w:rFonts w:ascii="Microsoft Sans Serif" w:eastAsia="Calibri" w:hAnsi="Microsoft Sans Serif" w:cs="Microsoft Sans Serif"/>
      <w:color w:val="000000"/>
      <w:lang w:val="en-US" w:eastAsia="en-US"/>
    </w:rPr>
  </w:style>
  <w:style w:type="character" w:styleId="Nevyeenzmnka">
    <w:name w:val="Unresolved Mention"/>
    <w:uiPriority w:val="99"/>
    <w:semiHidden/>
    <w:unhideWhenUsed/>
    <w:rsid w:val="00232F59"/>
    <w:rPr>
      <w:color w:val="605E5C"/>
      <w:shd w:val="clear" w:color="auto" w:fill="E1DFDD"/>
    </w:rPr>
  </w:style>
  <w:style w:type="paragraph" w:styleId="Revize">
    <w:name w:val="Revision"/>
    <w:hidden/>
    <w:uiPriority w:val="99"/>
    <w:semiHidden/>
    <w:rsid w:val="003E2FA4"/>
    <w:rPr>
      <w:rFonts w:ascii="Times New Roman" w:eastAsia="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827">
      <w:bodyDiv w:val="1"/>
      <w:marLeft w:val="0"/>
      <w:marRight w:val="0"/>
      <w:marTop w:val="0"/>
      <w:marBottom w:val="0"/>
      <w:divBdr>
        <w:top w:val="none" w:sz="0" w:space="0" w:color="auto"/>
        <w:left w:val="none" w:sz="0" w:space="0" w:color="auto"/>
        <w:bottom w:val="none" w:sz="0" w:space="0" w:color="auto"/>
        <w:right w:val="none" w:sz="0" w:space="0" w:color="auto"/>
      </w:divBdr>
    </w:div>
    <w:div w:id="93985976">
      <w:bodyDiv w:val="1"/>
      <w:marLeft w:val="0"/>
      <w:marRight w:val="0"/>
      <w:marTop w:val="0"/>
      <w:marBottom w:val="0"/>
      <w:divBdr>
        <w:top w:val="none" w:sz="0" w:space="0" w:color="auto"/>
        <w:left w:val="none" w:sz="0" w:space="0" w:color="auto"/>
        <w:bottom w:val="none" w:sz="0" w:space="0" w:color="auto"/>
        <w:right w:val="none" w:sz="0" w:space="0" w:color="auto"/>
      </w:divBdr>
    </w:div>
    <w:div w:id="210964842">
      <w:bodyDiv w:val="1"/>
      <w:marLeft w:val="0"/>
      <w:marRight w:val="0"/>
      <w:marTop w:val="0"/>
      <w:marBottom w:val="0"/>
      <w:divBdr>
        <w:top w:val="none" w:sz="0" w:space="0" w:color="auto"/>
        <w:left w:val="none" w:sz="0" w:space="0" w:color="auto"/>
        <w:bottom w:val="none" w:sz="0" w:space="0" w:color="auto"/>
        <w:right w:val="none" w:sz="0" w:space="0" w:color="auto"/>
      </w:divBdr>
    </w:div>
    <w:div w:id="221908357">
      <w:bodyDiv w:val="1"/>
      <w:marLeft w:val="0"/>
      <w:marRight w:val="0"/>
      <w:marTop w:val="0"/>
      <w:marBottom w:val="0"/>
      <w:divBdr>
        <w:top w:val="none" w:sz="0" w:space="0" w:color="auto"/>
        <w:left w:val="none" w:sz="0" w:space="0" w:color="auto"/>
        <w:bottom w:val="none" w:sz="0" w:space="0" w:color="auto"/>
        <w:right w:val="none" w:sz="0" w:space="0" w:color="auto"/>
      </w:divBdr>
      <w:divsChild>
        <w:div w:id="18051340">
          <w:marLeft w:val="0"/>
          <w:marRight w:val="0"/>
          <w:marTop w:val="0"/>
          <w:marBottom w:val="0"/>
          <w:divBdr>
            <w:top w:val="none" w:sz="0" w:space="0" w:color="auto"/>
            <w:left w:val="none" w:sz="0" w:space="0" w:color="auto"/>
            <w:bottom w:val="none" w:sz="0" w:space="0" w:color="auto"/>
            <w:right w:val="none" w:sz="0" w:space="0" w:color="auto"/>
          </w:divBdr>
        </w:div>
        <w:div w:id="418332789">
          <w:marLeft w:val="0"/>
          <w:marRight w:val="0"/>
          <w:marTop w:val="0"/>
          <w:marBottom w:val="0"/>
          <w:divBdr>
            <w:top w:val="none" w:sz="0" w:space="0" w:color="auto"/>
            <w:left w:val="none" w:sz="0" w:space="0" w:color="auto"/>
            <w:bottom w:val="none" w:sz="0" w:space="0" w:color="auto"/>
            <w:right w:val="none" w:sz="0" w:space="0" w:color="auto"/>
          </w:divBdr>
        </w:div>
        <w:div w:id="1439328417">
          <w:marLeft w:val="0"/>
          <w:marRight w:val="0"/>
          <w:marTop w:val="0"/>
          <w:marBottom w:val="0"/>
          <w:divBdr>
            <w:top w:val="none" w:sz="0" w:space="0" w:color="auto"/>
            <w:left w:val="none" w:sz="0" w:space="0" w:color="auto"/>
            <w:bottom w:val="none" w:sz="0" w:space="0" w:color="auto"/>
            <w:right w:val="none" w:sz="0" w:space="0" w:color="auto"/>
          </w:divBdr>
        </w:div>
        <w:div w:id="1542087989">
          <w:marLeft w:val="0"/>
          <w:marRight w:val="0"/>
          <w:marTop w:val="0"/>
          <w:marBottom w:val="0"/>
          <w:divBdr>
            <w:top w:val="none" w:sz="0" w:space="0" w:color="auto"/>
            <w:left w:val="none" w:sz="0" w:space="0" w:color="auto"/>
            <w:bottom w:val="none" w:sz="0" w:space="0" w:color="auto"/>
            <w:right w:val="none" w:sz="0" w:space="0" w:color="auto"/>
          </w:divBdr>
        </w:div>
      </w:divsChild>
    </w:div>
    <w:div w:id="256062137">
      <w:bodyDiv w:val="1"/>
      <w:marLeft w:val="0"/>
      <w:marRight w:val="0"/>
      <w:marTop w:val="0"/>
      <w:marBottom w:val="0"/>
      <w:divBdr>
        <w:top w:val="none" w:sz="0" w:space="0" w:color="auto"/>
        <w:left w:val="none" w:sz="0" w:space="0" w:color="auto"/>
        <w:bottom w:val="none" w:sz="0" w:space="0" w:color="auto"/>
        <w:right w:val="none" w:sz="0" w:space="0" w:color="auto"/>
      </w:divBdr>
    </w:div>
    <w:div w:id="316107301">
      <w:bodyDiv w:val="1"/>
      <w:marLeft w:val="0"/>
      <w:marRight w:val="0"/>
      <w:marTop w:val="0"/>
      <w:marBottom w:val="0"/>
      <w:divBdr>
        <w:top w:val="none" w:sz="0" w:space="0" w:color="auto"/>
        <w:left w:val="none" w:sz="0" w:space="0" w:color="auto"/>
        <w:bottom w:val="none" w:sz="0" w:space="0" w:color="auto"/>
        <w:right w:val="none" w:sz="0" w:space="0" w:color="auto"/>
      </w:divBdr>
      <w:divsChild>
        <w:div w:id="419179704">
          <w:marLeft w:val="0"/>
          <w:marRight w:val="0"/>
          <w:marTop w:val="0"/>
          <w:marBottom w:val="0"/>
          <w:divBdr>
            <w:top w:val="none" w:sz="0" w:space="0" w:color="auto"/>
            <w:left w:val="none" w:sz="0" w:space="0" w:color="auto"/>
            <w:bottom w:val="none" w:sz="0" w:space="0" w:color="auto"/>
            <w:right w:val="none" w:sz="0" w:space="0" w:color="auto"/>
          </w:divBdr>
        </w:div>
        <w:div w:id="1199590923">
          <w:marLeft w:val="0"/>
          <w:marRight w:val="0"/>
          <w:marTop w:val="0"/>
          <w:marBottom w:val="0"/>
          <w:divBdr>
            <w:top w:val="none" w:sz="0" w:space="0" w:color="auto"/>
            <w:left w:val="none" w:sz="0" w:space="0" w:color="auto"/>
            <w:bottom w:val="none" w:sz="0" w:space="0" w:color="auto"/>
            <w:right w:val="none" w:sz="0" w:space="0" w:color="auto"/>
          </w:divBdr>
        </w:div>
        <w:div w:id="1225339416">
          <w:marLeft w:val="0"/>
          <w:marRight w:val="0"/>
          <w:marTop w:val="0"/>
          <w:marBottom w:val="0"/>
          <w:divBdr>
            <w:top w:val="none" w:sz="0" w:space="0" w:color="auto"/>
            <w:left w:val="none" w:sz="0" w:space="0" w:color="auto"/>
            <w:bottom w:val="none" w:sz="0" w:space="0" w:color="auto"/>
            <w:right w:val="none" w:sz="0" w:space="0" w:color="auto"/>
          </w:divBdr>
        </w:div>
      </w:divsChild>
    </w:div>
    <w:div w:id="338966322">
      <w:bodyDiv w:val="1"/>
      <w:marLeft w:val="0"/>
      <w:marRight w:val="0"/>
      <w:marTop w:val="0"/>
      <w:marBottom w:val="0"/>
      <w:divBdr>
        <w:top w:val="none" w:sz="0" w:space="0" w:color="auto"/>
        <w:left w:val="none" w:sz="0" w:space="0" w:color="auto"/>
        <w:bottom w:val="none" w:sz="0" w:space="0" w:color="auto"/>
        <w:right w:val="none" w:sz="0" w:space="0" w:color="auto"/>
      </w:divBdr>
    </w:div>
    <w:div w:id="949047410">
      <w:bodyDiv w:val="1"/>
      <w:marLeft w:val="0"/>
      <w:marRight w:val="0"/>
      <w:marTop w:val="0"/>
      <w:marBottom w:val="0"/>
      <w:divBdr>
        <w:top w:val="none" w:sz="0" w:space="0" w:color="auto"/>
        <w:left w:val="none" w:sz="0" w:space="0" w:color="auto"/>
        <w:bottom w:val="none" w:sz="0" w:space="0" w:color="auto"/>
        <w:right w:val="none" w:sz="0" w:space="0" w:color="auto"/>
      </w:divBdr>
    </w:div>
    <w:div w:id="1004668620">
      <w:bodyDiv w:val="1"/>
      <w:marLeft w:val="0"/>
      <w:marRight w:val="0"/>
      <w:marTop w:val="0"/>
      <w:marBottom w:val="0"/>
      <w:divBdr>
        <w:top w:val="none" w:sz="0" w:space="0" w:color="auto"/>
        <w:left w:val="none" w:sz="0" w:space="0" w:color="auto"/>
        <w:bottom w:val="none" w:sz="0" w:space="0" w:color="auto"/>
        <w:right w:val="none" w:sz="0" w:space="0" w:color="auto"/>
      </w:divBdr>
    </w:div>
    <w:div w:id="1086003094">
      <w:bodyDiv w:val="1"/>
      <w:marLeft w:val="0"/>
      <w:marRight w:val="0"/>
      <w:marTop w:val="0"/>
      <w:marBottom w:val="0"/>
      <w:divBdr>
        <w:top w:val="none" w:sz="0" w:space="0" w:color="auto"/>
        <w:left w:val="none" w:sz="0" w:space="0" w:color="auto"/>
        <w:bottom w:val="none" w:sz="0" w:space="0" w:color="auto"/>
        <w:right w:val="none" w:sz="0" w:space="0" w:color="auto"/>
      </w:divBdr>
      <w:divsChild>
        <w:div w:id="261495935">
          <w:marLeft w:val="0"/>
          <w:marRight w:val="0"/>
          <w:marTop w:val="0"/>
          <w:marBottom w:val="0"/>
          <w:divBdr>
            <w:top w:val="none" w:sz="0" w:space="0" w:color="auto"/>
            <w:left w:val="none" w:sz="0" w:space="0" w:color="auto"/>
            <w:bottom w:val="none" w:sz="0" w:space="0" w:color="auto"/>
            <w:right w:val="none" w:sz="0" w:space="0" w:color="auto"/>
          </w:divBdr>
        </w:div>
        <w:div w:id="874079584">
          <w:marLeft w:val="0"/>
          <w:marRight w:val="0"/>
          <w:marTop w:val="0"/>
          <w:marBottom w:val="0"/>
          <w:divBdr>
            <w:top w:val="none" w:sz="0" w:space="0" w:color="auto"/>
            <w:left w:val="none" w:sz="0" w:space="0" w:color="auto"/>
            <w:bottom w:val="none" w:sz="0" w:space="0" w:color="auto"/>
            <w:right w:val="none" w:sz="0" w:space="0" w:color="auto"/>
          </w:divBdr>
        </w:div>
        <w:div w:id="1426029321">
          <w:marLeft w:val="0"/>
          <w:marRight w:val="0"/>
          <w:marTop w:val="0"/>
          <w:marBottom w:val="0"/>
          <w:divBdr>
            <w:top w:val="none" w:sz="0" w:space="0" w:color="auto"/>
            <w:left w:val="none" w:sz="0" w:space="0" w:color="auto"/>
            <w:bottom w:val="none" w:sz="0" w:space="0" w:color="auto"/>
            <w:right w:val="none" w:sz="0" w:space="0" w:color="auto"/>
          </w:divBdr>
        </w:div>
      </w:divsChild>
    </w:div>
    <w:div w:id="1319651755">
      <w:bodyDiv w:val="1"/>
      <w:marLeft w:val="0"/>
      <w:marRight w:val="0"/>
      <w:marTop w:val="0"/>
      <w:marBottom w:val="0"/>
      <w:divBdr>
        <w:top w:val="none" w:sz="0" w:space="0" w:color="auto"/>
        <w:left w:val="none" w:sz="0" w:space="0" w:color="auto"/>
        <w:bottom w:val="none" w:sz="0" w:space="0" w:color="auto"/>
        <w:right w:val="none" w:sz="0" w:space="0" w:color="auto"/>
      </w:divBdr>
    </w:div>
    <w:div w:id="1530752950">
      <w:bodyDiv w:val="1"/>
      <w:marLeft w:val="0"/>
      <w:marRight w:val="0"/>
      <w:marTop w:val="0"/>
      <w:marBottom w:val="0"/>
      <w:divBdr>
        <w:top w:val="none" w:sz="0" w:space="0" w:color="auto"/>
        <w:left w:val="none" w:sz="0" w:space="0" w:color="auto"/>
        <w:bottom w:val="none" w:sz="0" w:space="0" w:color="auto"/>
        <w:right w:val="none" w:sz="0" w:space="0" w:color="auto"/>
      </w:divBdr>
      <w:divsChild>
        <w:div w:id="1539782952">
          <w:marLeft w:val="0"/>
          <w:marRight w:val="0"/>
          <w:marTop w:val="0"/>
          <w:marBottom w:val="0"/>
          <w:divBdr>
            <w:top w:val="none" w:sz="0" w:space="0" w:color="auto"/>
            <w:left w:val="none" w:sz="0" w:space="0" w:color="auto"/>
            <w:bottom w:val="none" w:sz="0" w:space="0" w:color="auto"/>
            <w:right w:val="none" w:sz="0" w:space="0" w:color="auto"/>
          </w:divBdr>
        </w:div>
      </w:divsChild>
    </w:div>
    <w:div w:id="1694459267">
      <w:bodyDiv w:val="1"/>
      <w:marLeft w:val="0"/>
      <w:marRight w:val="0"/>
      <w:marTop w:val="0"/>
      <w:marBottom w:val="0"/>
      <w:divBdr>
        <w:top w:val="none" w:sz="0" w:space="0" w:color="auto"/>
        <w:left w:val="none" w:sz="0" w:space="0" w:color="auto"/>
        <w:bottom w:val="none" w:sz="0" w:space="0" w:color="auto"/>
        <w:right w:val="none" w:sz="0" w:space="0" w:color="auto"/>
      </w:divBdr>
      <w:divsChild>
        <w:div w:id="285310577">
          <w:marLeft w:val="0"/>
          <w:marRight w:val="0"/>
          <w:marTop w:val="0"/>
          <w:marBottom w:val="0"/>
          <w:divBdr>
            <w:top w:val="none" w:sz="0" w:space="0" w:color="auto"/>
            <w:left w:val="none" w:sz="0" w:space="0" w:color="auto"/>
            <w:bottom w:val="none" w:sz="0" w:space="0" w:color="auto"/>
            <w:right w:val="none" w:sz="0" w:space="0" w:color="auto"/>
          </w:divBdr>
        </w:div>
        <w:div w:id="426853214">
          <w:marLeft w:val="0"/>
          <w:marRight w:val="0"/>
          <w:marTop w:val="0"/>
          <w:marBottom w:val="0"/>
          <w:divBdr>
            <w:top w:val="none" w:sz="0" w:space="0" w:color="auto"/>
            <w:left w:val="none" w:sz="0" w:space="0" w:color="auto"/>
            <w:bottom w:val="none" w:sz="0" w:space="0" w:color="auto"/>
            <w:right w:val="none" w:sz="0" w:space="0" w:color="auto"/>
          </w:divBdr>
        </w:div>
        <w:div w:id="717973285">
          <w:marLeft w:val="0"/>
          <w:marRight w:val="0"/>
          <w:marTop w:val="0"/>
          <w:marBottom w:val="0"/>
          <w:divBdr>
            <w:top w:val="none" w:sz="0" w:space="0" w:color="auto"/>
            <w:left w:val="none" w:sz="0" w:space="0" w:color="auto"/>
            <w:bottom w:val="none" w:sz="0" w:space="0" w:color="auto"/>
            <w:right w:val="none" w:sz="0" w:space="0" w:color="auto"/>
          </w:divBdr>
        </w:div>
      </w:divsChild>
    </w:div>
    <w:div w:id="1882667628">
      <w:bodyDiv w:val="1"/>
      <w:marLeft w:val="0"/>
      <w:marRight w:val="0"/>
      <w:marTop w:val="0"/>
      <w:marBottom w:val="0"/>
      <w:divBdr>
        <w:top w:val="none" w:sz="0" w:space="0" w:color="auto"/>
        <w:left w:val="none" w:sz="0" w:space="0" w:color="auto"/>
        <w:bottom w:val="none" w:sz="0" w:space="0" w:color="auto"/>
        <w:right w:val="none" w:sz="0" w:space="0" w:color="auto"/>
      </w:divBdr>
    </w:div>
    <w:div w:id="1904758244">
      <w:bodyDiv w:val="1"/>
      <w:marLeft w:val="0"/>
      <w:marRight w:val="0"/>
      <w:marTop w:val="0"/>
      <w:marBottom w:val="0"/>
      <w:divBdr>
        <w:top w:val="none" w:sz="0" w:space="0" w:color="auto"/>
        <w:left w:val="none" w:sz="0" w:space="0" w:color="auto"/>
        <w:bottom w:val="none" w:sz="0" w:space="0" w:color="auto"/>
        <w:right w:val="none" w:sz="0" w:space="0" w:color="auto"/>
      </w:divBdr>
    </w:div>
    <w:div w:id="1956784369">
      <w:bodyDiv w:val="1"/>
      <w:marLeft w:val="0"/>
      <w:marRight w:val="0"/>
      <w:marTop w:val="0"/>
      <w:marBottom w:val="0"/>
      <w:divBdr>
        <w:top w:val="none" w:sz="0" w:space="0" w:color="auto"/>
        <w:left w:val="none" w:sz="0" w:space="0" w:color="auto"/>
        <w:bottom w:val="none" w:sz="0" w:space="0" w:color="auto"/>
        <w:right w:val="none" w:sz="0" w:space="0" w:color="auto"/>
      </w:divBdr>
    </w:div>
    <w:div w:id="1963920855">
      <w:bodyDiv w:val="1"/>
      <w:marLeft w:val="0"/>
      <w:marRight w:val="0"/>
      <w:marTop w:val="0"/>
      <w:marBottom w:val="0"/>
      <w:divBdr>
        <w:top w:val="none" w:sz="0" w:space="0" w:color="auto"/>
        <w:left w:val="none" w:sz="0" w:space="0" w:color="auto"/>
        <w:bottom w:val="none" w:sz="0" w:space="0" w:color="auto"/>
        <w:right w:val="none" w:sz="0" w:space="0" w:color="auto"/>
      </w:divBdr>
    </w:div>
    <w:div w:id="1994680869">
      <w:bodyDiv w:val="1"/>
      <w:marLeft w:val="0"/>
      <w:marRight w:val="0"/>
      <w:marTop w:val="0"/>
      <w:marBottom w:val="0"/>
      <w:divBdr>
        <w:top w:val="none" w:sz="0" w:space="0" w:color="auto"/>
        <w:left w:val="none" w:sz="0" w:space="0" w:color="auto"/>
        <w:bottom w:val="none" w:sz="0" w:space="0" w:color="auto"/>
        <w:right w:val="none" w:sz="0" w:space="0" w:color="auto"/>
      </w:divBdr>
    </w:div>
    <w:div w:id="2036611838">
      <w:bodyDiv w:val="1"/>
      <w:marLeft w:val="0"/>
      <w:marRight w:val="0"/>
      <w:marTop w:val="0"/>
      <w:marBottom w:val="0"/>
      <w:divBdr>
        <w:top w:val="none" w:sz="0" w:space="0" w:color="auto"/>
        <w:left w:val="none" w:sz="0" w:space="0" w:color="auto"/>
        <w:bottom w:val="none" w:sz="0" w:space="0" w:color="auto"/>
        <w:right w:val="none" w:sz="0" w:space="0" w:color="auto"/>
      </w:divBdr>
    </w:div>
    <w:div w:id="2091002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kovacova\Library\Group%20Containers\UBF8T346G9.Office\User%20Content.localized\Templates.localized\TS_DaB.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04DAB51672894580A5041504280F0C" ma:contentTypeVersion="12" ma:contentTypeDescription="Create a new document." ma:contentTypeScope="" ma:versionID="b0040fc02a180bc2439cd7f0fd290eeb">
  <xsd:schema xmlns:xsd="http://www.w3.org/2001/XMLSchema" xmlns:xs="http://www.w3.org/2001/XMLSchema" xmlns:p="http://schemas.microsoft.com/office/2006/metadata/properties" xmlns:ns3="edc5fa8e-6944-496f-8a12-01f701a7aa30" xmlns:ns4="d2422bf3-3624-4a44-9316-52917f2893ae" targetNamespace="http://schemas.microsoft.com/office/2006/metadata/properties" ma:root="true" ma:fieldsID="a7ebaf6c8c8e962c0138061d8fdc5938" ns3:_="" ns4:_="">
    <xsd:import namespace="edc5fa8e-6944-496f-8a12-01f701a7aa30"/>
    <xsd:import namespace="d2422bf3-3624-4a44-9316-52917f2893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5fa8e-6944-496f-8a12-01f701a7a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22bf3-3624-4a44-9316-52917f2893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1B1AB2-136F-4205-8C4D-CB74611FB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4A3ADA-617B-4863-9285-190ABBB35982}">
  <ds:schemaRefs>
    <ds:schemaRef ds:uri="http://schemas.microsoft.com/sharepoint/v3/contenttype/forms"/>
  </ds:schemaRefs>
</ds:datastoreItem>
</file>

<file path=customXml/itemProps3.xml><?xml version="1.0" encoding="utf-8"?>
<ds:datastoreItem xmlns:ds="http://schemas.openxmlformats.org/officeDocument/2006/customXml" ds:itemID="{1E4D60C9-835F-4ED7-B85D-F50BD2DF06C6}">
  <ds:schemaRefs>
    <ds:schemaRef ds:uri="http://schemas.openxmlformats.org/officeDocument/2006/bibliography"/>
  </ds:schemaRefs>
</ds:datastoreItem>
</file>

<file path=customXml/itemProps4.xml><?xml version="1.0" encoding="utf-8"?>
<ds:datastoreItem xmlns:ds="http://schemas.openxmlformats.org/officeDocument/2006/customXml" ds:itemID="{FDB0FCB3-C283-469B-86A9-F56EAFC6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fa8e-6944-496f-8a12-01f701a7aa30"/>
    <ds:schemaRef ds:uri="d2422bf3-3624-4a44-9316-52917f289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TS_DaB</Template>
  <TotalTime>8</TotalTime>
  <Pages>5</Pages>
  <Words>2334</Words>
  <Characters>13774</Characters>
  <Application>Microsoft Office Word</Application>
  <DocSecurity>0</DocSecurity>
  <Lines>114</Lines>
  <Paragraphs>32</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Dun and Bradstreet</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Stepanova, Petra</cp:lastModifiedBy>
  <cp:revision>2</cp:revision>
  <dcterms:created xsi:type="dcterms:W3CDTF">2022-10-06T07:35:00Z</dcterms:created>
  <dcterms:modified xsi:type="dcterms:W3CDTF">2022-10-06T07:35:00Z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0x0101007B04DAB51672894580A5041504280F0C</vt:lpwstr>
  </property>
  <property fmtid="{D5CDD505-2E9C-101B-9397-08002B2CF9AE}" pid="3" name="MSIP_Label_670031b2-3468-4b92-8b58-aea60a331e63_Enabled">
    <vt:lpwstr>true</vt:lpwstr>
  </property>
  <property fmtid="{D5CDD505-2E9C-101B-9397-08002B2CF9AE}" pid="4" name="MSIP_Label_670031b2-3468-4b92-8b58-aea60a331e63_SetDate">
    <vt:lpwstr>2021-04-20T12:47:51Z</vt:lpwstr>
  </property>
  <property fmtid="{D5CDD505-2E9C-101B-9397-08002B2CF9AE}" pid="5" name="MSIP_Label_670031b2-3468-4b92-8b58-aea60a331e63_Method">
    <vt:lpwstr>Privileged</vt:lpwstr>
  </property>
  <property fmtid="{D5CDD505-2E9C-101B-9397-08002B2CF9AE}" pid="6" name="MSIP_Label_670031b2-3468-4b92-8b58-aea60a331e63_Name">
    <vt:lpwstr>Public</vt:lpwstr>
  </property>
  <property fmtid="{D5CDD505-2E9C-101B-9397-08002B2CF9AE}" pid="7" name="MSIP_Label_670031b2-3468-4b92-8b58-aea60a331e63_SiteId">
    <vt:lpwstr>051425ec-8def-4861-8d7a-612f8b68919f</vt:lpwstr>
  </property>
  <property fmtid="{D5CDD505-2E9C-101B-9397-08002B2CF9AE}" pid="8" name="MSIP_Label_670031b2-3468-4b92-8b58-aea60a331e63_ActionId">
    <vt:lpwstr>989c8553-059c-4455-a50e-cdfdd5acc954</vt:lpwstr>
  </property>
  <property fmtid="{D5CDD505-2E9C-101B-9397-08002B2CF9AE}" pid="9" name="MSIP_Label_670031b2-3468-4b92-8b58-aea60a331e63_ContentBits">
    <vt:lpwstr>0</vt:lpwstr>
  </property>
  <property fmtid="{D5CDD505-2E9C-101B-9397-08002B2CF9AE}" pid="10" name="MSIP_Label_279eeddc-1c94-446c-a0ef-c3f9c2abfb16_Enabled">
    <vt:lpwstr>true</vt:lpwstr>
  </property>
  <property fmtid="{D5CDD505-2E9C-101B-9397-08002B2CF9AE}" pid="11" name="MSIP_Label_279eeddc-1c94-446c-a0ef-c3f9c2abfb16_SetDate">
    <vt:lpwstr>2022-10-04T13:41:05Z</vt:lpwstr>
  </property>
  <property fmtid="{D5CDD505-2E9C-101B-9397-08002B2CF9AE}" pid="12" name="MSIP_Label_279eeddc-1c94-446c-a0ef-c3f9c2abfb16_Method">
    <vt:lpwstr>Privileged</vt:lpwstr>
  </property>
  <property fmtid="{D5CDD505-2E9C-101B-9397-08002B2CF9AE}" pid="13" name="MSIP_Label_279eeddc-1c94-446c-a0ef-c3f9c2abfb16_Name">
    <vt:lpwstr>279eeddc-1c94-446c-a0ef-c3f9c2abfb16</vt:lpwstr>
  </property>
  <property fmtid="{D5CDD505-2E9C-101B-9397-08002B2CF9AE}" pid="14" name="MSIP_Label_279eeddc-1c94-446c-a0ef-c3f9c2abfb16_SiteId">
    <vt:lpwstr>19e2b708-bf12-4375-9719-8dec42771b3e</vt:lpwstr>
  </property>
  <property fmtid="{D5CDD505-2E9C-101B-9397-08002B2CF9AE}" pid="15" name="MSIP_Label_279eeddc-1c94-446c-a0ef-c3f9c2abfb16_ActionId">
    <vt:lpwstr>0721204f-3d4f-4f4b-bb93-5847ff0a2511</vt:lpwstr>
  </property>
  <property fmtid="{D5CDD505-2E9C-101B-9397-08002B2CF9AE}" pid="16" name="MSIP_Label_279eeddc-1c94-446c-a0ef-c3f9c2abfb16_ContentBits">
    <vt:lpwstr>2</vt:lpwstr>
  </property>
</Properties>
</file>