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D57" w:rsidRDefault="00A00403" w:rsidP="000D599A">
      <w:pPr>
        <w:spacing w:line="360" w:lineRule="auto"/>
        <w:ind w:left="-3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</w:t>
      </w:r>
      <w:r w:rsidR="00CA766C">
        <w:rPr>
          <w:rFonts w:ascii="Verdana" w:hAnsi="Verdana"/>
          <w:b/>
          <w:sz w:val="20"/>
          <w:szCs w:val="20"/>
        </w:rPr>
        <w:tab/>
      </w:r>
      <w:r w:rsidR="002C7F59" w:rsidRPr="002C7F59"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2600325" cy="771525"/>
            <wp:effectExtent l="19050" t="0" r="9525" b="0"/>
            <wp:docPr id="1" name="Afbeelding 1" descr="VVD nieuw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VVD nieuwe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F59" w:rsidRDefault="002C7F59" w:rsidP="00025D57">
      <w:pPr>
        <w:spacing w:line="360" w:lineRule="auto"/>
        <w:ind w:left="-360" w:firstLine="360"/>
        <w:rPr>
          <w:rFonts w:ascii="Verdana" w:hAnsi="Verdana"/>
          <w:b/>
          <w:sz w:val="20"/>
          <w:szCs w:val="20"/>
        </w:rPr>
      </w:pPr>
    </w:p>
    <w:p w:rsidR="003C2D2E" w:rsidRDefault="003C2D2E" w:rsidP="00025D57">
      <w:pPr>
        <w:spacing w:line="360" w:lineRule="auto"/>
        <w:ind w:left="-360" w:firstLine="360"/>
        <w:rPr>
          <w:rFonts w:ascii="Verdana" w:hAnsi="Verdana"/>
          <w:b/>
          <w:sz w:val="20"/>
          <w:szCs w:val="20"/>
        </w:rPr>
      </w:pPr>
    </w:p>
    <w:p w:rsidR="00A00403" w:rsidRDefault="00922461" w:rsidP="00025D57">
      <w:pPr>
        <w:spacing w:line="360" w:lineRule="auto"/>
        <w:ind w:left="-360" w:firstLine="3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Amendement</w:t>
      </w:r>
      <w:r w:rsidR="00316F07">
        <w:rPr>
          <w:rFonts w:ascii="Verdana" w:hAnsi="Verdana"/>
          <w:b/>
          <w:sz w:val="20"/>
          <w:szCs w:val="20"/>
        </w:rPr>
        <w:t xml:space="preserve"> inzake agendapunt </w:t>
      </w:r>
      <w:r>
        <w:rPr>
          <w:rFonts w:ascii="Verdana" w:hAnsi="Verdana"/>
          <w:b/>
          <w:sz w:val="20"/>
          <w:szCs w:val="20"/>
        </w:rPr>
        <w:t>13 IHP primair en voortgezet onderwijs</w:t>
      </w:r>
    </w:p>
    <w:p w:rsidR="00DC71DE" w:rsidRPr="00965DA4" w:rsidRDefault="00A00403" w:rsidP="00276BCD">
      <w:pPr>
        <w:rPr>
          <w:rFonts w:ascii="Verdana" w:hAnsi="Verdana"/>
          <w:b/>
          <w:color w:val="403152" w:themeColor="accent4" w:themeShade="80"/>
          <w:sz w:val="20"/>
          <w:szCs w:val="20"/>
        </w:rPr>
      </w:pPr>
      <w:r w:rsidRPr="00541367">
        <w:rPr>
          <w:rFonts w:ascii="Verdana" w:hAnsi="Verdana"/>
          <w:sz w:val="20"/>
          <w:szCs w:val="20"/>
        </w:rPr>
        <w:t>De Raad van de gemeente Geertruidenberg in ver</w:t>
      </w:r>
      <w:r w:rsidR="00993E89">
        <w:rPr>
          <w:rFonts w:ascii="Verdana" w:hAnsi="Verdana"/>
          <w:sz w:val="20"/>
          <w:szCs w:val="20"/>
        </w:rPr>
        <w:t xml:space="preserve">gadering bijeen op </w:t>
      </w:r>
      <w:r w:rsidR="00922461">
        <w:rPr>
          <w:rFonts w:ascii="Verdana" w:hAnsi="Verdana"/>
          <w:sz w:val="20"/>
          <w:szCs w:val="20"/>
        </w:rPr>
        <w:t>donderdag 25 april 2019.</w:t>
      </w:r>
    </w:p>
    <w:p w:rsidR="002C7F59" w:rsidRPr="00965DA4" w:rsidRDefault="002C7F59" w:rsidP="002C5463">
      <w:pPr>
        <w:jc w:val="both"/>
        <w:rPr>
          <w:rFonts w:ascii="Verdana" w:hAnsi="Verdana" w:cs="Arial"/>
          <w:b/>
          <w:color w:val="403152" w:themeColor="accent4" w:themeShade="80"/>
          <w:sz w:val="20"/>
          <w:szCs w:val="20"/>
        </w:rPr>
      </w:pPr>
    </w:p>
    <w:p w:rsidR="00541367" w:rsidRDefault="00316F07" w:rsidP="002446CE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>
        <w:rPr>
          <w:rFonts w:ascii="Verdana" w:hAnsi="Verdana" w:cs="Arial"/>
          <w:b/>
          <w:color w:val="000000" w:themeColor="text1"/>
          <w:sz w:val="20"/>
          <w:szCs w:val="20"/>
        </w:rPr>
        <w:t>Constaterende dat</w:t>
      </w:r>
      <w:r w:rsidR="00A00403" w:rsidRPr="004B21DD">
        <w:rPr>
          <w:rFonts w:ascii="Verdana" w:hAnsi="Verdana" w:cs="Arial"/>
          <w:b/>
          <w:color w:val="000000" w:themeColor="text1"/>
          <w:sz w:val="20"/>
          <w:szCs w:val="20"/>
        </w:rPr>
        <w:t>:</w:t>
      </w:r>
    </w:p>
    <w:p w:rsidR="00922461" w:rsidRDefault="00DB2C6F" w:rsidP="007313F6">
      <w:pPr>
        <w:pStyle w:val="Lijstalinea"/>
        <w:numPr>
          <w:ilvl w:val="0"/>
          <w:numId w:val="3"/>
        </w:numPr>
        <w:rPr>
          <w:rFonts w:ascii="Verdana" w:hAnsi="Verdana" w:cs="Arial"/>
          <w:color w:val="000000" w:themeColor="text1"/>
          <w:sz w:val="20"/>
          <w:szCs w:val="20"/>
        </w:rPr>
      </w:pPr>
      <w:r w:rsidRPr="006C4368">
        <w:rPr>
          <w:rFonts w:ascii="Verdana" w:hAnsi="Verdana" w:cs="Arial"/>
          <w:color w:val="000000" w:themeColor="text1"/>
          <w:sz w:val="20"/>
          <w:szCs w:val="20"/>
        </w:rPr>
        <w:t>Goed onderwijs plaats dient te vinden in een passende en gezonde huisvesting;</w:t>
      </w:r>
    </w:p>
    <w:p w:rsidR="007313F6" w:rsidRDefault="00DB2C6F" w:rsidP="007313F6">
      <w:pPr>
        <w:pStyle w:val="Lijstalinea"/>
        <w:numPr>
          <w:ilvl w:val="0"/>
          <w:numId w:val="3"/>
        </w:numPr>
        <w:rPr>
          <w:rFonts w:ascii="Verdana" w:hAnsi="Verdana" w:cs="Arial"/>
          <w:color w:val="000000" w:themeColor="text1"/>
          <w:sz w:val="20"/>
          <w:szCs w:val="20"/>
        </w:rPr>
      </w:pPr>
      <w:r w:rsidRPr="006C4368">
        <w:rPr>
          <w:rFonts w:ascii="Verdana" w:hAnsi="Verdana" w:cs="Arial"/>
          <w:color w:val="000000" w:themeColor="text1"/>
          <w:sz w:val="20"/>
          <w:szCs w:val="20"/>
        </w:rPr>
        <w:t xml:space="preserve">Er 7 miljoen euro verschil is tussen het budget </w:t>
      </w:r>
      <w:proofErr w:type="spellStart"/>
      <w:r w:rsidRPr="006C4368">
        <w:rPr>
          <w:rFonts w:ascii="Verdana" w:hAnsi="Verdana" w:cs="Arial"/>
          <w:color w:val="000000" w:themeColor="text1"/>
          <w:sz w:val="20"/>
          <w:szCs w:val="20"/>
        </w:rPr>
        <w:t>o.b.v</w:t>
      </w:r>
      <w:proofErr w:type="spellEnd"/>
      <w:r w:rsidRPr="006C4368">
        <w:rPr>
          <w:rFonts w:ascii="Verdana" w:hAnsi="Verdana" w:cs="Arial"/>
          <w:color w:val="000000" w:themeColor="text1"/>
          <w:sz w:val="20"/>
          <w:szCs w:val="20"/>
        </w:rPr>
        <w:t xml:space="preserve"> het normtarief (22 </w:t>
      </w:r>
      <w:proofErr w:type="spellStart"/>
      <w:r w:rsidRPr="006C4368">
        <w:rPr>
          <w:rFonts w:ascii="Verdana" w:hAnsi="Verdana" w:cs="Arial"/>
          <w:color w:val="000000" w:themeColor="text1"/>
          <w:sz w:val="20"/>
          <w:szCs w:val="20"/>
        </w:rPr>
        <w:t>mln</w:t>
      </w:r>
      <w:proofErr w:type="spellEnd"/>
      <w:r w:rsidRPr="006C4368">
        <w:rPr>
          <w:rFonts w:ascii="Verdana" w:hAnsi="Verdana" w:cs="Arial"/>
          <w:color w:val="000000" w:themeColor="text1"/>
          <w:sz w:val="20"/>
          <w:szCs w:val="20"/>
        </w:rPr>
        <w:t xml:space="preserve">) en het benodigde budget (29 </w:t>
      </w:r>
      <w:proofErr w:type="spellStart"/>
      <w:r w:rsidRPr="006C4368">
        <w:rPr>
          <w:rFonts w:ascii="Verdana" w:hAnsi="Verdana" w:cs="Arial"/>
          <w:color w:val="000000" w:themeColor="text1"/>
          <w:sz w:val="20"/>
          <w:szCs w:val="20"/>
        </w:rPr>
        <w:t>mln</w:t>
      </w:r>
      <w:proofErr w:type="spellEnd"/>
      <w:r w:rsidRPr="006C4368">
        <w:rPr>
          <w:rFonts w:ascii="Verdana" w:hAnsi="Verdana" w:cs="Arial"/>
          <w:color w:val="000000" w:themeColor="text1"/>
          <w:sz w:val="20"/>
          <w:szCs w:val="20"/>
        </w:rPr>
        <w:t>);</w:t>
      </w:r>
      <w:r w:rsidR="007313F6" w:rsidRPr="007313F6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</w:p>
    <w:p w:rsidR="00DB2C6F" w:rsidRDefault="007313F6" w:rsidP="007313F6">
      <w:pPr>
        <w:pStyle w:val="Lijstalinea"/>
        <w:numPr>
          <w:ilvl w:val="0"/>
          <w:numId w:val="3"/>
        </w:numPr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 xml:space="preserve">Ook voor schoolbesturen is er evenwel een belang om werk te maken van verduurzaming van het gebouw en daarmee de exploitatiekosten naar beneden te brengen. </w:t>
      </w:r>
    </w:p>
    <w:p w:rsidR="007313F6" w:rsidRPr="006C4368" w:rsidRDefault="007313F6" w:rsidP="007313F6">
      <w:pPr>
        <w:pStyle w:val="Lijstalinea"/>
        <w:numPr>
          <w:ilvl w:val="0"/>
          <w:numId w:val="3"/>
        </w:numPr>
        <w:rPr>
          <w:rFonts w:ascii="Verdana" w:hAnsi="Verdana" w:cs="Arial"/>
          <w:color w:val="000000" w:themeColor="text1"/>
          <w:sz w:val="20"/>
          <w:szCs w:val="20"/>
        </w:rPr>
      </w:pPr>
      <w:r w:rsidRPr="007313F6">
        <w:rPr>
          <w:rFonts w:ascii="Verdana" w:hAnsi="Verdana" w:cs="Arial"/>
          <w:color w:val="000000" w:themeColor="text1"/>
          <w:sz w:val="20"/>
          <w:szCs w:val="20"/>
        </w:rPr>
        <w:t>Voor de uitvoering van het IHP ligt er een grote investeringsopgave. Om dit mogelijk te maken wordt onder andere gedacht aan verlaging van uitgaven of ozb verhoging van ca. 1% per jaar.</w:t>
      </w:r>
    </w:p>
    <w:p w:rsidR="006C4368" w:rsidRDefault="00DB2C6F" w:rsidP="007313F6">
      <w:pPr>
        <w:pStyle w:val="Lijstalinea"/>
        <w:numPr>
          <w:ilvl w:val="0"/>
          <w:numId w:val="3"/>
        </w:numPr>
        <w:rPr>
          <w:rFonts w:ascii="Verdana" w:hAnsi="Verdana" w:cs="Arial"/>
          <w:color w:val="000000" w:themeColor="text1"/>
          <w:sz w:val="20"/>
          <w:szCs w:val="20"/>
        </w:rPr>
      </w:pPr>
      <w:r w:rsidRPr="006C4368">
        <w:rPr>
          <w:rFonts w:ascii="Verdana" w:hAnsi="Verdana" w:cs="Arial"/>
          <w:color w:val="000000" w:themeColor="text1"/>
          <w:sz w:val="20"/>
          <w:szCs w:val="20"/>
        </w:rPr>
        <w:t>Schoolbesturen hebben een investeringsverbod ten aanz</w:t>
      </w:r>
      <w:r w:rsidR="006C4368" w:rsidRPr="006C4368">
        <w:rPr>
          <w:rFonts w:ascii="Verdana" w:hAnsi="Verdana" w:cs="Arial"/>
          <w:color w:val="000000" w:themeColor="text1"/>
          <w:sz w:val="20"/>
          <w:szCs w:val="20"/>
        </w:rPr>
        <w:t>ien van de onderwijshuisvesting;</w:t>
      </w:r>
    </w:p>
    <w:p w:rsidR="00922461" w:rsidRDefault="007313F6" w:rsidP="007313F6">
      <w:pPr>
        <w:pStyle w:val="Lijstalinea"/>
        <w:numPr>
          <w:ilvl w:val="0"/>
          <w:numId w:val="3"/>
        </w:numPr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>S</w:t>
      </w:r>
      <w:r w:rsidR="006C4368" w:rsidRPr="006C4368">
        <w:rPr>
          <w:rFonts w:ascii="Verdana" w:hAnsi="Verdana" w:cs="Arial"/>
          <w:color w:val="000000" w:themeColor="text1"/>
          <w:sz w:val="20"/>
          <w:szCs w:val="20"/>
        </w:rPr>
        <w:t>choolbesturen</w:t>
      </w:r>
      <w:r w:rsidR="00DB2C6F" w:rsidRPr="006C4368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E61DA3">
        <w:rPr>
          <w:rFonts w:ascii="Verdana" w:hAnsi="Verdana" w:cs="Arial"/>
          <w:color w:val="000000" w:themeColor="text1"/>
          <w:sz w:val="20"/>
          <w:szCs w:val="20"/>
        </w:rPr>
        <w:t>mogen -</w:t>
      </w:r>
      <w:r w:rsidR="00DB2C6F" w:rsidRPr="006C4368">
        <w:rPr>
          <w:rFonts w:ascii="Verdana" w:hAnsi="Verdana" w:cs="Arial"/>
          <w:color w:val="000000" w:themeColor="text1"/>
          <w:sz w:val="20"/>
          <w:szCs w:val="20"/>
        </w:rPr>
        <w:t xml:space="preserve">als uitzondering </w:t>
      </w:r>
      <w:r w:rsidR="006C4368" w:rsidRPr="006C4368">
        <w:rPr>
          <w:rFonts w:ascii="Verdana" w:hAnsi="Verdana" w:cs="Arial"/>
          <w:color w:val="000000" w:themeColor="text1"/>
          <w:sz w:val="20"/>
          <w:szCs w:val="20"/>
        </w:rPr>
        <w:t>op het investeringsverbod</w:t>
      </w:r>
      <w:r w:rsidR="00E61DA3">
        <w:rPr>
          <w:rFonts w:ascii="Verdana" w:hAnsi="Verdana" w:cs="Arial"/>
          <w:color w:val="000000" w:themeColor="text1"/>
          <w:sz w:val="20"/>
          <w:szCs w:val="20"/>
        </w:rPr>
        <w:t>-</w:t>
      </w:r>
      <w:r w:rsidR="006C4368" w:rsidRPr="006C4368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DB2C6F" w:rsidRPr="006C4368">
        <w:rPr>
          <w:rFonts w:ascii="Verdana" w:hAnsi="Verdana" w:cs="Arial"/>
          <w:color w:val="000000" w:themeColor="text1"/>
          <w:sz w:val="20"/>
          <w:szCs w:val="20"/>
        </w:rPr>
        <w:t>wel</w:t>
      </w:r>
      <w:r w:rsidR="006C4368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DB2C6F" w:rsidRPr="006C4368">
        <w:rPr>
          <w:rFonts w:ascii="Verdana" w:hAnsi="Verdana" w:cs="Arial"/>
          <w:color w:val="000000" w:themeColor="text1"/>
          <w:sz w:val="20"/>
          <w:szCs w:val="20"/>
        </w:rPr>
        <w:t xml:space="preserve"> bijdragen aan maatregelen die een positief effect hebben op de exploitatie van de gebouwen (o.a. maatregelen in het kader energiebesparing).  </w:t>
      </w:r>
    </w:p>
    <w:p w:rsidR="00E61DA3" w:rsidRDefault="00E61DA3" w:rsidP="007313F6">
      <w:pPr>
        <w:pStyle w:val="Lijstalinea"/>
        <w:rPr>
          <w:rFonts w:ascii="Verdana" w:hAnsi="Verdana" w:cs="Arial"/>
          <w:color w:val="000000" w:themeColor="text1"/>
          <w:sz w:val="20"/>
          <w:szCs w:val="20"/>
        </w:rPr>
      </w:pPr>
    </w:p>
    <w:p w:rsidR="00A94B6C" w:rsidRDefault="00A94B6C" w:rsidP="007313F6">
      <w:pPr>
        <w:rPr>
          <w:rFonts w:ascii="Verdana" w:hAnsi="Verdana" w:cs="Arial"/>
          <w:b/>
          <w:color w:val="000000" w:themeColor="text1"/>
          <w:sz w:val="20"/>
          <w:szCs w:val="20"/>
        </w:rPr>
      </w:pPr>
      <w:r w:rsidRPr="00A94B6C">
        <w:rPr>
          <w:rFonts w:ascii="Verdana" w:hAnsi="Verdana" w:cs="Arial"/>
          <w:b/>
          <w:color w:val="000000" w:themeColor="text1"/>
          <w:sz w:val="20"/>
          <w:szCs w:val="20"/>
        </w:rPr>
        <w:t>Overwegende dat:</w:t>
      </w:r>
    </w:p>
    <w:p w:rsidR="00DB2C6F" w:rsidRDefault="00DB2C6F" w:rsidP="007313F6">
      <w:pPr>
        <w:pStyle w:val="Lijstalinea"/>
        <w:numPr>
          <w:ilvl w:val="0"/>
          <w:numId w:val="4"/>
        </w:numPr>
        <w:rPr>
          <w:rFonts w:ascii="Verdana" w:hAnsi="Verdana" w:cs="Arial"/>
          <w:color w:val="000000" w:themeColor="text1"/>
          <w:sz w:val="20"/>
          <w:szCs w:val="20"/>
        </w:rPr>
      </w:pPr>
      <w:r w:rsidRPr="006C4368">
        <w:rPr>
          <w:rFonts w:ascii="Verdana" w:hAnsi="Verdana" w:cs="Arial"/>
          <w:color w:val="000000" w:themeColor="text1"/>
          <w:sz w:val="20"/>
          <w:szCs w:val="20"/>
        </w:rPr>
        <w:t>De onderwijsgebouwen en gymaccommodaties in de gemeente Geertruidenberg zijn grotendeels sterk verouderd (jaren ’70)</w:t>
      </w:r>
    </w:p>
    <w:p w:rsidR="00E61DA3" w:rsidRPr="006C4368" w:rsidRDefault="00E61DA3" w:rsidP="007313F6">
      <w:pPr>
        <w:pStyle w:val="Lijstalinea"/>
        <w:numPr>
          <w:ilvl w:val="0"/>
          <w:numId w:val="4"/>
        </w:numPr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>Gemeenten en schoolbesturen zijn SAMEN verantwoordelijk voor goede huisvesting van deze scholen. Het is essentieel om vanuit een gezamenlijk belang te redeneren.</w:t>
      </w:r>
    </w:p>
    <w:p w:rsidR="00DB2C6F" w:rsidRPr="002C5864" w:rsidRDefault="00E61DA3" w:rsidP="007313F6">
      <w:pPr>
        <w:pStyle w:val="Lijstalinea"/>
        <w:numPr>
          <w:ilvl w:val="0"/>
          <w:numId w:val="4"/>
        </w:numPr>
        <w:rPr>
          <w:rFonts w:ascii="Verdana" w:hAnsi="Verdana" w:cs="Arial"/>
          <w:color w:val="000000" w:themeColor="text1"/>
          <w:sz w:val="20"/>
          <w:szCs w:val="20"/>
          <w:u w:val="single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 xml:space="preserve">In het kader van verduurzaming kunnen gemeenten en schoolbesturen een gezamenlijke ambitie formuleren waaruit de </w:t>
      </w:r>
      <w:r w:rsidRPr="002C5864">
        <w:rPr>
          <w:rFonts w:ascii="Verdana" w:hAnsi="Verdana" w:cs="Arial"/>
          <w:color w:val="000000" w:themeColor="text1"/>
          <w:sz w:val="20"/>
          <w:szCs w:val="20"/>
          <w:u w:val="single"/>
        </w:rPr>
        <w:t xml:space="preserve">consequenties </w:t>
      </w:r>
      <w:r w:rsidR="007313F6">
        <w:rPr>
          <w:rFonts w:ascii="Verdana" w:hAnsi="Verdana" w:cs="Arial"/>
          <w:color w:val="000000" w:themeColor="text1"/>
          <w:sz w:val="20"/>
          <w:szCs w:val="20"/>
        </w:rPr>
        <w:t>(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technisch, functioneel maar </w:t>
      </w:r>
      <w:r w:rsidRPr="002C5864">
        <w:rPr>
          <w:rFonts w:ascii="Verdana" w:hAnsi="Verdana" w:cs="Arial"/>
          <w:color w:val="000000" w:themeColor="text1"/>
          <w:sz w:val="20"/>
          <w:szCs w:val="20"/>
          <w:u w:val="single"/>
        </w:rPr>
        <w:t>ook financieel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) voor renovatie of vernieuwbouw </w:t>
      </w:r>
      <w:r w:rsidRPr="002C5864">
        <w:rPr>
          <w:rFonts w:ascii="Verdana" w:hAnsi="Verdana" w:cs="Arial"/>
          <w:color w:val="000000" w:themeColor="text1"/>
          <w:sz w:val="20"/>
          <w:szCs w:val="20"/>
          <w:u w:val="single"/>
        </w:rPr>
        <w:t>getrokken kunnen worden.</w:t>
      </w:r>
    </w:p>
    <w:p w:rsidR="00E61DA3" w:rsidRPr="002C5864" w:rsidRDefault="00E61DA3" w:rsidP="00B05047">
      <w:pPr>
        <w:pStyle w:val="Lijstalinea"/>
        <w:jc w:val="both"/>
        <w:rPr>
          <w:rFonts w:ascii="Verdana" w:hAnsi="Verdana" w:cs="Arial"/>
          <w:color w:val="000000" w:themeColor="text1"/>
          <w:sz w:val="20"/>
          <w:szCs w:val="20"/>
          <w:u w:val="single"/>
        </w:rPr>
      </w:pPr>
    </w:p>
    <w:p w:rsidR="00A94B6C" w:rsidRPr="006C4368" w:rsidRDefault="00A94B6C" w:rsidP="006C4368">
      <w:pPr>
        <w:pStyle w:val="Lijstalinea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197E23" w:rsidRDefault="002C5864" w:rsidP="00A94B6C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>
        <w:rPr>
          <w:rFonts w:ascii="Verdana" w:hAnsi="Verdana" w:cs="Arial"/>
          <w:b/>
          <w:color w:val="000000" w:themeColor="text1"/>
          <w:sz w:val="20"/>
          <w:szCs w:val="20"/>
        </w:rPr>
        <w:t>Het conceptbesluit als volgt aan te passen:</w:t>
      </w:r>
    </w:p>
    <w:p w:rsidR="002C5864" w:rsidRDefault="002C5864" w:rsidP="00CF4B4C">
      <w:pPr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>Een vierde lid toe te voegen:</w:t>
      </w:r>
    </w:p>
    <w:p w:rsidR="002C5864" w:rsidRDefault="002C5864" w:rsidP="00CF4B4C">
      <w:pPr>
        <w:rPr>
          <w:rFonts w:ascii="Verdana" w:hAnsi="Verdana" w:cs="Arial"/>
          <w:color w:val="000000" w:themeColor="text1"/>
          <w:sz w:val="20"/>
          <w:szCs w:val="20"/>
        </w:rPr>
      </w:pPr>
    </w:p>
    <w:p w:rsidR="000D110E" w:rsidRPr="000D110E" w:rsidRDefault="002C5864" w:rsidP="00CF4B4C">
      <w:p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>4. Vanuit een gezamenlijk belang a</w:t>
      </w:r>
      <w:r w:rsidR="006C4368">
        <w:rPr>
          <w:rFonts w:ascii="Verdana" w:hAnsi="Verdana" w:cs="Arial"/>
          <w:color w:val="000000" w:themeColor="text1"/>
          <w:sz w:val="20"/>
          <w:szCs w:val="20"/>
        </w:rPr>
        <w:t xml:space="preserve">fspraken te maken met de schoolbesturen inzake de </w:t>
      </w:r>
      <w:r w:rsidR="009771B2">
        <w:rPr>
          <w:rFonts w:ascii="Verdana" w:hAnsi="Verdana" w:cs="Arial"/>
          <w:color w:val="000000" w:themeColor="text1"/>
          <w:sz w:val="20"/>
          <w:szCs w:val="20"/>
        </w:rPr>
        <w:t xml:space="preserve">substantiële </w:t>
      </w:r>
      <w:r w:rsidR="006C4368">
        <w:rPr>
          <w:rFonts w:ascii="Verdana" w:hAnsi="Verdana" w:cs="Arial"/>
          <w:color w:val="000000" w:themeColor="text1"/>
          <w:sz w:val="20"/>
          <w:szCs w:val="20"/>
        </w:rPr>
        <w:t xml:space="preserve">financiële bijdragen die zij </w:t>
      </w:r>
      <w:r w:rsidR="009771B2">
        <w:rPr>
          <w:rFonts w:ascii="Verdana" w:hAnsi="Verdana" w:cs="Arial"/>
          <w:color w:val="000000" w:themeColor="text1"/>
          <w:sz w:val="20"/>
          <w:szCs w:val="20"/>
        </w:rPr>
        <w:t xml:space="preserve">wettelijk mogen </w:t>
      </w:r>
      <w:r w:rsidR="006C4368">
        <w:rPr>
          <w:rFonts w:ascii="Verdana" w:hAnsi="Verdana" w:cs="Arial"/>
          <w:color w:val="000000" w:themeColor="text1"/>
          <w:sz w:val="20"/>
          <w:szCs w:val="20"/>
        </w:rPr>
        <w:t>leveren om te komen tot de realisatie van de huisvestingsopgave. En deze afspraken onderdeel te laten uitmaken van het IHP</w:t>
      </w:r>
    </w:p>
    <w:p w:rsidR="000D110E" w:rsidRDefault="000D110E" w:rsidP="00A94B6C"/>
    <w:p w:rsidR="00DC71DE" w:rsidRDefault="00DC71DE" w:rsidP="00DC71DE"/>
    <w:p w:rsidR="00B64E99" w:rsidRDefault="005F6C8E" w:rsidP="00B64E99">
      <w:pPr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Calibri" w:hAnsi="Calibri" w:cs="Calibri"/>
          <w:noProof/>
          <w:color w:val="007B5F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2F681" wp14:editId="3AA77CBE">
                <wp:simplePos x="0" y="0"/>
                <wp:positionH relativeFrom="column">
                  <wp:posOffset>1838325</wp:posOffset>
                </wp:positionH>
                <wp:positionV relativeFrom="paragraph">
                  <wp:posOffset>102870</wp:posOffset>
                </wp:positionV>
                <wp:extent cx="1704975" cy="914400"/>
                <wp:effectExtent l="0" t="0" r="9525" b="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6C8E" w:rsidRDefault="005F6C8E">
                            <w:r>
                              <w:rPr>
                                <w:rFonts w:ascii="Verdana" w:hAnsi="Verdana" w:cs="Arial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4A3FD1B" wp14:editId="7231C368">
                                  <wp:extent cx="961200" cy="961200"/>
                                  <wp:effectExtent l="0" t="0" r="0" b="0"/>
                                  <wp:docPr id="7" name="Afbeelding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VP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1200" cy="961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margin-left:144.75pt;margin-top:8.1pt;width:134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" fillcolor="white [3201]" stroked="f" strokeweight=".5pt">
                <v:textbox>
                  <w:txbxContent>
                    <w:p w:rsidR="005F6C8E" w:rsidRDefault="005F6C8E">
                      <w:r>
                        <w:rPr>
                          <w:rFonts w:ascii="Verdana" w:hAnsi="Verdana" w:cs="Arial"/>
                          <w:noProof/>
                          <w:color w:val="000000" w:themeColor="text1"/>
                          <w:sz w:val="20"/>
                          <w:szCs w:val="20"/>
                        </w:rPr>
                        <w:drawing>
                          <wp:inline distT="0" distB="0" distL="0" distR="0" wp14:anchorId="14A3FD1B" wp14:editId="7231C368">
                            <wp:extent cx="961200" cy="961200"/>
                            <wp:effectExtent l="0" t="0" r="0" b="0"/>
                            <wp:docPr id="7" name="Afbeelding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VP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1200" cy="961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64E99" w:rsidRDefault="00B64E99" w:rsidP="005F6C8E">
      <w:pPr>
        <w:rPr>
          <w:rFonts w:ascii="Verdana" w:hAnsi="Verdana" w:cs="Arial"/>
          <w:noProof/>
          <w:color w:val="000000" w:themeColor="text1"/>
          <w:sz w:val="20"/>
          <w:szCs w:val="20"/>
        </w:rPr>
      </w:pPr>
      <w:r>
        <w:rPr>
          <w:rFonts w:ascii="Calibri" w:hAnsi="Calibri" w:cs="Calibri"/>
          <w:noProof/>
          <w:color w:val="007B5F"/>
          <w:sz w:val="21"/>
          <w:szCs w:val="21"/>
        </w:rPr>
        <w:drawing>
          <wp:inline distT="0" distB="0" distL="0" distR="0" wp14:anchorId="55607635" wp14:editId="70A39FA6">
            <wp:extent cx="660400" cy="730250"/>
            <wp:effectExtent l="0" t="0" r="6350" b="0"/>
            <wp:docPr id="3" name="Afbeelding 3" descr="vv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v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6C8E">
        <w:rPr>
          <w:rFonts w:ascii="Verdana" w:hAnsi="Verdana" w:cs="Arial"/>
          <w:noProof/>
          <w:color w:val="000000" w:themeColor="text1"/>
          <w:sz w:val="20"/>
          <w:szCs w:val="20"/>
        </w:rPr>
        <w:t xml:space="preserve">                                                      </w:t>
      </w:r>
    </w:p>
    <w:p w:rsidR="00B64E99" w:rsidRDefault="00B64E99" w:rsidP="00B64E99">
      <w:pPr>
        <w:rPr>
          <w:rFonts w:ascii="Verdana" w:hAnsi="Verdana" w:cs="Arial"/>
          <w:color w:val="000000" w:themeColor="text1"/>
          <w:sz w:val="20"/>
          <w:szCs w:val="20"/>
        </w:rPr>
      </w:pPr>
    </w:p>
    <w:p w:rsidR="005F6C8E" w:rsidRDefault="005F6C8E" w:rsidP="005F6C8E">
      <w:pPr>
        <w:jc w:val="center"/>
        <w:rPr>
          <w:rFonts w:ascii="Verdana" w:hAnsi="Verdana" w:cs="Arial"/>
          <w:color w:val="000000" w:themeColor="text1"/>
          <w:sz w:val="20"/>
          <w:szCs w:val="20"/>
        </w:rPr>
      </w:pPr>
    </w:p>
    <w:p w:rsidR="00B64E99" w:rsidRDefault="00B64E99" w:rsidP="00B64E99">
      <w:pPr>
        <w:rPr>
          <w:rFonts w:ascii="Verdana" w:hAnsi="Verdana" w:cs="Arial"/>
          <w:color w:val="000000" w:themeColor="text1"/>
          <w:sz w:val="20"/>
          <w:szCs w:val="20"/>
        </w:rPr>
      </w:pPr>
    </w:p>
    <w:p w:rsidR="00B64E99" w:rsidRPr="00C547CA" w:rsidRDefault="00B64E99" w:rsidP="00B64E99">
      <w:pPr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>Dennis Havermans</w:t>
      </w:r>
      <w:r>
        <w:rPr>
          <w:rFonts w:ascii="Verdana" w:hAnsi="Verdana" w:cs="Arial"/>
          <w:color w:val="000000" w:themeColor="text1"/>
          <w:sz w:val="20"/>
          <w:szCs w:val="20"/>
        </w:rPr>
        <w:tab/>
      </w:r>
      <w:r>
        <w:rPr>
          <w:rFonts w:ascii="Verdana" w:hAnsi="Verdana" w:cs="Arial"/>
          <w:color w:val="000000" w:themeColor="text1"/>
          <w:sz w:val="20"/>
          <w:szCs w:val="20"/>
        </w:rPr>
        <w:tab/>
      </w:r>
      <w:r w:rsidR="005F6C8E">
        <w:rPr>
          <w:rFonts w:ascii="Verdana" w:hAnsi="Verdana" w:cs="Arial"/>
          <w:color w:val="000000" w:themeColor="text1"/>
          <w:sz w:val="20"/>
          <w:szCs w:val="20"/>
        </w:rPr>
        <w:t xml:space="preserve">    Piet de Peuter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      </w:t>
      </w:r>
    </w:p>
    <w:p w:rsidR="00B64E99" w:rsidRPr="00C547CA" w:rsidRDefault="00B64E99" w:rsidP="00B64E99">
      <w:pPr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>Thosha van der Maas</w:t>
      </w:r>
    </w:p>
    <w:p w:rsidR="00B64E99" w:rsidRPr="006E46D8" w:rsidRDefault="00B64E99" w:rsidP="00B64E9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2A33C6" w:rsidRPr="006E46D8" w:rsidRDefault="002A33C6" w:rsidP="002A33C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8472C3" w:rsidRPr="00C547CA" w:rsidRDefault="008472C3" w:rsidP="000D599A">
      <w:pPr>
        <w:rPr>
          <w:rFonts w:ascii="Verdana" w:hAnsi="Verdana" w:cs="Arial"/>
          <w:color w:val="000000" w:themeColor="text1"/>
          <w:sz w:val="20"/>
          <w:szCs w:val="20"/>
        </w:rPr>
      </w:pPr>
    </w:p>
    <w:p w:rsidR="00A00403" w:rsidRPr="006E46D8" w:rsidRDefault="00A00403">
      <w:pPr>
        <w:rPr>
          <w:rFonts w:ascii="Verdana" w:hAnsi="Verdana"/>
          <w:sz w:val="20"/>
          <w:szCs w:val="20"/>
        </w:rPr>
      </w:pPr>
    </w:p>
    <w:sectPr w:rsidR="00A00403" w:rsidRPr="006E46D8" w:rsidSect="00F95B74">
      <w:pgSz w:w="11906" w:h="16838"/>
      <w:pgMar w:top="540" w:right="1558" w:bottom="36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5257D"/>
    <w:multiLevelType w:val="hybridMultilevel"/>
    <w:tmpl w:val="129EBAEE"/>
    <w:lvl w:ilvl="0" w:tplc="04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8923B90"/>
    <w:multiLevelType w:val="hybridMultilevel"/>
    <w:tmpl w:val="856012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27D1A"/>
    <w:multiLevelType w:val="hybridMultilevel"/>
    <w:tmpl w:val="6A0CEB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401F4E"/>
    <w:multiLevelType w:val="hybridMultilevel"/>
    <w:tmpl w:val="0C5475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FA6"/>
    <w:rsid w:val="00025D57"/>
    <w:rsid w:val="0002640B"/>
    <w:rsid w:val="00033D6F"/>
    <w:rsid w:val="00054A90"/>
    <w:rsid w:val="00055D1A"/>
    <w:rsid w:val="00062B94"/>
    <w:rsid w:val="00070052"/>
    <w:rsid w:val="00072FC8"/>
    <w:rsid w:val="000818F5"/>
    <w:rsid w:val="00083083"/>
    <w:rsid w:val="0009250A"/>
    <w:rsid w:val="00095257"/>
    <w:rsid w:val="000B4799"/>
    <w:rsid w:val="000D110E"/>
    <w:rsid w:val="000D599A"/>
    <w:rsid w:val="00100619"/>
    <w:rsid w:val="00137E88"/>
    <w:rsid w:val="00171DB1"/>
    <w:rsid w:val="0017618D"/>
    <w:rsid w:val="0019774D"/>
    <w:rsid w:val="00197E23"/>
    <w:rsid w:val="001A7012"/>
    <w:rsid w:val="002009E9"/>
    <w:rsid w:val="0021691A"/>
    <w:rsid w:val="00230E92"/>
    <w:rsid w:val="00240A9A"/>
    <w:rsid w:val="0024291A"/>
    <w:rsid w:val="002446CE"/>
    <w:rsid w:val="00255292"/>
    <w:rsid w:val="00272A6A"/>
    <w:rsid w:val="00276BCD"/>
    <w:rsid w:val="00280F96"/>
    <w:rsid w:val="0029780A"/>
    <w:rsid w:val="002A11E0"/>
    <w:rsid w:val="002A33C6"/>
    <w:rsid w:val="002B4457"/>
    <w:rsid w:val="002C19FF"/>
    <w:rsid w:val="002C5463"/>
    <w:rsid w:val="002C5864"/>
    <w:rsid w:val="002C662D"/>
    <w:rsid w:val="002C7F59"/>
    <w:rsid w:val="002E079D"/>
    <w:rsid w:val="002E4241"/>
    <w:rsid w:val="00307267"/>
    <w:rsid w:val="00316CB9"/>
    <w:rsid w:val="00316F07"/>
    <w:rsid w:val="003243E0"/>
    <w:rsid w:val="003449CC"/>
    <w:rsid w:val="00362717"/>
    <w:rsid w:val="0036709C"/>
    <w:rsid w:val="00380E54"/>
    <w:rsid w:val="003833B7"/>
    <w:rsid w:val="003A7736"/>
    <w:rsid w:val="003B2044"/>
    <w:rsid w:val="003B77D2"/>
    <w:rsid w:val="003C2D2E"/>
    <w:rsid w:val="003D22CE"/>
    <w:rsid w:val="003D323E"/>
    <w:rsid w:val="004239F5"/>
    <w:rsid w:val="004258B6"/>
    <w:rsid w:val="00466D1B"/>
    <w:rsid w:val="00475A32"/>
    <w:rsid w:val="004772E6"/>
    <w:rsid w:val="004A03BC"/>
    <w:rsid w:val="004A66D4"/>
    <w:rsid w:val="004B21DD"/>
    <w:rsid w:val="004C4ED9"/>
    <w:rsid w:val="004F463B"/>
    <w:rsid w:val="0051394D"/>
    <w:rsid w:val="005322B0"/>
    <w:rsid w:val="005363C1"/>
    <w:rsid w:val="00541367"/>
    <w:rsid w:val="00561012"/>
    <w:rsid w:val="005730FE"/>
    <w:rsid w:val="005855F0"/>
    <w:rsid w:val="00593D5A"/>
    <w:rsid w:val="005E3677"/>
    <w:rsid w:val="005E3A65"/>
    <w:rsid w:val="005F124F"/>
    <w:rsid w:val="005F6C8E"/>
    <w:rsid w:val="00605AB6"/>
    <w:rsid w:val="00627162"/>
    <w:rsid w:val="00637145"/>
    <w:rsid w:val="00646F17"/>
    <w:rsid w:val="00653C8B"/>
    <w:rsid w:val="00673ECA"/>
    <w:rsid w:val="00674718"/>
    <w:rsid w:val="006833A0"/>
    <w:rsid w:val="00684537"/>
    <w:rsid w:val="00685C83"/>
    <w:rsid w:val="006B7B56"/>
    <w:rsid w:val="006C4368"/>
    <w:rsid w:val="006E46D8"/>
    <w:rsid w:val="006E6467"/>
    <w:rsid w:val="006F0BD5"/>
    <w:rsid w:val="007145BB"/>
    <w:rsid w:val="007313F6"/>
    <w:rsid w:val="00741EAE"/>
    <w:rsid w:val="00782984"/>
    <w:rsid w:val="00784D5C"/>
    <w:rsid w:val="00792A1E"/>
    <w:rsid w:val="007B6B00"/>
    <w:rsid w:val="007C3498"/>
    <w:rsid w:val="007D62E4"/>
    <w:rsid w:val="007E0298"/>
    <w:rsid w:val="00827E9E"/>
    <w:rsid w:val="008468F5"/>
    <w:rsid w:val="008472C3"/>
    <w:rsid w:val="0085276C"/>
    <w:rsid w:val="00861F4C"/>
    <w:rsid w:val="00876024"/>
    <w:rsid w:val="00876A53"/>
    <w:rsid w:val="008879D3"/>
    <w:rsid w:val="00922461"/>
    <w:rsid w:val="00922E52"/>
    <w:rsid w:val="009266DA"/>
    <w:rsid w:val="00933EB0"/>
    <w:rsid w:val="00963DBA"/>
    <w:rsid w:val="00965DA4"/>
    <w:rsid w:val="00966667"/>
    <w:rsid w:val="009667B9"/>
    <w:rsid w:val="009771B2"/>
    <w:rsid w:val="0098762D"/>
    <w:rsid w:val="00993E89"/>
    <w:rsid w:val="00997287"/>
    <w:rsid w:val="009A30E4"/>
    <w:rsid w:val="009A4431"/>
    <w:rsid w:val="009A5631"/>
    <w:rsid w:val="009A6B9F"/>
    <w:rsid w:val="009B3CA1"/>
    <w:rsid w:val="009E7661"/>
    <w:rsid w:val="00A00403"/>
    <w:rsid w:val="00A05C6C"/>
    <w:rsid w:val="00A14C85"/>
    <w:rsid w:val="00A23433"/>
    <w:rsid w:val="00A23661"/>
    <w:rsid w:val="00A25BAE"/>
    <w:rsid w:val="00A33271"/>
    <w:rsid w:val="00A354F7"/>
    <w:rsid w:val="00A4425F"/>
    <w:rsid w:val="00A47CFD"/>
    <w:rsid w:val="00A632EF"/>
    <w:rsid w:val="00A65C3D"/>
    <w:rsid w:val="00A67333"/>
    <w:rsid w:val="00A730FE"/>
    <w:rsid w:val="00A86D48"/>
    <w:rsid w:val="00A92A49"/>
    <w:rsid w:val="00A94B6C"/>
    <w:rsid w:val="00A96479"/>
    <w:rsid w:val="00A96C5F"/>
    <w:rsid w:val="00A97EA4"/>
    <w:rsid w:val="00AA6271"/>
    <w:rsid w:val="00AB7B01"/>
    <w:rsid w:val="00AE6144"/>
    <w:rsid w:val="00B000E4"/>
    <w:rsid w:val="00B0256C"/>
    <w:rsid w:val="00B05047"/>
    <w:rsid w:val="00B21097"/>
    <w:rsid w:val="00B303E6"/>
    <w:rsid w:val="00B47204"/>
    <w:rsid w:val="00B64E99"/>
    <w:rsid w:val="00B65EE8"/>
    <w:rsid w:val="00B75FA6"/>
    <w:rsid w:val="00B86108"/>
    <w:rsid w:val="00BA1482"/>
    <w:rsid w:val="00BA5CB0"/>
    <w:rsid w:val="00BC516C"/>
    <w:rsid w:val="00BC7DAC"/>
    <w:rsid w:val="00BE7562"/>
    <w:rsid w:val="00BF3224"/>
    <w:rsid w:val="00BF7007"/>
    <w:rsid w:val="00C34ACD"/>
    <w:rsid w:val="00C34E71"/>
    <w:rsid w:val="00C51450"/>
    <w:rsid w:val="00C547CA"/>
    <w:rsid w:val="00C657F0"/>
    <w:rsid w:val="00C801F1"/>
    <w:rsid w:val="00C878FC"/>
    <w:rsid w:val="00CA766C"/>
    <w:rsid w:val="00CB13D4"/>
    <w:rsid w:val="00CF1D6E"/>
    <w:rsid w:val="00CF4B4C"/>
    <w:rsid w:val="00D1625E"/>
    <w:rsid w:val="00D31BCE"/>
    <w:rsid w:val="00D335E7"/>
    <w:rsid w:val="00D760BA"/>
    <w:rsid w:val="00DA73B2"/>
    <w:rsid w:val="00DB2C6F"/>
    <w:rsid w:val="00DC1490"/>
    <w:rsid w:val="00DC65DC"/>
    <w:rsid w:val="00DC71DE"/>
    <w:rsid w:val="00DD5A0D"/>
    <w:rsid w:val="00DE7A6F"/>
    <w:rsid w:val="00E06709"/>
    <w:rsid w:val="00E31306"/>
    <w:rsid w:val="00E3338F"/>
    <w:rsid w:val="00E556E3"/>
    <w:rsid w:val="00E55D3B"/>
    <w:rsid w:val="00E61DA3"/>
    <w:rsid w:val="00E7498C"/>
    <w:rsid w:val="00E81FFB"/>
    <w:rsid w:val="00E932A8"/>
    <w:rsid w:val="00EB0B73"/>
    <w:rsid w:val="00EC7F6F"/>
    <w:rsid w:val="00ED7759"/>
    <w:rsid w:val="00EE29A8"/>
    <w:rsid w:val="00EE559A"/>
    <w:rsid w:val="00F24B0E"/>
    <w:rsid w:val="00F24C37"/>
    <w:rsid w:val="00F4041B"/>
    <w:rsid w:val="00F47F76"/>
    <w:rsid w:val="00F64028"/>
    <w:rsid w:val="00F67285"/>
    <w:rsid w:val="00F74C99"/>
    <w:rsid w:val="00F83195"/>
    <w:rsid w:val="00F83FE6"/>
    <w:rsid w:val="00F91B73"/>
    <w:rsid w:val="00F93441"/>
    <w:rsid w:val="00F95B74"/>
    <w:rsid w:val="00FA1B90"/>
    <w:rsid w:val="00FB3FC5"/>
    <w:rsid w:val="00FB5E6D"/>
    <w:rsid w:val="00FD1BD0"/>
    <w:rsid w:val="00FF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75FA6"/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ody1">
    <w:name w:val="Body 1"/>
    <w:rsid w:val="002009E9"/>
    <w:rPr>
      <w:rFonts w:ascii="Helvetica" w:hAnsi="Helvetica"/>
      <w:color w:val="000000"/>
      <w:sz w:val="24"/>
    </w:rPr>
  </w:style>
  <w:style w:type="paragraph" w:customStyle="1" w:styleId="Lijstalinea1">
    <w:name w:val="Lijstalinea1"/>
    <w:basedOn w:val="Standaard"/>
    <w:rsid w:val="006E46D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rsid w:val="002C7F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C7F59"/>
    <w:rPr>
      <w:rFonts w:ascii="Tahoma" w:eastAsia="Times New Roman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446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75FA6"/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ody1">
    <w:name w:val="Body 1"/>
    <w:rsid w:val="002009E9"/>
    <w:rPr>
      <w:rFonts w:ascii="Helvetica" w:hAnsi="Helvetica"/>
      <w:color w:val="000000"/>
      <w:sz w:val="24"/>
    </w:rPr>
  </w:style>
  <w:style w:type="paragraph" w:customStyle="1" w:styleId="Lijstalinea1">
    <w:name w:val="Lijstalinea1"/>
    <w:basedOn w:val="Standaard"/>
    <w:rsid w:val="006E46D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rsid w:val="002C7F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C7F59"/>
    <w:rPr>
      <w:rFonts w:ascii="Tahoma" w:eastAsia="Times New Roman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44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</dc:creator>
  <cp:lastModifiedBy>Sander van Haarlem</cp:lastModifiedBy>
  <cp:revision>2</cp:revision>
  <cp:lastPrinted>2018-05-31T12:36:00Z</cp:lastPrinted>
  <dcterms:created xsi:type="dcterms:W3CDTF">2019-04-25T14:16:00Z</dcterms:created>
  <dcterms:modified xsi:type="dcterms:W3CDTF">2019-04-25T14:16:00Z</dcterms:modified>
</cp:coreProperties>
</file>