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D1" w:rsidRDefault="00D72AD1"/>
    <w:p w:rsidR="00D77385" w:rsidRDefault="00D77385"/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ALGEMENE TOELICHTING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In het gebied liggen zeer uitzonderlijke opgaven. Deze opgaven raken direct aan de veiligheid 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gezondheid van bewoners. Het vertrouwen van burgers in de overheid en daaraan gelieerde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instanties is reeds zwaar op de proef gesteld. Aan de mensen in het gebied dient zekerheid te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worden gegeven. Zekerheid dat herstel van hun huizen, scholen en andere voor de leefbaarheid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belangrijke gebouwen met voortvarendheid wordt uitgevoerd. Zekerheid dat de bepaling van 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schade en de herstelmaatregelen op geen enkele wijze beïnvloed kan worden door financiële of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daaraan verwante belangen. Zekerheid dat bezwaar en beroep tegen besluiten inzake schade 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herstel volstrekt onafhankelijk worden behandeld. Aard, omvang en de impact van de schade -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impact op het dagelijks leven, de veiligheid en gezondheid van bewoners – zijn voor Nederlandse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begrippen uniek en bestaande wet- en regelgeving zijn hier niet op toegesneden. Vandaar dat alleen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al om die reden een apart wettelijk kader nodig is. Dat speciale wettelijke kader zal de garanties 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het vertrouwen moeten bieden voor onafhankelijkheid bij de bepaling van schade en noodzakelijke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herstelmaatregelen. En onafhankelijkheid bij bezwaar en beroep. 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Dat speciale wettelijk kader  is ook nodig om te garanderen dat er hoe dan ook ten alle tijde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voldoende financiële middelen beschikbaar zijn. Dat moeten middelen van de Rijksbegroting zijn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want als het om veiligheid en gezondheid gaat, gaat het om een kerntaak van de overheid. Of en hoe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de overheid het bedrijf aanspreekt dat de winning en exploitatie van het gas vanaf het begin doet, is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voor de gedupeerde burger niet van belang. De burger moet in een rechtsstaat bij kwesties van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veiligheid en gezondheid namelijk kunnen vertrouwen op de overheid.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De allereerste prioriteit is het bieden van wettelijk gewaarborgde zekerheid inzake onafhankelijke 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voortvarende behandeling van individuele private schadegevallen en zekerheid inzake onafhankelijke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rechterlijke toetsing van besluiten in twee instanties. Bij schade gaat het zowel om materiële als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immateriële schade. Deze wettelijk gewaarborgde zekerheid vereist een speciaal daarop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toegesneden wet.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Het gaat in het gebied echter ook om het versterken van woningen en gebouwen. Versterken van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woningen en gebouwen om de veiligheid van bewoners en gebruikers in de toekomst te waarborgen.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Immers de bevingen blijven zich nog lange tijd in het gebied voordoen en om die reden zijn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lastRenderedPageBreak/>
        <w:t>preventieve versterkings-maatregelen nodig bij enkele tien duizenden woningen en gebouwen.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De effecten van de aardgaswinning manifesteren zich echter niet alleen in een groot aantal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individuele en op zich zelf staande schadegevallen. Er kunnen zich situaties voordoen dat zich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plaatselijk een bepaalde concentratie van schade aan gebouwen manifesteert. Dat kan vragen om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een aanpak op straat-, wijk- of dorp/kern-niveau, waarbij niet alle bestaande gebouwen worden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hersteld maar er nieuwbouw plaatsvindt, wellicht zelfs op iets gewijzigde locatie. Om dat slagvaardig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te kunnen doen dient de overheid over een wettelijk instrumentarium voor lokale  herinrichting te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beschikken waarmee deze plaatselijke herinrichting ook voortvarend kan worden ‘doorgezet’. Dat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instrumentarium is er nu niet of in ieder geval niet toereikend. Dat instrumentarium dient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vanzelfsprekend ook omgeven te zijn met waarborgen waardoor de rechten van bewoners worden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beschermd omdat zo’n plaatselijke herinrichting zeer ingrijpend is en zelfs in de eigendomssituatie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kan ingrijpen.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Het geheel overziende – de immense herstel- en versterkingsopgave van woningen en gebouwen, 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noodzaak om zekerheid aan bewoners te bieden, de veiligheid en gezondheid van bewoners die in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het geding zijn, de garantie dat ‘geld geen rol speelt’ als het om de veiligheid gaat en de mogelijkheid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om waar nodig lokale ruimtelijke herinrichting toe te passen – is een ‘Lex Specialis’ voor het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schadegebied noodzakelijk. Een ‘Lex Specialis’ is eerder toegepast toen de overheid geplaatst werd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voor bijzondere en urgente opgaven. De meest recente is de Deltawet grote rivieren die van kracht is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geweest van 1995 tot 2005. De eerste gebiedsgerichte ‘Lex Specialis’ was echter 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Herinrichtingswet Oost-Groningen en de Gronings-Drentse Veenkoloniën die van kracht is geweest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van 1977 tot 2010. Bij beide wetten ging het op ingrijpende ruimtelijke opgaven. De opgave in het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schadegebied in Groningen is in vergelijking daarmee echter nog omvangrijker en de te nemen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maatregelen raken nog meer de individuele bewoners van het gebied.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De Deltawet grote rivieren schiep vooral doorzettingsmacht voor de overheden om de noodzakelijke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en urgente dijkversterkingen te realiseren. De wet zette alle belemmerende wettelijke voorschriften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aan de kant en bood ook de mogelijkheid om snel en zonder beperkende procedures private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eigendommen in bezit te nemen indien dat voor de uitvoering van de werken nodig was. 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Herinrichtingswet Oost-Groningen en Gronings-Drentse Veenkoloniën betrof een gebied van ca.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130.000 hectare (dat is een gebied zo groot als ongeveer 40 procent van de provincie Groningen).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lastRenderedPageBreak/>
        <w:t>Deze ‘Lex Specialis’ zorgde ervoor dat in het gebied een speciale organisatiestructuur kwam die 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herinrichting kon uitvoeren (een herinrichtingscommissie, gebiedscommissies), dat er instrumenten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kwamen om bij de uitvoering te kunnen ‘doorzetten’ (ook als een individuele gemeente of een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individuele grondeigenaar bijvoorbeeld niet mee wilde werken) en dat er zekerheid was over 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bekostiging van de uitvoeringswerken door de Staat (artikel 125 van deze wet bepaalde: ‘Ten laste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van de Staat komen alle kosten der herinrichting, voor zover deze niet krachtens bepalingen deze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wet of krachtens overeenkomst door anderen worden gedragen’).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De ‘Lex Specialis’ voor het aardbevingsgebied zal elementen bevatten van zijn ‘voorgangers’, zoals: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- De ‘bekostigings-garantie’ van artikel 125 van de Herinrichtingswet.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- Het instrumentarium om – met ‘doorzettingsmacht’- lokale herinrichtingsprojecten te realiseren.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- De mogelijkheid om bestaande wetgeving te ‘overrulen’, zoals de Deltawet grote rivieren dat ook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deed. Echter dan niet om de rechtsbescherming te beperken maar juist om die te vergroten door een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volstrekt onafhankelijke schadevaststelling en herstelbepaling en onafhankelijke rechterlijke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bezwaar- en beroepsprocedures buiten het bestaande bestuursrecht om.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- De mogelijkheid om diverse bevoegdheden die verspreid zijn over meerdere wetten en instanties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onder te brengen in een wet, zodat een effectieve en voor burgers transparante en overzichtelijke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verdeling van overheidsverantwoordelijkheden ontstaat.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De ‘Lex Specialis’ voor het aardbevingsgebied zal echter iets wezenlijks extra moeten bevatten: extra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en bijzondere voorzieningen voor betrokkenheid en invloed van de bewoners van het gebied.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Betrokkenheid en werkelijke invloed op alle besluiten van de overheid inzake zowel de periodieke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bepaling van het niveau (het aantal miljarden te winnen m³ gas) van de gaswinning, de wijze van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uitvoering van schadebepaling en schadeherstel, de eventuele lokale herinrichtingsprojecten en 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sociaal economische ontwikkelingsplannen voor het gebied. Er is de afgelopen jaren een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vertrouwenscrisis ontstaan. Bewoners verliezen het vertrouwen in verantwoordelijke instanties. 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door de overheid ingestelde overleg-gremia met maatschappelijke partijen zijn om die reden na een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aantal jaren ontbonden. In een gebied waar zo’n geweldige opgave ligt en waar zo veel maatregelen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genomen moeten worden die direct de leefomstandigheden van mensen raken, zullen de ontstane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vertrouwenscrisis en legitimiteitscrisis radicaal aangepakt moeten worden. Dat houdt ook in dat er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een extra democratisch fundament moet worden gelegd. De Tweede Kamer, Provinciale Staten 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lastRenderedPageBreak/>
        <w:t>Gemeenteraden zijn niet meer toereikend. Dat kan alleen maar op een manier die bewoners ook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daadwerkelijk vertrouwen geeft. Een wettelijke grondslag is daarvoor onontbeerlijk, dus in een ‘Lex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Specialis’.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WET HERSTEL AARDBEVINGSGEBIED PROVINCIE GRONINGEN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Wij …….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Alzo Wij in overweging genomen hebben dat het wenselijk is voor het gebied waar door gaswinning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ernstige schade is ontstaan en in de toekomst kan ontstaan ten gevolge van aardschokken,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zekerheden te bieden voor een onafhankelijke schadebepaling en voortvarende uitvoering van het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herstel, zowel op het niveau van afzonderlijke woningen en gebouwen, als op de schaal van wijken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en dorpen, dat het wenselijk is de gedupeerde burgers extra garanties te bieden bij de behandeling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van hun schade-aanvragen als bij procedures inzake bezwaar en beroep, dat financiering van 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herstelmaatregelen gedurende een periode van 30 jaar gegarandeerd dient te zijn, dat het optreden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van de overheden voorzieningen vergt die voor een extra democratische legitimatie zorg dragen, dat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het wenselijk is dat wettelijke bepalingen die de uitvoering van de maatregelen ernstig beperken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buiten werking kunnen worden geplaatst, dat gelet op de uitzonderlijke aard van de problematiek 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de ongekende schaal waar deze zich op voordoet, het derhalve wenselijk is dat een bijzondere voor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dit specifieke gebied van toepassing zijnde wettelijk stelsel wordt vastgesteld.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Artikel: 1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1.1 Deze wet is van toepassing op het schadegebied gaswinning Groningen zoals geschetst in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Bijlage I.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1.2 Wijziging van de begrenzing van het schadegebied is mogelijk bij Algemene Maatregel van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Bestuur.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1.3 Wijziging zoals bedoeld onder 1.2 behoeft de instemming van Provinciale Staten van 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Provincie Groningen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Artikel 2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Deze wet strekt er toe: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a. Voorzieningen te treffen voor een onafhankelijke bepaling van schade aan private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eigendommen en een dienovereenkomstige bepaling van het noodzakelijke en gegarandeerd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herstel daarvan.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lastRenderedPageBreak/>
        <w:t>b. Voorzieningen te treffen voor een onafhankelijke bepaling van niet-materiele schade bij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natuurlijke personen en onafhankelijke bepaling en gegarandeerde tegemoetkoming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c. Voorzieningen te treffen voor een onafhankelijk van het openbaar bestuur staande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procedures voor bezwaar en beroep.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d. Voorzieningen te treffen voor versterking van private woningen en gebouwen, zulks ter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voorkoming van schade en onveilige situaties in de toekomst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e. Voorzieningen te treffen voor lokale ruimtelijke herinrichting voortvloeiend uit maatregelen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zoals onder a en d.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f. Voorzieningen te treffen voor de sociaal economische ontwikkeling van het gebied.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g. De financiering van de zijde van de Staat te garanderen van alle uitgaven gemoeid met 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uitvoering van deze wet, behoudens uitgaven waaromtrent deze wet anders bepaald.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h. De betrokkenheid van de bewoners van het gebied te vergroten bij besluitvorming 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uitvoering in het kader van deze wet.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Artikel: 3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In deze wet wordt verstaan onder: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3.1 De Commissie ter vaststelling van materiele schade en herstel, zoals bedoeld in artikel 6.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3.2 De Commissie ter vaststelling van niet-materiele schade, zoals bedoeld in artikel 7.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3.3 Het Burgerparlement aardbevingsgebied Groningen, zoals bedoeld in artikel 8.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3.4 Het Fonds Aardbevingsschade Groningen: het Fonds in de Rijksbegrotingswet zoals bedoeld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in artikel 5.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3.5 De Herinrichtingscommissie, zoals bedoeld in artikel 12.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3.6 De Gebiedscommissie zoals bedoeld in artikel 12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3.7 ‘Onze minister’ is de minister belast met alle in enige wet of daarop gebaseerde regeling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opgenomen bevoegdheid inzake gaswinning in het gebied zoals bedoeld in artikel 1.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3.8 ‘Gedeputeerde Staten’ is het College van Gedeputeerde Staten van de Provincie Groningen.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3.9 Herinrichtingsplan is het plan zoals bedoeld in artikel 11.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3.10 Het Raamplan Versterking Woningen en Gebouwen zoals bedoeld onder artikel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3.11 Ontwikkelingsplan is het tienjarenplan zoals bedoeld in artikel 15.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Artikel: 3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lastRenderedPageBreak/>
        <w:t>4.1 Elke in enige wet opgenomen bevoegdheid m.b.t. de gaswinning in het gebied wordt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uitgeoefend met inachtneming van de voorschriften van deze wet.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4.2 Onze minister is verantwoordelijk voor de uitvoering van deze wet, tenzij in deze wet anders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bepaald.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4.3. Indien wettelijke voorschriften een zodanige belemmering voor de krachtens deze wet uit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te voeren taken en werken vormen dat het volstrekt noodzakelijk wordt geacht 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voorschriften buiten toepassing te laten kan onze minister daartoe, gehoord Gedeputeerde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Staten, besluiten.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Artikel: 5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5.1 Ten laste van de Staat komen alle kosten gemoeid met de uitvoering van deze wet,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voor zover deze niet ingevolge de bepalingen van deze wet of krachtens overeenkomst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door anderen worden gedragen.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5.2 Bij deze wet wordt gelet op artikel 5.1 ingesteld het Fonds Aardbevingsschade Groningen.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5.2 Het fonds onder 5.2 vormt onderdeel van de Rijksbegrotingswet.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5.3 Jaarlijks wordt bij de vaststelling van de Rijksbegroting 2 miljard euro aan het fonds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toegevoegd.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5.5 Het Fonds wordt ingesteld voor een periode van 30 jaar.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5.6 Onze minister is met inachtneming van de voorschriften van deze wet verantwoordelijk voor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het beheer van het Fonds.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Artikel: 6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6.1 Er is een onafhankelijke Commissie Bepaling Schade en Herstel Private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eigendommen.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6.2 Alle private aanvragen voor vaststelling van de aardbevingsschade worden behandeld door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de commissie.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6.3 De commissie brengt een advies uit aan onze minister. Onze minister beschikt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overeenkomstig het advies.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6.4. Onze minister kan slechts bij uitzondering en uitdrukkelijk gemotiveerd in zijn beschikking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afwijken van het advies.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lastRenderedPageBreak/>
        <w:t>6.5 De Commissie bestaat uit een voorzitter en zes leden. De Commissie heeft leden met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juridische en leden met technische expertise. De voorzitter dient aan de eisen van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benoembaarheid in de rechterlijke macht te voldoen.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6.6 De voorzitter en de leden worden benoemd door onze minister voor een zittingsperiode van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4 jaren. De voorzitter en de leden zijn twee keer herbenoembaar.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6.7 Er is een commissie-regelement waarin de onafhankelijkheid, bezoldiging en werkwijze, van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de commissie wordt geregeld. Dit regelement wordt vastgesteld door onze minister.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6.8 De besluiten van onze minister bedoeld onder artikel 6.6 en 6.7 behoeven de instemming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van het Burgerparlement zoals bedoeld onder artikel 7.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6.9 Alle uitgaven voortvloeiend uit besluiten onder artikel 6.3 komen geheel ten laste van het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Fonds.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Artikel: 7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7.1 Er is een onafhankelijke Commissie Bepaling Immateriele Schade en Tegemoetkoming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natuurlijke personen.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7.2 Alle private aanvragen voor vaststelling van de immateriele schade worden behandeld door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de commissie.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7.3 De commissie brengt een advies uit aan onze minister. Onze minister beschikt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overeenkomstig het advies.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7.4. Onze minister kan slechts bij uitzondering en uitdrukkelijk gemotiveerd in zijn beschikking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afwijken van het advies.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7.5 De Commissie bestaat uit een voorzitter en zes leden. De Commissie heeft leden met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juridische, medische en sociaal-medische expertise. De voorzitter dient aan de eisen van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benoembaarheid in de rechterlijke macht te voldoen.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7.6 De voorzitter en de leden worden benoemd door onze minister voor een zittingsperiode van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4 jaren. De voorzitter en de leden zijn twee keer herbenoembaar.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7.7 Er is een commissie-regelement waarin de onafhankelijkheid, bezoldiging en werkwijze, van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de commissie wordt geregeld. Dit regelement wordt vastgesteld door onze minister.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7.8 De besluiten van onze minister zoals bedoeld onder 7.6 en 7.7 behoeven de instemming van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het Burgerparlement zoals bedoeld onder artikel 6.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lastRenderedPageBreak/>
        <w:t>7.9 Alle uitgaven voortvloeiend uit besluiten zoals bedoeld onder 7.4 komen geheel ten laste van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Fonds.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Artikel: 8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8.1 Voor het gebied zoals bedoeld onder artikel 1, wordt ingesteld een Burgerparlement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Aardbevingsgebied Groningen.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8.2 Het Burgerparlement bestaat uit 150 leden.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8.3 Het Burgerparlement wordt samengesteld via loting onder alle kiesgerechtigden die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woonachtig zijn in het gebied zoals bedoeld onder artikel 1.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8.4 Voor de leden van het Burgerparlement geldt een zittingsduur van 3 jaren.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8.5 Het Burgerparlement stelt een Reglement vast.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8.6. Onze minister draagt er zorg voor dat het Burgerparlement zich van voldoende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ondersteuning kan voorzien, overeenkomstig het door het Burgerparlement bepaalde.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8.7 Voor de uitoefening van alle in en via deze wet aan onze minister toegekende bevoegdheden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is onze minister verantwoording verschuldigd aan het Burgerparlement.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8.8 Het Burgerparlement kan een raadgevend referendum uitschrijven onder 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kiesgerechtigden in het gebied over enig in het kader van de uitvoering van deze wet aan 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orde zijnde kwestie. Indien 10 procent van de kiesgerechtigden daartoe verzoeken, schrijft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het Burgerparlement eveneens een raadgevend referendum uit.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Artikel: 9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9.1 Het voornemen tot besluit van onze minister zoals bedoeld in artikel 34 lid 3 van 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Mijnbouwwet word voorgelegd aan het Burgerparlement.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9.2 Het Burgerparlement heeft de gelegenheid deskundigen te raadplegen over het besluit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bedoeld onder 9.1.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9.3 Onze minister vergadert met het Burgerparlement over zijn voornemen inzake het besluit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bedoeld onder 9.1.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9.4 Het Burgerparlement spreekt binnen 2 maanden na de onder 9.3 bedoelde vergadering zijn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oordeel uit.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9.5 Het Burgerparlement kan een raadgevend referendum uitschrijven onder de in het gebied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woonachtige kiesgerechtigden alvorens het onder 9.4 bedoelde oordeel uit te spreken.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Artikel: 10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10..1 Er is bij de Rechtbank te Groningen een Bijzondere Kamer Aardbevingsschade.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10.2 Er is bij het Gerechtshof te Leeuwarden een Bijzondere Kamer Aardbevingsschade.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10.3 Aanvragers zoals bedoeld in artikel 5 en 6 kunnen de beschikking van onze minister zoals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bedoeld in artikel 5 en 6 in eerste aanleg voorleggen aan de Bijzondere Kamer van 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Rechtbank te Groningen. De uitspraak van de Rechtbank is bindend voor onze minister.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10.4 Aanvragers bedoeld in artikel 9.3 kunnen de uitspraak van de Rechtbank voorleggen aan 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Bijzondere Kamer van het Gerechtshof te Leeuwarden. De uitspraak is bindend en finaal voor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aanvrager en onze minister.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10.5 De bepalingen in dit artikel treden in de plaats van de bepalingen inzake bezwaar en beroep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in de Algemene Wet Bestuursrecht.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10.6 Aanvragers zijn voor de procedures bij de Rechtbank en het Gerechtshof geen griffierechten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verschuldigd en kunnen ook niet veroordeeld worden tot betaling van proceskosten.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Artikel 11.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11.1 Een Herinrichtingsplan betreft de ruimtelijke herinrichting van ( een deel van ) een straat, wijk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of dorpskern waarbij voor alle of een deel van de woningen die in aanmerking komen voor herstel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en/versterking wordt afgezien van herstel en/of versterking ten gunste van gelijkwaardige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nieuwbouw ( eventueel op andere locaties) en ruimtelijke herinrichting.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11.2. Het Raamplan Versterking Woningen en Gebouwen omvat een limitatieve lijst van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(categorieen) van woningen en gebouwen van wie de constructie versterkt moet worden in verband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met schade- en veiligheidsrisico’s Het Raamplan wordt elke vijf jaar geactualiseerd. Aan het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lastRenderedPageBreak/>
        <w:t>Raamplan ligt een risicoanalyse ten grondslag.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Artikel: 12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12.1 Onder artikel 6.2 bedoelde aanvragers kunnen gezamenlijk een aanvraag indienen voor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herinrichting zoals bedoeld onder artikel 11.1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12.2 Een aanvraag zoals bedoeld onder 12.1 wordt ingediend bij de Herinrichtingscommissie zoals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bedoeld onder artikel 13.1 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12.3 Een aanvraag zoals bedoeld onder 12.1 wordt vergezeld een door het Kadaster opgestelde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beschrijving van het gebied en een lijst van eigenaren.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12.4 De Herinrichtingscommissie neemt de aanvraag in ieder geval in behandeling indien 2/3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van de eigenaren de aanvraag heeft ondertekend.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12.5 Het College van BenW van de betreffende gemeente en/of het College van Gedeputeerde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Staten kunnen eveneens een aanvraag zoals bedoeld onder 12.1 indienen en dienen daarbij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te handelen met inachtneming van artikel 12.3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12.6 Het College van Gedeputeerde Staten kan per Herinrichtingsplan onze minister verzoeken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wet- en regelgeving buiten werking te plaatsen indien de uitvoering van het plan dat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onomstotelijk vereist.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12.7 Het College van Gedeputeerde Staten bepaalt in een Verordening Lokale Herinrichting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Aardbevingsgebied, nadere regels en voorschriften.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Artikel: 13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13.1 Het College van Gedeputeerde Staten benoemt een Herinrichtingscommissie.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13.2 De Herinrichtingscommissie bestaat uit minimaal 6 en maximaal 8 leden en een voorzitter.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De leden en de voorzitter vervullen geen functies in het openbaar bestuur. De helft van 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leden minus 1 wordt benoemd op basis van een voordracht van onze minister.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13.3 Onze minister draagt zorg voor een adequate ambtelijke ondersteuning van 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Herinrichtingscommissie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13.3 De Herinrichtingscommissie stelt de Herinrichtingsplannen vast en ziet toe op de uitvoering.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13.4 Het College van Gedeputeerde Staten kan op verzoek van de Herinrichtingscommissie voor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de opstelling en uitvoering van een lokaal Herinrichtingsplan een Gebiedscommissie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lastRenderedPageBreak/>
        <w:t>benoemen. Een Gebiedscommissie bestaat voor minimaal de helft plus 1 lid uit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personen die geen functies in het openbaar bestuur vervullen.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13.5 Alle kosten voortvloeiend uit een Herinrichtingsplan komen voor zover die de vervangende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herbouw of nieuwbouw van woningen of gebouwen betreffen,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ten laste van het Fonds. De verdeling van de overige kosten wordt via overeenkomst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bepaald.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Artikel: 14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14.1 Onze minister stelt, gehoord het College van Gedeputeerde Staten, stelt een lijst vast met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aantallen te versterken (categorien van) woningen en gebouwen zoals bedoeld onder artikel 11.2.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14.2 De Herinrichtingscommissie stelt op basis van 14.1 een Versterkingsplan vast.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14.2 Het Burgerparlement wordt in de gelegenheid gesteld een oordeel uit te spreken over de lijst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bedoeld in artikel 14.1 en het plan bedoeld in artikel 14.2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14.3 De Herinrichtingscommissie is belast met de uitvoering van het plan. Voor de uitvoering van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onderdelen kan de Herinrichtingscommissie Gedeputeerde Staten verzoeken een Gebiedscommissie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in te stellen zoals bedoeld in artikel 13.4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14.4 Gedeputeerde Staten kan op verzoek van de herinrichtingscommissie aan onze minister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verzoeken wet- en regelgeving buiten werking te plaatsen indien de uitvoering van het plan dat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onomstotelijk vereist.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14.5 Alle kosten voortvloeiend uit het Versterkingsplan komen ten laste van het Fonds.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Artikel 15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15.1 Provinciale Staten stellen op voorstel van Gedeputeerde Staten eenmalig een Integraal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Ontwikkelingsplan ( met een looptijd van 10 jaar) op voor het gebied bedoeld in artikel 1 en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aangrenzend gebied.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15.2 Gedeputeerde Staten voeren overleg met onze minister bij de voorbereiding van het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Ontwikkelingsplan.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15.3 De financiering van het plan vindt voor 50 procent, tot een maximum van 100 miljoen per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jaar, plaats uit het Fonds bedoeld onder artikel 4. De financiering van de andere 50 pro-</w:t>
      </w:r>
    </w:p>
    <w:p w:rsidR="00D77385" w:rsidRPr="00D77385" w:rsidRDefault="00D77385" w:rsidP="00D77385">
      <w:pPr>
        <w:rPr>
          <w:lang w:val="nl-NL"/>
        </w:rPr>
      </w:pPr>
    </w:p>
    <w:p w:rsidR="00D77385" w:rsidRPr="00D77385" w:rsidRDefault="00D77385" w:rsidP="00D77385">
      <w:pPr>
        <w:rPr>
          <w:lang w:val="nl-NL"/>
        </w:rPr>
      </w:pPr>
      <w:r w:rsidRPr="00D77385">
        <w:rPr>
          <w:lang w:val="nl-NL"/>
        </w:rPr>
        <w:t>cent wordt bepaald via overeenkomst.</w:t>
      </w:r>
      <w:bookmarkStart w:id="0" w:name="_GoBack"/>
      <w:bookmarkEnd w:id="0"/>
    </w:p>
    <w:sectPr w:rsidR="00D77385" w:rsidRPr="00D77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85"/>
    <w:rsid w:val="009039CE"/>
    <w:rsid w:val="00D72AD1"/>
    <w:rsid w:val="00D7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2615E-E52E-4060-A679-580845DD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NDC Mediagroep</Company>
  <LinksUpToDate>false</LinksUpToDate>
  <CharactersWithSpaces>22796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Veer, Johan de</dc:creator>
  <cp:keywords/>
  <dc:description/>
  <cp:lastModifiedBy>Veer, Johan de</cp:lastModifiedBy>
  <cp:revision>2</cp:revision>
  <dcterms:created xsi:type="dcterms:W3CDTF">2017-05-29T08:30:00Z</dcterms:created>
  <dcterms:modified xsi:type="dcterms:W3CDTF">2017-05-29T08:30:00Z</dcterms:modified>
</cp:coreProperties>
</file>