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BFFB2" w14:textId="14DFF81B" w:rsidR="001C0818" w:rsidRDefault="00ED5DB4" w:rsidP="00A82FF3">
      <w:pPr>
        <w:spacing w:line="240" w:lineRule="auto"/>
        <w:ind w:leftChars="0" w:left="2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F3DEC90" wp14:editId="62F861A7">
            <wp:simplePos x="0" y="0"/>
            <wp:positionH relativeFrom="column">
              <wp:posOffset>47625</wp:posOffset>
            </wp:positionH>
            <wp:positionV relativeFrom="paragraph">
              <wp:posOffset>-590232</wp:posOffset>
            </wp:positionV>
            <wp:extent cx="2633662" cy="1125229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662" cy="1125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FB9">
        <w:rPr>
          <w:noProof/>
        </w:rPr>
        <w:drawing>
          <wp:anchor distT="0" distB="0" distL="114300" distR="114300" simplePos="0" relativeHeight="251659264" behindDoc="1" locked="0" layoutInCell="1" allowOverlap="1" wp14:anchorId="38721BB3" wp14:editId="45A84815">
            <wp:simplePos x="0" y="0"/>
            <wp:positionH relativeFrom="column">
              <wp:posOffset>3153344</wp:posOffset>
            </wp:positionH>
            <wp:positionV relativeFrom="paragraph">
              <wp:posOffset>-769620</wp:posOffset>
            </wp:positionV>
            <wp:extent cx="1097915" cy="1261688"/>
            <wp:effectExtent l="0" t="0" r="6985" b="0"/>
            <wp:wrapNone/>
            <wp:docPr id="2" name="Afbeelding 2" descr="Afbeeldingsresultaat voor groenlinks hel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groenlinks helmo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26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FB9" w:rsidRPr="00DC1FB9">
        <w:rPr>
          <w:noProof/>
        </w:rPr>
        <w:drawing>
          <wp:anchor distT="0" distB="0" distL="114300" distR="114300" simplePos="0" relativeHeight="251660288" behindDoc="0" locked="0" layoutInCell="1" allowOverlap="1" wp14:anchorId="19DE210E" wp14:editId="7F267C91">
            <wp:simplePos x="0" y="0"/>
            <wp:positionH relativeFrom="column">
              <wp:posOffset>4941314</wp:posOffset>
            </wp:positionH>
            <wp:positionV relativeFrom="paragraph">
              <wp:posOffset>-551815</wp:posOffset>
            </wp:positionV>
            <wp:extent cx="893928" cy="893928"/>
            <wp:effectExtent l="0" t="0" r="1905" b="190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928" cy="893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837442" w14:textId="77B7FBB2" w:rsidR="001C0818" w:rsidRDefault="001C0818" w:rsidP="00A82FF3">
      <w:pPr>
        <w:spacing w:line="240" w:lineRule="auto"/>
        <w:ind w:leftChars="0" w:left="2" w:hanging="2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21B2897" w14:textId="31246230" w:rsidR="001C0818" w:rsidRDefault="001C0818" w:rsidP="00A82FF3">
      <w:pPr>
        <w:spacing w:line="240" w:lineRule="auto"/>
        <w:ind w:leftChars="0" w:left="2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2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A82FF3" w14:paraId="45BCFD01" w14:textId="77777777" w:rsidTr="001C0818">
        <w:tc>
          <w:tcPr>
            <w:tcW w:w="9210" w:type="dxa"/>
          </w:tcPr>
          <w:p w14:paraId="7875AD51" w14:textId="6FF386C2" w:rsidR="00A82FF3" w:rsidRDefault="00ED5DB4">
            <w:pPr>
              <w:spacing w:line="240" w:lineRule="auto"/>
              <w:ind w:leftChars="0" w:left="2" w:hanging="2"/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  <w:br/>
            </w:r>
          </w:p>
          <w:p w14:paraId="558705D8" w14:textId="19960A29" w:rsidR="00A82FF3" w:rsidRDefault="00A82FF3">
            <w:pPr>
              <w:spacing w:line="240" w:lineRule="auto"/>
              <w:ind w:leftChars="0" w:left="2" w:hanging="2"/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</w:pPr>
            <w:r w:rsidRPr="002141F6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Onderwerp</w:t>
            </w:r>
            <w:r w:rsidRPr="002141F6"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  <w:t xml:space="preserve">: </w:t>
            </w:r>
            <w:bookmarkStart w:id="0" w:name="_Hlk63776579"/>
            <w:r w:rsidR="00581308" w:rsidRPr="002141F6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Financiële</w:t>
            </w:r>
            <w:r w:rsidR="009C3EA3" w:rsidRPr="002141F6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ondersteuning plaatselijke ondernemers</w:t>
            </w:r>
            <w:r w:rsidR="00A817DB" w:rsidRPr="002141F6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bookmarkEnd w:id="0"/>
          </w:p>
          <w:p w14:paraId="37F82555" w14:textId="77777777" w:rsidR="00A82FF3" w:rsidRDefault="00A82FF3">
            <w:pPr>
              <w:spacing w:line="240" w:lineRule="auto"/>
              <w:ind w:leftChars="0" w:left="2" w:hanging="2"/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A82FF3" w14:paraId="7CF015E3" w14:textId="77777777" w:rsidTr="001C0818">
        <w:tc>
          <w:tcPr>
            <w:tcW w:w="9210" w:type="dxa"/>
          </w:tcPr>
          <w:p w14:paraId="7E42E201" w14:textId="00909B55" w:rsidR="00A82FF3" w:rsidRDefault="00A82FF3">
            <w:pPr>
              <w:spacing w:line="240" w:lineRule="auto"/>
              <w:ind w:leftChars="0" w:left="2" w:hanging="2"/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66E54DFA" w14:textId="2E787A5E" w:rsidR="00A82FF3" w:rsidRDefault="00A82FF3" w:rsidP="00A817DB">
            <w:pPr>
              <w:spacing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  <w:t>De raad van de gemeente Helmond, in openbare vergadering bijeen op 9 februari</w:t>
            </w: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  <w:t xml:space="preserve">2021, </w:t>
            </w:r>
          </w:p>
          <w:p w14:paraId="05ED555A" w14:textId="77777777" w:rsidR="00A82FF3" w:rsidRDefault="00A82FF3">
            <w:pPr>
              <w:spacing w:line="240" w:lineRule="auto"/>
              <w:ind w:leftChars="0" w:left="2" w:hanging="2"/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A82FF3" w:rsidRPr="00A817DB" w14:paraId="42BAF1BD" w14:textId="77777777" w:rsidTr="001C0818">
        <w:tc>
          <w:tcPr>
            <w:tcW w:w="9210" w:type="dxa"/>
          </w:tcPr>
          <w:p w14:paraId="2184AE83" w14:textId="32EEA26C" w:rsidR="00A82FF3" w:rsidRDefault="00A82FF3">
            <w:pPr>
              <w:spacing w:line="240" w:lineRule="auto"/>
              <w:ind w:leftChars="0" w:left="2" w:hanging="2"/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7A27939B" w14:textId="1B804A67" w:rsidR="00A82FF3" w:rsidRDefault="00A82FF3">
            <w:pPr>
              <w:spacing w:line="240" w:lineRule="auto"/>
              <w:ind w:leftChars="0" w:left="2" w:hanging="2"/>
              <w:rPr>
                <w:rFonts w:ascii="Arial" w:eastAsia="Arial" w:hAnsi="Arial" w:cs="Arial"/>
                <w:b/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Overwegende dat:</w:t>
            </w:r>
          </w:p>
          <w:p w14:paraId="5B568E1A" w14:textId="3889061E" w:rsidR="00A82FF3" w:rsidRDefault="00A82FF3">
            <w:pPr>
              <w:spacing w:line="240" w:lineRule="auto"/>
              <w:ind w:leftChars="0" w:left="2" w:hanging="2"/>
              <w:rPr>
                <w:rFonts w:ascii="Arial" w:eastAsia="Arial" w:hAnsi="Arial" w:cs="Arial"/>
                <w:sz w:val="22"/>
                <w:szCs w:val="22"/>
                <w:highlight w:val="yellow"/>
                <w:lang w:eastAsia="en-US"/>
              </w:rPr>
            </w:pPr>
          </w:p>
          <w:p w14:paraId="1C48914A" w14:textId="22C5028C" w:rsidR="00FF58EC" w:rsidRDefault="00FF58EC" w:rsidP="00A817DB">
            <w:pPr>
              <w:pStyle w:val="Lijstalinea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bookmarkStart w:id="1" w:name="_Hlk63777033"/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Veel bedrijven door de Corona-epidemie op last van de overheid haar deuren hebben moeten sluiten;</w:t>
            </w:r>
          </w:p>
          <w:p w14:paraId="7EBFF075" w14:textId="5CD9E617" w:rsidR="007865D7" w:rsidRDefault="007865D7" w:rsidP="00A817DB">
            <w:pPr>
              <w:pStyle w:val="Lijstalinea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de overheid verschillende steun en herstelpakketten biedt zoals de NOW,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Tozo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 en Tegemoetkoming Vaste Lasten (TVL), Tijdelijke Ondersteuning Noodzakelijke Kosten (TONK)</w:t>
            </w:r>
          </w:p>
          <w:p w14:paraId="44A95CA4" w14:textId="274D6184" w:rsidR="007865D7" w:rsidRDefault="007865D7" w:rsidP="00A817DB">
            <w:pPr>
              <w:pStyle w:val="Lijstalinea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De uitwerking van onlangs aangekondigde aanvullende ondersteuningsmaatregelen langer op zich laat wachten;</w:t>
            </w:r>
          </w:p>
          <w:p w14:paraId="2E0D77F4" w14:textId="38DAF048" w:rsidR="007865D7" w:rsidRDefault="007865D7">
            <w:pPr>
              <w:spacing w:line="240" w:lineRule="auto"/>
              <w:ind w:leftChars="0" w:left="2" w:hanging="2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2116A51" w14:textId="07FD5FB1" w:rsidR="007865D7" w:rsidRDefault="007865D7">
            <w:pPr>
              <w:spacing w:line="240" w:lineRule="auto"/>
              <w:ind w:leftChars="0" w:left="2" w:hanging="2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29249C0" w14:textId="55BF9704" w:rsidR="00A82FF3" w:rsidRDefault="00A82FF3">
            <w:pPr>
              <w:spacing w:line="240" w:lineRule="auto"/>
              <w:ind w:leftChars="0" w:left="2" w:hanging="2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Constaterende dat: </w:t>
            </w:r>
          </w:p>
          <w:p w14:paraId="4123F011" w14:textId="0F99BBEA" w:rsidR="00A82FF3" w:rsidRDefault="00A82FF3">
            <w:pPr>
              <w:spacing w:line="240" w:lineRule="auto"/>
              <w:ind w:leftChars="0" w:left="2" w:hanging="2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  <w:p w14:paraId="1C2D4B05" w14:textId="0677CD38" w:rsidR="007865D7" w:rsidRDefault="007865D7" w:rsidP="00A817DB">
            <w:pPr>
              <w:pStyle w:val="Lijstalinea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ondanks deze maatregelen, er nog steeds ondernemers zijn, die buiten alle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Covid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 steunmaatregelen vallen;</w:t>
            </w:r>
          </w:p>
          <w:p w14:paraId="24204DF8" w14:textId="680C17DE" w:rsidR="007865D7" w:rsidRDefault="007865D7" w:rsidP="00A817DB">
            <w:pPr>
              <w:pStyle w:val="Lijstalinea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een deel van de ondernemers mede hierdoor een gebrek heeft aan liquide middelen;</w:t>
            </w:r>
          </w:p>
          <w:p w14:paraId="1067C4B6" w14:textId="101C35B6" w:rsidR="00A82FF3" w:rsidRDefault="007865D7" w:rsidP="00487667">
            <w:pPr>
              <w:pStyle w:val="Lijstalinea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Door vertraging van de uitbetaling van de aanvullende ondersteuningsmaatregelen, bedrijven in </w:t>
            </w:r>
            <w:r w:rsidR="00581308">
              <w:rPr>
                <w:rFonts w:ascii="Arial" w:eastAsia="Arial" w:hAnsi="Arial" w:cs="Arial"/>
                <w:sz w:val="22"/>
                <w:szCs w:val="22"/>
                <w:lang w:eastAsia="en-US"/>
              </w:rPr>
              <w:t>financiële</w:t>
            </w: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 problemen komen, vanwege een gebrek aan liquide middelen om deze periode te overbruggen. </w:t>
            </w:r>
          </w:p>
          <w:p w14:paraId="2305E020" w14:textId="77777777" w:rsidR="00A82FF3" w:rsidRDefault="00A82FF3">
            <w:pPr>
              <w:spacing w:line="240" w:lineRule="auto"/>
              <w:ind w:leftChars="0" w:left="2" w:hanging="2"/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3373E10D" w14:textId="104AC281" w:rsidR="00A82FF3" w:rsidRDefault="001C0818">
            <w:pPr>
              <w:spacing w:line="240" w:lineRule="auto"/>
              <w:ind w:leftChars="0" w:left="2" w:hanging="2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="00A82FF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Verzoekt het college: </w:t>
            </w:r>
            <w:r w:rsidR="00353D5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</w:p>
          <w:p w14:paraId="04F1B799" w14:textId="228EF58C" w:rsidR="00C45319" w:rsidRDefault="00C45319" w:rsidP="00A817DB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Te onderzoeken hoe (startende) ondernemers die nu tussen wal en schip </w:t>
            </w:r>
            <w:r w:rsidR="009C3EA3"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dreigen te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vallen toch vanuit de gemeente ondersteund kunnen worden</w:t>
            </w:r>
            <w:r w:rsidR="007865D7"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en de raad daarover op korte termijn te informeren</w:t>
            </w:r>
            <w:r w:rsidR="00FF58EC"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. Roepen h</w:t>
            </w:r>
            <w:r w:rsidR="009C3EA3"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et college op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een brandbrief naar Den Haag te sturen waarin verzocht</w:t>
            </w:r>
            <w:r w:rsidR="009C3EA3"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F58EC"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wordt </w:t>
            </w:r>
            <w:r w:rsidR="009C3EA3"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dat er op korte termijn ook voor deze ondernemers </w:t>
            </w:r>
            <w:r w:rsidR="007865D7"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een oplossing komt</w:t>
            </w:r>
            <w:r w:rsidR="00FF58EC"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, zodat ook zij nog enig vooruitzicht voor de toekomst houden.</w:t>
            </w:r>
          </w:p>
          <w:p w14:paraId="22036384" w14:textId="71630AB0" w:rsidR="00C45319" w:rsidRDefault="00C45319">
            <w:pPr>
              <w:spacing w:line="240" w:lineRule="auto"/>
              <w:ind w:leftChars="0" w:left="2" w:hanging="2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14:paraId="1DD0AD68" w14:textId="6DED7E28" w:rsidR="00A82FF3" w:rsidRDefault="00A82FF3">
            <w:pPr>
              <w:spacing w:line="240" w:lineRule="auto"/>
              <w:ind w:leftChars="0" w:left="2" w:hanging="2"/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  <w:t>en gaat over tot de orde van de dag.</w:t>
            </w:r>
          </w:p>
          <w:bookmarkEnd w:id="1"/>
          <w:p w14:paraId="6ABBF7C0" w14:textId="77777777" w:rsidR="00DB111E" w:rsidRDefault="001C0818">
            <w:pPr>
              <w:spacing w:line="240" w:lineRule="auto"/>
              <w:ind w:leftChars="0" w:left="2" w:hanging="2"/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  <w:br/>
            </w:r>
            <w:r w:rsidR="00A82FF3" w:rsidRPr="00A817DB"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  <w:t>Theo Manders (VVD)</w:t>
            </w:r>
          </w:p>
          <w:p w14:paraId="0430947F" w14:textId="77777777" w:rsidR="00DB111E" w:rsidRDefault="00DB111E">
            <w:pPr>
              <w:spacing w:line="240" w:lineRule="auto"/>
              <w:ind w:leftChars="0" w:left="2" w:hanging="2"/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34CF381D" w14:textId="7ECBE88E" w:rsidR="00A82FF3" w:rsidRDefault="00A817DB">
            <w:pPr>
              <w:spacing w:line="240" w:lineRule="auto"/>
              <w:ind w:leftChars="0" w:left="2" w:hanging="2"/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</w:pPr>
            <w:r w:rsidRPr="00A817DB"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  <w:t xml:space="preserve">Thomas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  <w:t>T</w:t>
            </w:r>
            <w:r w:rsidRPr="00A817DB"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  <w:t>eurlings</w:t>
            </w:r>
            <w:proofErr w:type="spellEnd"/>
            <w:r w:rsidRPr="00A817DB"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  <w:t xml:space="preserve"> (Groen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  <w:t>Links)</w:t>
            </w:r>
          </w:p>
          <w:p w14:paraId="0CA874CC" w14:textId="159C93EE" w:rsidR="00A82FF3" w:rsidRPr="00A817DB" w:rsidRDefault="00CE5ACF">
            <w:pPr>
              <w:spacing w:line="240" w:lineRule="auto"/>
              <w:ind w:leftChars="0" w:left="2" w:hanging="2"/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6A6A6A"/>
                <w:sz w:val="23"/>
                <w:szCs w:val="23"/>
                <w:shd w:val="clear" w:color="auto" w:fill="FFFFFF"/>
              </w:rPr>
              <w:br/>
            </w:r>
            <w:proofErr w:type="spellStart"/>
            <w:r w:rsidR="00DC1FB9">
              <w:rPr>
                <w:rFonts w:ascii="Arial" w:hAnsi="Arial" w:cs="Arial"/>
                <w:color w:val="6A6A6A"/>
                <w:sz w:val="23"/>
                <w:szCs w:val="23"/>
                <w:shd w:val="clear" w:color="auto" w:fill="FFFFFF"/>
              </w:rPr>
              <w:t>Yalcin</w:t>
            </w:r>
            <w:proofErr w:type="spellEnd"/>
            <w:r w:rsidR="00DC1FB9">
              <w:rPr>
                <w:rFonts w:ascii="Arial" w:hAnsi="Arial" w:cs="Arial"/>
                <w:color w:val="6A6A6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DC1FB9">
              <w:rPr>
                <w:rFonts w:ascii="Arial" w:hAnsi="Arial" w:cs="Arial"/>
                <w:color w:val="6A6A6A"/>
                <w:sz w:val="23"/>
                <w:szCs w:val="23"/>
                <w:shd w:val="clear" w:color="auto" w:fill="FFFFFF"/>
              </w:rPr>
              <w:t>Yeyden</w:t>
            </w:r>
            <w:proofErr w:type="spellEnd"/>
            <w:r w:rsidR="00DC1FB9">
              <w:rPr>
                <w:rFonts w:ascii="Arial" w:hAnsi="Arial" w:cs="Arial"/>
                <w:color w:val="6A6A6A"/>
                <w:sz w:val="23"/>
                <w:szCs w:val="23"/>
                <w:shd w:val="clear" w:color="auto" w:fill="FFFFFF"/>
              </w:rPr>
              <w:t xml:space="preserve"> (CDA)</w:t>
            </w:r>
          </w:p>
          <w:p w14:paraId="35957BCB" w14:textId="77777777" w:rsidR="00A82FF3" w:rsidRPr="00A817DB" w:rsidRDefault="00A82FF3">
            <w:pPr>
              <w:spacing w:line="240" w:lineRule="auto"/>
              <w:ind w:leftChars="0" w:left="2" w:hanging="2"/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8A42538" w14:textId="6FE3C65B" w:rsidR="004A3FDC" w:rsidRPr="00A817DB" w:rsidRDefault="004A3FDC">
      <w:pPr>
        <w:ind w:left="0" w:hanging="2"/>
      </w:pPr>
    </w:p>
    <w:sectPr w:rsidR="004A3FDC" w:rsidRPr="00A8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369A6"/>
    <w:multiLevelType w:val="hybridMultilevel"/>
    <w:tmpl w:val="A852D0B4"/>
    <w:lvl w:ilvl="0" w:tplc="05ACECCA">
      <w:start w:val="1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F3"/>
    <w:rsid w:val="001C0818"/>
    <w:rsid w:val="002141F6"/>
    <w:rsid w:val="00353D59"/>
    <w:rsid w:val="00487667"/>
    <w:rsid w:val="004A3FDC"/>
    <w:rsid w:val="004B0DD4"/>
    <w:rsid w:val="00581308"/>
    <w:rsid w:val="007865D7"/>
    <w:rsid w:val="009C3EA3"/>
    <w:rsid w:val="00A817DB"/>
    <w:rsid w:val="00A82FF3"/>
    <w:rsid w:val="00B212CD"/>
    <w:rsid w:val="00C45319"/>
    <w:rsid w:val="00CE5ACF"/>
    <w:rsid w:val="00DB111E"/>
    <w:rsid w:val="00DC1FB9"/>
    <w:rsid w:val="00DC71DD"/>
    <w:rsid w:val="00ED5DB4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BC6B"/>
  <w15:chartTrackingRefBased/>
  <w15:docId w15:val="{2AE877CB-BA92-48AE-827D-EEB45899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2FF3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82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F1D83-64FF-4D09-992C-1BC558C3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van de Brug</dc:creator>
  <cp:keywords/>
  <dc:description/>
  <cp:lastModifiedBy>Theo Manders</cp:lastModifiedBy>
  <cp:revision>2</cp:revision>
  <dcterms:created xsi:type="dcterms:W3CDTF">2021-02-09T22:16:00Z</dcterms:created>
  <dcterms:modified xsi:type="dcterms:W3CDTF">2021-02-09T22:16:00Z</dcterms:modified>
</cp:coreProperties>
</file>