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866" w:rsidRDefault="007209AC">
      <w:pPr>
        <w:keepNext/>
        <w:spacing w:after="0" w:line="240" w:lineRule="auto"/>
      </w:pPr>
      <w:r>
        <w:rPr>
          <w:noProof/>
        </w:rPr>
        <w:drawing>
          <wp:inline distT="0" distB="0" distL="0" distR="0">
            <wp:extent cx="2143506" cy="1048056"/>
            <wp:effectExtent l="0" t="0" r="0" b="0"/>
            <wp:docPr id="1073741825" name="officeArt object" descr="logo-voor-ombuds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voor-ombudsx.jpeg" descr="logo-voor-ombudsx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506" cy="1048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Verdana" w:eastAsia="Verdana" w:hAnsi="Verdana" w:cs="Verdana"/>
          <w:noProof/>
          <w:color w:val="0049AD"/>
          <w:sz w:val="38"/>
          <w:szCs w:val="38"/>
          <w:u w:color="0049AD"/>
        </w:rPr>
        <w:drawing>
          <wp:inline distT="0" distB="0" distL="0" distR="0">
            <wp:extent cx="2124152" cy="605699"/>
            <wp:effectExtent l="0" t="0" r="0" b="0"/>
            <wp:docPr id="1073741826" name="officeArt object" descr="f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oto" descr="fot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152" cy="6056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06866" w:rsidRDefault="007209AC">
      <w:pPr>
        <w:keepNext/>
        <w:spacing w:after="0" w:line="240" w:lineRule="auto"/>
      </w:pPr>
      <w:r>
        <w:rPr>
          <w:sz w:val="40"/>
          <w:szCs w:val="40"/>
        </w:rPr>
        <w:t>Gemeenteraad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866" w:rsidRDefault="007209AC">
      <w:pPr>
        <w:keepNext/>
        <w:spacing w:after="0" w:line="240" w:lineRule="auto"/>
        <w:rPr>
          <w:color w:val="C0C0C0"/>
          <w:u w:val="single" w:color="C0C0C0"/>
        </w:rPr>
      </w:pPr>
      <w:r>
        <w:rPr>
          <w:b/>
          <w:bCs/>
          <w:sz w:val="28"/>
          <w:szCs w:val="28"/>
          <w:u w:val="single"/>
        </w:rPr>
        <w:t>Motie</w:t>
      </w:r>
      <w:r>
        <w:rPr>
          <w:b/>
          <w:bCs/>
          <w:u w:val="single"/>
        </w:rPr>
        <w:tab/>
        <w:t xml:space="preserve"> </w:t>
      </w:r>
    </w:p>
    <w:p w:rsidR="00906866" w:rsidRDefault="00906866">
      <w:pPr>
        <w:keepNext/>
        <w:spacing w:after="0" w:line="240" w:lineRule="auto"/>
      </w:pPr>
    </w:p>
    <w:p w:rsidR="00906866" w:rsidRDefault="007209AC">
      <w:pPr>
        <w:keepNext/>
        <w:spacing w:after="0" w:line="240" w:lineRule="auto"/>
      </w:pPr>
      <w:r>
        <w:rPr>
          <w:b/>
          <w:bCs/>
        </w:rPr>
        <w:t>Datum</w:t>
      </w:r>
      <w:r>
        <w:rPr>
          <w:b/>
          <w:bCs/>
        </w:rPr>
        <w:tab/>
      </w:r>
      <w:r>
        <w:rPr>
          <w:b/>
          <w:bCs/>
        </w:rPr>
        <w:tab/>
        <w:t>: 11 juni 2020</w:t>
      </w:r>
      <w:r>
        <w:rPr>
          <w:b/>
          <w:bCs/>
        </w:rPr>
        <w:tab/>
      </w:r>
      <w:r>
        <w:rPr>
          <w:b/>
          <w:bCs/>
        </w:rPr>
        <w:tab/>
      </w:r>
    </w:p>
    <w:p w:rsidR="00906866" w:rsidRDefault="00906866">
      <w:pPr>
        <w:keepNext/>
        <w:spacing w:after="0" w:line="240" w:lineRule="auto"/>
      </w:pPr>
    </w:p>
    <w:p w:rsidR="00906866" w:rsidRDefault="007209AC">
      <w:pPr>
        <w:keepNext/>
        <w:spacing w:after="0" w:line="240" w:lineRule="auto"/>
      </w:pPr>
      <w:r>
        <w:rPr>
          <w:b/>
          <w:bCs/>
        </w:rPr>
        <w:t xml:space="preserve">Fracties           : </w:t>
      </w:r>
      <w:r>
        <w:t xml:space="preserve">VVD, </w:t>
      </w:r>
    </w:p>
    <w:p w:rsidR="00906866" w:rsidRDefault="00906866">
      <w:pPr>
        <w:keepNext/>
        <w:spacing w:after="0" w:line="240" w:lineRule="auto"/>
      </w:pPr>
    </w:p>
    <w:p w:rsidR="00906866" w:rsidRDefault="007209AC">
      <w:pPr>
        <w:keepNext/>
        <w:spacing w:after="0" w:line="240" w:lineRule="auto"/>
      </w:pPr>
      <w:r>
        <w:rPr>
          <w:b/>
          <w:bCs/>
        </w:rPr>
        <w:t>Onderwerp</w:t>
      </w:r>
      <w:r>
        <w:rPr>
          <w:b/>
          <w:bCs/>
        </w:rPr>
        <w:tab/>
        <w:t>: Verlies van vertrouwen in de wethouder dhr. E. Giethoorn</w:t>
      </w:r>
    </w:p>
    <w:p w:rsidR="00906866" w:rsidRDefault="00906866">
      <w:pPr>
        <w:keepNext/>
        <w:spacing w:after="0" w:line="240" w:lineRule="auto"/>
      </w:pPr>
    </w:p>
    <w:p w:rsidR="00906866" w:rsidRDefault="007209AC">
      <w:pPr>
        <w:keepNext/>
        <w:spacing w:after="0" w:line="240" w:lineRule="auto"/>
      </w:pPr>
      <w:r>
        <w:t>De raad van de gemeente Hoogeveen</w:t>
      </w:r>
    </w:p>
    <w:p w:rsidR="00906866" w:rsidRDefault="00906866">
      <w:pPr>
        <w:keepNext/>
        <w:spacing w:after="0" w:line="240" w:lineRule="auto"/>
      </w:pPr>
    </w:p>
    <w:p w:rsidR="00906866" w:rsidRDefault="007209AC">
      <w:pPr>
        <w:keepNext/>
        <w:spacing w:after="0" w:line="240" w:lineRule="auto"/>
      </w:pPr>
      <w:r>
        <w:t>Gehoord de beraadslaging,</w:t>
      </w:r>
    </w:p>
    <w:p w:rsidR="00906866" w:rsidRDefault="00906866">
      <w:pPr>
        <w:keepNext/>
        <w:spacing w:after="0" w:line="240" w:lineRule="auto"/>
      </w:pPr>
    </w:p>
    <w:p w:rsidR="00906866" w:rsidRDefault="007209AC">
      <w:pPr>
        <w:keepNext/>
        <w:spacing w:after="0" w:line="240" w:lineRule="auto"/>
      </w:pPr>
      <w:r>
        <w:t>Constateert dat: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</w:t>
      </w:r>
      <w:r>
        <w:t xml:space="preserve">wethouder uitvoering heeft gegeven aan de besteding van het </w:t>
      </w:r>
      <w:proofErr w:type="spellStart"/>
      <w:r>
        <w:t>Binnenstadsfonds</w:t>
      </w:r>
      <w:proofErr w:type="spellEnd"/>
      <w:r>
        <w:t xml:space="preserve"> op een manier die risicovol is en op een manier waarin op geen enkel moment blijk is gegeven van enige vorm van zelfreflectie, tijdgeest en samenwerking;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wethouder als lid van </w:t>
      </w:r>
      <w:r>
        <w:t>het college een pand heeft aangekocht zonder zich te beseffen dat hiermee een precedent werd geschapen;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>De wethouder geheimhouding heeft afgesproken met de verkoper, zonder dat hiertoe een reden is aan te merken;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wethouder bewust heeft gekozen voor </w:t>
      </w:r>
      <w:r w:rsidR="007D1894">
        <w:t>het</w:t>
      </w:r>
      <w:r>
        <w:t xml:space="preserve"> </w:t>
      </w:r>
      <w:r>
        <w:t>NIET informeren van de raad over de aankoop tot NA het passeren van de koopakte bij de notaris;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wethouder pas in actie komt qua communicatie naar de raad nadat hij erachter komt dat het </w:t>
      </w:r>
      <w:proofErr w:type="spellStart"/>
      <w:r>
        <w:t>DvhN</w:t>
      </w:r>
      <w:proofErr w:type="spellEnd"/>
      <w:r>
        <w:t xml:space="preserve"> </w:t>
      </w:r>
      <w:r>
        <w:t xml:space="preserve">op de hoogte is van de op </w:t>
      </w:r>
      <w:r w:rsidR="00C829DA">
        <w:t>handen</w:t>
      </w:r>
      <w:r>
        <w:t xml:space="preserve"> zijnde aankoop van het pand. Dit gedrag in strijd met afspraken is, laakbaar is en niet past bij een bestuurder waarbij betrou</w:t>
      </w:r>
      <w:r>
        <w:t>wbaarheid een eerste voorwaarde dient te zijn;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>De wethouder hierdoor de raad demoniseert, en schoffeert;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>De wethouder vanaf het moment dat hij erachter komt dat de media weet heeft van de koop, alleen een brief stuurt aan de raad en niet de broodnodige, wa</w:t>
      </w:r>
      <w:r>
        <w:t>rme verbinding zoekt waar hij en het college de laatste maanden zo vaak over spreken;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communicatie rondom de op </w:t>
      </w:r>
      <w:r w:rsidR="00A6717C">
        <w:t>handen</w:t>
      </w:r>
      <w:r>
        <w:t xml:space="preserve"> zijnde aankoop naar de gemeenteraad en naar de ondernemers, stakeholders en inwoners onder de maat is gebleken en zo geen recht wordt g</w:t>
      </w:r>
      <w:r>
        <w:t>edaan aan fatsoenlijk, transparant openbaar bestuur;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Deze wethouder met diverse dossiers, een uitgaven stop en een begrotingswijziging te maken heeft </w:t>
      </w:r>
      <w:r>
        <w:t>waarbij van hem zeker verwacht mag worden dat hij genoemde partijen tijdig, zorgvuldig en zo volledig moge</w:t>
      </w:r>
      <w:r>
        <w:t>lijk informeert;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overige winkeliers uit de Tamboerpassage de op </w:t>
      </w:r>
      <w:r w:rsidR="00CA7F03">
        <w:t>handen</w:t>
      </w:r>
      <w:r>
        <w:t xml:space="preserve"> zijnde aankoop van het pand door de gemeente uit derde hand en de media moesten vernemen;</w:t>
      </w:r>
    </w:p>
    <w:p w:rsidR="00906866" w:rsidRDefault="007209AC">
      <w:pPr>
        <w:keepNext/>
        <w:numPr>
          <w:ilvl w:val="0"/>
          <w:numId w:val="2"/>
        </w:numPr>
        <w:spacing w:after="0" w:line="240" w:lineRule="auto"/>
      </w:pPr>
      <w:r>
        <w:t xml:space="preserve">De wethouder niet kan aangeven op welke termijn en met welke scenario’s gewerkt wordt om het </w:t>
      </w:r>
      <w:r>
        <w:t>pand te kunnen verhuren met een maatschappelijke bestemming.</w:t>
      </w:r>
      <w:r>
        <w:br/>
      </w:r>
    </w:p>
    <w:p w:rsidR="00906866" w:rsidRDefault="007209AC">
      <w:pPr>
        <w:spacing w:after="0" w:line="240" w:lineRule="auto"/>
        <w:ind w:left="426" w:hanging="426"/>
      </w:pPr>
      <w:r>
        <w:t xml:space="preserve">Overweegt dat:  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lastRenderedPageBreak/>
        <w:t>De wethouder geen blijkt heeft gegeven een dossier van deze allure bestuurlijk aan te kunnen sturen;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 xml:space="preserve">De wethouder keer op keer verzaakt in goede communicatie met de </w:t>
      </w:r>
      <w:r>
        <w:t>ondernemers uit de Tamboerpassage zoals van een bestuurder verwacht mag worden;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 xml:space="preserve">De wethouder geen persoonlijke actie heeft ondernomen nadat </w:t>
      </w:r>
      <w:proofErr w:type="spellStart"/>
      <w:r>
        <w:t>DvhN</w:t>
      </w:r>
      <w:proofErr w:type="spellEnd"/>
      <w:r>
        <w:t xml:space="preserve"> achter de deal kwam om de communicatie en bijhorende verbinding vorm te geven naar de raad en de ondernemers;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H</w:t>
      </w:r>
      <w:r>
        <w:t>et leervermogen van de wethouder tekort schiet om de huidige uitdagingen het hoofd te bieden;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Het samenwerkingsvermogen tussen wethouder en overige collegeleden tekort schiet om de huidige uitdagingen het hoofd te bieden;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We midden in een financiële crisis</w:t>
      </w:r>
      <w:r>
        <w:t xml:space="preserve"> verkeren met grote </w:t>
      </w:r>
      <w:r w:rsidR="0016088E">
        <w:t>financiële</w:t>
      </w:r>
      <w:r>
        <w:t xml:space="preserve"> uitdagingen en de fracties onvoldoende vertrouwen hebben dat deze wethouder het besef en de integrale kennis heeft van alles wat er momenteel speelt;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Het bewust niet informeren van de raad deze wethouder zwaar aangerekend die</w:t>
      </w:r>
      <w:r>
        <w:t>nt te worden.</w:t>
      </w:r>
      <w:r>
        <w:br/>
      </w:r>
    </w:p>
    <w:p w:rsidR="00906866" w:rsidRDefault="007209AC">
      <w:pPr>
        <w:keepNext/>
        <w:spacing w:after="0" w:line="240" w:lineRule="auto"/>
        <w:rPr>
          <w:b/>
          <w:bCs/>
        </w:rPr>
      </w:pPr>
      <w:r>
        <w:rPr>
          <w:b/>
          <w:bCs/>
        </w:rPr>
        <w:t>Spreekt uit: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Dat de vertrouwensrelatie tussen de fractie en de wethouder om alle hierboven genoemde redenen is geschaad,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Dat het de wethouder valt aan te rekenen dat de vertrouwensrelatie met de fractie is geschonden,</w:t>
      </w:r>
    </w:p>
    <w:p w:rsidR="00906866" w:rsidRDefault="007209AC">
      <w:pPr>
        <w:numPr>
          <w:ilvl w:val="0"/>
          <w:numId w:val="4"/>
        </w:numPr>
        <w:spacing w:after="0" w:line="240" w:lineRule="auto"/>
      </w:pPr>
      <w:r>
        <w:t>Het vertrouwen in de we</w:t>
      </w:r>
      <w:r>
        <w:t>thouder op te zeggen.</w:t>
      </w:r>
    </w:p>
    <w:p w:rsidR="00906866" w:rsidRDefault="00906866">
      <w:pPr>
        <w:spacing w:after="0" w:line="240" w:lineRule="auto"/>
      </w:pPr>
    </w:p>
    <w:p w:rsidR="00906866" w:rsidRDefault="007209AC">
      <w:pPr>
        <w:spacing w:after="0" w:line="240" w:lineRule="auto"/>
      </w:pPr>
      <w:r>
        <w:t>En gaat over tot de orde van de dag</w:t>
      </w:r>
      <w:r>
        <w:tab/>
      </w:r>
    </w:p>
    <w:p w:rsidR="00906866" w:rsidRDefault="00906866">
      <w:pPr>
        <w:spacing w:after="0" w:line="240" w:lineRule="auto"/>
      </w:pPr>
    </w:p>
    <w:p w:rsidR="00906866" w:rsidRDefault="007209AC">
      <w:pPr>
        <w:spacing w:after="0" w:line="240" w:lineRule="auto"/>
      </w:pPr>
      <w:r>
        <w:rPr>
          <w:b/>
          <w:bCs/>
        </w:rPr>
        <w:t>Fractie</w:t>
      </w:r>
      <w:r>
        <w:rPr>
          <w:b/>
          <w:bCs/>
        </w:rPr>
        <w:tab/>
      </w:r>
      <w:r>
        <w:rPr>
          <w:b/>
          <w:bCs/>
        </w:rPr>
        <w:tab/>
        <w:t>Naam raadslid</w:t>
      </w:r>
      <w:r>
        <w:t xml:space="preserve"> </w:t>
      </w:r>
    </w:p>
    <w:p w:rsidR="00906866" w:rsidRDefault="00906866">
      <w:pPr>
        <w:spacing w:after="0" w:line="240" w:lineRule="auto"/>
      </w:pPr>
    </w:p>
    <w:p w:rsidR="00906866" w:rsidRDefault="007209AC">
      <w:pPr>
        <w:spacing w:after="0" w:line="240" w:lineRule="auto"/>
      </w:pPr>
      <w:r>
        <w:t>VVD</w:t>
      </w:r>
      <w:r>
        <w:tab/>
      </w:r>
      <w:r>
        <w:tab/>
      </w:r>
      <w:r>
        <w:t>Debbie Bruijn-van den Berg</w:t>
      </w:r>
    </w:p>
    <w:p w:rsidR="00906866" w:rsidRDefault="007209AC">
      <w:pPr>
        <w:spacing w:after="0" w:line="240" w:lineRule="auto"/>
      </w:pPr>
      <w:r>
        <w:br/>
      </w:r>
    </w:p>
    <w:sectPr w:rsidR="0090686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9AC" w:rsidRDefault="007209AC">
      <w:pPr>
        <w:spacing w:after="0" w:line="240" w:lineRule="auto"/>
      </w:pPr>
      <w:r>
        <w:separator/>
      </w:r>
    </w:p>
  </w:endnote>
  <w:endnote w:type="continuationSeparator" w:id="0">
    <w:p w:rsidR="007209AC" w:rsidRDefault="0072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866" w:rsidRDefault="00906866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9AC" w:rsidRDefault="007209AC">
      <w:pPr>
        <w:spacing w:after="0" w:line="240" w:lineRule="auto"/>
      </w:pPr>
      <w:r>
        <w:separator/>
      </w:r>
    </w:p>
  </w:footnote>
  <w:footnote w:type="continuationSeparator" w:id="0">
    <w:p w:rsidR="007209AC" w:rsidRDefault="0072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866" w:rsidRDefault="00906866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35476"/>
    <w:multiLevelType w:val="hybridMultilevel"/>
    <w:tmpl w:val="FFFFFFFF"/>
    <w:numStyleLink w:val="Gemporteerdestijl1"/>
  </w:abstractNum>
  <w:abstractNum w:abstractNumId="1" w15:restartNumberingAfterBreak="0">
    <w:nsid w:val="5C033B67"/>
    <w:multiLevelType w:val="hybridMultilevel"/>
    <w:tmpl w:val="FFFFFFFF"/>
    <w:styleLink w:val="Gemporteerdestijl2"/>
    <w:lvl w:ilvl="0" w:tplc="5588C0B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06E0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25B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0F82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2CAF7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EC2F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0C3E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C690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2DFA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ED67C11"/>
    <w:multiLevelType w:val="hybridMultilevel"/>
    <w:tmpl w:val="FFFFFFFF"/>
    <w:styleLink w:val="Gemporteerdestijl1"/>
    <w:lvl w:ilvl="0" w:tplc="B50E51A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263F7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C32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4B2A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E37B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E240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8EE4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80D6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4F63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1619D9"/>
    <w:multiLevelType w:val="hybridMultilevel"/>
    <w:tmpl w:val="FFFFFFFF"/>
    <w:numStyleLink w:val="Gemporteerdestijl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66"/>
    <w:rsid w:val="0016088E"/>
    <w:rsid w:val="007209AC"/>
    <w:rsid w:val="007D1894"/>
    <w:rsid w:val="00906866"/>
    <w:rsid w:val="00A6717C"/>
    <w:rsid w:val="00BB430E"/>
    <w:rsid w:val="00C829DA"/>
    <w:rsid w:val="00C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E5B75"/>
  <w15:docId w15:val="{12E7C4E4-782C-8A40-8518-7072A26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2983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e.m.noordzij@gmail.com</cp:lastModifiedBy>
  <cp:revision>7</cp:revision>
  <dcterms:created xsi:type="dcterms:W3CDTF">2020-06-10T11:15:00Z</dcterms:created>
  <dcterms:modified xsi:type="dcterms:W3CDTF">2020-06-10T11:18:00Z</dcterms:modified>
</cp:coreProperties>
</file>