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7474" w:leader="none"/>
        </w:tabs>
        <w:ind w:left="116" w:hanging="0"/>
        <w:rPr>
          <w:rFonts w:ascii="Times New Roman" w:hAnsi="Times New Roman"/>
          <w:sz w:val="20"/>
        </w:rPr>
      </w:pPr>
      <w:r>
        <w:rPr/>
        <mc:AlternateContent>
          <mc:Choice Requires="wpg">
            <w:drawing>
              <wp:inline distT="0" distB="0" distL="114300" distR="114300">
                <wp:extent cx="3229610" cy="567690"/>
                <wp:effectExtent l="0" t="0" r="0" b="0"/>
                <wp:docPr id="1" name=""/>
                <a:graphic xmlns:a="http://schemas.openxmlformats.org/drawingml/2006/main">
                  <a:graphicData uri="http://schemas.microsoft.com/office/word/2010/wordprocessingGroup">
                    <wpg:wgp>
                      <wpg:cNvGrpSpPr/>
                      <wpg:grpSpPr>
                        <a:xfrm>
                          <a:off x="0" y="0"/>
                          <a:ext cx="3228840" cy="567000"/>
                        </a:xfrm>
                      </wpg:grpSpPr>
                      <pic:pic xmlns:pic="http://schemas.openxmlformats.org/drawingml/2006/picture">
                        <pic:nvPicPr>
                          <pic:cNvPr id="0" name="" descr=""/>
                          <pic:cNvPicPr/>
                        </pic:nvPicPr>
                        <pic:blipFill>
                          <a:blip r:embed="rId2"/>
                          <a:stretch/>
                        </pic:blipFill>
                        <pic:spPr>
                          <a:xfrm>
                            <a:off x="0" y="0"/>
                            <a:ext cx="3228840" cy="457920"/>
                          </a:xfrm>
                          <a:prstGeom prst="rect">
                            <a:avLst/>
                          </a:prstGeom>
                          <a:ln>
                            <a:noFill/>
                          </a:ln>
                        </pic:spPr>
                      </pic:pic>
                      <wps:wsp>
                        <wps:cNvSpPr/>
                        <wps:nvSpPr>
                          <wps:cNvPr id="1" name="Rectangle 1"/>
                          <wps:cNvSpPr/>
                        </wps:nvSpPr>
                        <wps:spPr>
                          <a:xfrm>
                            <a:off x="0" y="457200"/>
                            <a:ext cx="3228840" cy="109800"/>
                          </a:xfrm>
                          <a:prstGeom prst="rect">
                            <a:avLst/>
                          </a:prstGeom>
                          <a:solidFill>
                            <a:srgbClr val="ff7609"/>
                          </a:solidFill>
                          <a:ln>
                            <a:noFill/>
                          </a:ln>
                        </wps:spPr>
                        <wps:bodyPr/>
                      </wps:wsp>
                    </wpg:wgp>
                  </a:graphicData>
                </a:graphic>
              </wp:inline>
            </w:drawing>
          </mc:Choice>
          <mc:Fallback>
            <w:pict>
              <v:group id="shape_0" style="position:absolute;margin-left:0pt;margin-top:-44.7pt;width:254.25pt;height:44.65pt" coordorigin="0,-894" coordsize="5085,893">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left:0;top:-894;width:5084;height:720;mso-position-vertical:top" type="shapetype_75">
                  <v:imagedata r:id="rId2" o:detectmouseclick="t"/>
                  <w10:wrap type="none"/>
                  <v:stroke color="#3465a4" joinstyle="round" endcap="flat"/>
                </v:shape>
                <v:rect id="shape_0" fillcolor="#ff7609" stroked="f" style="position:absolute;left:0;top:-174;width:5084;height:172;mso-position-vertical:top">
                  <w10:wrap type="none"/>
                  <v:fill o:detectmouseclick="t" type="solid" color2="#0089f6"/>
                  <v:stroke color="#3465a4" joinstyle="round" endcap="flat"/>
                </v:rect>
              </v:group>
            </w:pict>
          </mc:Fallback>
        </mc:AlternateContent>
      </w:r>
      <w:r>
        <w:rPr>
          <w:rFonts w:ascii="Times New Roman" w:hAnsi="Times New Roman"/>
          <w:position w:val="31"/>
          <w:sz w:val="20"/>
        </w:rPr>
        <w:tab/>
      </w:r>
      <w:r>
        <w:rPr/>
        <w:drawing>
          <wp:inline distT="0" distB="0" distL="0" distR="0">
            <wp:extent cx="885825" cy="1014730"/>
            <wp:effectExtent l="0" t="0" r="0" b="0"/>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3"/>
                    <a:stretch>
                      <a:fillRect/>
                    </a:stretch>
                  </pic:blipFill>
                  <pic:spPr bwMode="auto">
                    <a:xfrm>
                      <a:off x="0" y="0"/>
                      <a:ext cx="885825" cy="1014730"/>
                    </a:xfrm>
                    <a:prstGeom prst="rect">
                      <a:avLst/>
                    </a:prstGeom>
                  </pic:spPr>
                </pic:pic>
              </a:graphicData>
            </a:graphic>
          </wp:inline>
        </w:drawing>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6" w:after="1"/>
        <w:rPr>
          <w:rFonts w:ascii="Times New Roman" w:hAnsi="Times New Roman"/>
          <w:i w:val="false"/>
          <w:i w:val="false"/>
          <w:sz w:val="21"/>
        </w:rPr>
      </w:pPr>
      <w:r>
        <w:rPr>
          <w:rFonts w:ascii="Times New Roman" w:hAnsi="Times New Roman"/>
          <w:i w:val="false"/>
          <w:sz w:val="21"/>
        </w:rPr>
      </w:r>
    </w:p>
    <w:tbl>
      <w:tblPr>
        <w:tblStyle w:val="TableNormal"/>
        <w:tblW w:w="8898" w:type="dxa"/>
        <w:jc w:val="left"/>
        <w:tblInd w:w="126" w:type="dxa"/>
        <w:tblCellMar>
          <w:top w:w="0" w:type="dxa"/>
          <w:left w:w="108" w:type="dxa"/>
          <w:bottom w:w="0" w:type="dxa"/>
          <w:right w:w="108" w:type="dxa"/>
        </w:tblCellMar>
        <w:tblLook w:val="01e0"/>
      </w:tblPr>
      <w:tblGrid>
        <w:gridCol w:w="2361"/>
        <w:gridCol w:w="3269"/>
        <w:gridCol w:w="3268"/>
      </w:tblGrid>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Naam indiener(s)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Greetje Bos (wethouder Breda)</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Gemeente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Zie hierboven</w:t>
            </w:r>
          </w:p>
        </w:tc>
      </w:tr>
      <w:tr>
        <w:trPr>
          <w:trHeight w:val="505"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van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eastAsia="Arial" w:cs="Arial"/>
                <w:lang w:val="nl-NL" w:eastAsia="nl-NL" w:bidi="nl-NL"/>
              </w:rPr>
            </w:pPr>
            <w:r>
              <w:rPr>
                <w:rFonts w:eastAsia="Arial" w:cs="Arial" w:ascii="Times New Roman" w:hAnsi="Times New Roman"/>
                <w:lang w:val="nl-NL" w:eastAsia="nl-NL" w:bidi="nl-NL"/>
              </w:rPr>
              <w:t>2623</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tot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2625</w:t>
            </w:r>
          </w:p>
        </w:tc>
      </w:tr>
      <w:tr>
        <w:trPr>
          <w:trHeight w:val="1562"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Actie :</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42" w:leader="none"/>
              </w:tabs>
              <w:spacing w:lineRule="exact" w:line="264"/>
              <w:ind w:left="157" w:hanging="0"/>
              <w:rPr>
                <w:b/>
                <w:b/>
              </w:rPr>
            </w:pPr>
            <w:r>
              <w:rPr>
                <w:rFonts w:cs="Monotype Sorts" w:ascii="Monotype Sorts" w:hAnsi="Monotype Sorts"/>
                <w:b/>
                <w:color w:val="0D1D6E"/>
              </w:rPr>
              <w:t>Wijziging</w:t>
            </w:r>
          </w:p>
        </w:tc>
        <w:tc>
          <w:tcPr>
            <w:tcW w:w="3268"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33" w:leader="none"/>
              </w:tabs>
              <w:ind w:hanging="0"/>
              <w:rPr>
                <w:rFonts w:ascii="Arial" w:hAnsi="Arial" w:eastAsia="Arial" w:cs="Arial"/>
                <w:b/>
                <w:b/>
                <w:color w:val="0D1D6E"/>
                <w:lang w:val="nl-NL" w:eastAsia="nl-NL" w:bidi="nl-NL"/>
              </w:rPr>
            </w:pPr>
            <w:r>
              <w:rPr>
                <w:rFonts w:eastAsia="Arial" w:cs="Arial"/>
                <w:b/>
                <w:color w:val="0D1D6E"/>
                <w:lang w:val="nl-NL" w:eastAsia="nl-NL" w:bidi="nl-NL"/>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Originele tekst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w:t>
            </w:r>
            <w:r>
              <w:rPr>
                <w:rFonts w:ascii="Times New Roman" w:hAnsi="Times New Roman"/>
              </w:rPr>
              <w:t>Softdrugs kunnen alleen als sluitstuk van een harde, creatieve en succesvolle criminaliteitsaanpak gecontroleerd worden gereguleerd. Dit kan ook alleen wanneer de schadelijkheid (giftigheid, verslavingsrisico, maatschappelijke effecten) in gereguleerde omstandigheden beperkt is, wanneer het maatschappelijk draagvlak voor het verboden houden van het middel laag is en de handhaving van een verbod een inspanning vraagt die in redelijkheid niet van de overheid kan worden gevraagd. De uitkomsten van het lopende ‘experiment gesloten coffeeshopketen’ wachten we af voordat eventuele nieuwe stappen kunnen worden gezet in de richting van regulering van de kweek van en handel in softdrugs.”</w:t>
            </w:r>
          </w:p>
        </w:tc>
      </w:tr>
      <w:tr>
        <w:trPr>
          <w:trHeight w:val="2531"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auto" w:line="480"/>
              <w:ind w:left="110" w:right="106" w:hanging="0"/>
              <w:rPr>
                <w:b/>
                <w:b/>
              </w:rPr>
            </w:pPr>
            <w:r>
              <w:rPr>
                <w:b/>
                <w:color w:val="0D1D6E"/>
              </w:rPr>
              <w:t>Wijzigingen in / Toegevoegde tekst / Motie / Vraag/opmerking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i/>
                <w:i/>
              </w:rPr>
            </w:pPr>
            <w:r>
              <w:rPr>
                <w:rFonts w:ascii="Times New Roman" w:hAnsi="Times New Roman"/>
              </w:rPr>
              <w:t>“</w:t>
            </w:r>
            <w:r>
              <w:rPr>
                <w:rFonts w:ascii="Times New Roman" w:hAnsi="Times New Roman"/>
                <w:i/>
                <w:color w:val="FF0000"/>
              </w:rPr>
              <w:t>Nu het maatschappelijk draagvlak voor normalisering van softdrugs is toegenomen en een verbod op softdrugs niet meer te handhaven valt, zal softdrugs als verboden middel uit het strafrecht worden gehaald. Hiermee wordt het verdienmodel achter deze drugs weggehaald. Tevens zal hierdoor de volksgezondheid beter kunnen worden gewaarborgd nu er met regulering en voorlichting beter kan worden toegezien op het gebruik van softdrugs. Er wordt ingezet op regulering aan de voorkant van de keten, strenge voorwaarden waaronder mag worden geteeld en verkocht, een intensief ontmoedigings- en voorlichtingsprogramma en geen verkoop aan minderjarigen. Daarnaast wordt streng opgetreden tegen de illegale markt.</w:t>
            </w:r>
            <w:r>
              <w:rPr>
                <w:rFonts w:ascii="Times New Roman" w:hAnsi="Times New Roman"/>
                <w:i/>
              </w:rPr>
              <w:t>”</w:t>
            </w:r>
          </w:p>
          <w:p>
            <w:pPr>
              <w:pStyle w:val="TableParagraph"/>
              <w:rPr>
                <w:rFonts w:ascii="Times New Roman" w:hAnsi="Times New Roman"/>
              </w:rPr>
            </w:pPr>
            <w:r>
              <w:rPr>
                <w:rFonts w:ascii="Times New Roman" w:hAnsi="Times New Roman"/>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rPr>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 xml:space="preserve">Het verkiezingsprogramma ademt de noodzaak tot een integrale aanpak van ondermijning door drugscriminaliteit. Het is 10 over 12. De VVD loopt niet weg voor deze ongemakkelijke waarheid en neemt verantwoordelijkheid. Dat zien we terug in deze paragraaf.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aanpak van ondermijnende criminaliteit is het daarom noodzakelijk iets anders te gaan doen dan we de afgelopen decennia hebben gedaan. Omdat we anders krijgen wat we al die decennia hebben gekregen: drugsmoorden, een verloren generatie jongeren en steenrijke drugscriminelen die met dat geld de samenleving kapot maken.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Het Masterplan bestrijding Ondermijning</w:t>
            </w:r>
            <w:r>
              <w:rPr>
                <w:rStyle w:val="FootnoteAnchor"/>
                <w:rFonts w:ascii="Times New Roman" w:hAnsi="Times New Roman"/>
              </w:rPr>
              <w:footnoteReference w:id="2"/>
            </w:r>
            <w:r>
              <w:rPr>
                <w:rFonts w:ascii="Times New Roman" w:hAnsi="Times New Roman"/>
              </w:rPr>
              <w:t xml:space="preserve"> kent vier onderdelen om de strijd aan te gaan. Het gaat om repressie, preventie, versterking van de strafrechtketen en het onderuit halen van het verdienmodel achter de drugscriminaliteit. Die vier onderdelen kunnen niet zonder elkaar. In het verkiezingsprogramma komen daarvan </w:t>
            </w:r>
            <w:r>
              <w:rPr>
                <w:rFonts w:ascii="Times New Roman" w:hAnsi="Times New Roman"/>
                <w:b/>
              </w:rPr>
              <w:t>repressie</w:t>
            </w:r>
            <w:r>
              <w:rPr>
                <w:rFonts w:ascii="Times New Roman" w:hAnsi="Times New Roman"/>
              </w:rPr>
              <w:t xml:space="preserve">, preventie en het wegnemen van het verdienmodel terug.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We missen in het verkiezingsprogramma een onderdeel en twee onderdelen zijn niet of niet helemaal uitgewerkt.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Versterking van de strafrechtketen</w:t>
            </w:r>
            <w:r>
              <w:rPr>
                <w:rFonts w:ascii="Times New Roman" w:hAnsi="Times New Roman"/>
              </w:rPr>
              <w:t xml:space="preserve"> in kwantitatieve en kwalitatieve zin ontbreekt in het verkiezingsprogramma. Dat kan niet achterblijven als we het probleem van de ondermijnende criminaliteit willen aanpakken. Er zijn in de komende decennia meer competente mensen nodig die bereid en in staat zijn dit steeds zwaardere werk, wat veel offers van de mensen vraagt, te blijven en te gaan doen.</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Preventie</w:t>
            </w:r>
            <w:r>
              <w:rPr>
                <w:rFonts w:ascii="Times New Roman" w:hAnsi="Times New Roman"/>
              </w:rPr>
              <w:t xml:space="preserve"> is genoemd, maar nog niet uitgewerkt. We hebben een forse investering nodig in goede jeugd projecten die ons helpen de jeugd van het criminele pad af te houden.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Het onderuit halen van het verdienmodel</w:t>
            </w:r>
            <w:r>
              <w:rPr>
                <w:rFonts w:ascii="Times New Roman" w:hAnsi="Times New Roman"/>
              </w:rPr>
              <w:t xml:space="preserve"> is terecht benoemd als belangrijk vehikel om ondermijning aan te pakken. Helaas hinkt het verkiezingsprogramma op twee gedachten bij dit onderdeel. Het is heel goed dat de notie van het verdienmodel in het programma is opgenomen. Echter is het vrij kansloos als dit enkel ziet op het repressief aanpakken van het verdienmodel met afpakken en betere witwasregelgeving. Dat hebben we de afgelopen decennia steeds gedaan en het resultaat is dat de rijkste mensen van Nederland niet in de Quote 500 voorkomen.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Het masterplan stelt voor softdrugs uit het strafrecht te halen omdat het verdienmodel hiermee veel beter kan worden weggehaald dan met repressie. Dat hier regulering, voorlichting, restricties voor gebruikers en ontmoedigingsbeleid flankeren is een open deur. De volksgezondheid wordt beter gediend met een gereguleerd aanbod en toezicht, dan met de ondoorzichtige miljoenen opleverende illegale markt met dito problemen die we op dit moment hebben. Als dit voorstel wordt overgenomen is het experiment gereguleerde wietteelt daarmee overbodig geworden.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De resultaten van dat (moeizaam op gang komende) experiment afwachten onderkent de urgentie van de problematiek van de ondermijnende criminaliteit onvoldoende. Het is in de ondermijning 10 over 12 geworden. Het is zeer zorgelijk wat er gebeurt op dat vlak. De belangen zijn immens, de omvang van de schaduweconomie astronomisch en het aantal deelnemers te groot en te machtig. Onze rechtsstaat kan zich dat niet meer permitteren. En daarom is het zaak dat we doorpakken in plaats van afwachten. De tijd van experimenten en evaluatie van die experimenten is voorbij; dat kan nog jaren duren en die tijd hebben we niet meer als we dit tij willen gaan keren. Dan moeten de schouders eronder en moeten we keihard doorpakken.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tekst van het verkiezingsprogramma wordt een voorbehoud gemaakt ten aanzien van het maatschappelijk draagvlak voor het uit het strafrecht halen van softdrugs. Dat is een achterhaald standpunt. De praktijk van de afgelopen decennia in Nederland leert dat softdrugs volledig zijn ingeburgerd in Nederland en er ook niet meer gaan uitburgeren. Maatschappelijk draagvlak is er allang.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 </w:t>
            </w:r>
          </w:p>
        </w:tc>
      </w:tr>
    </w:tbl>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210" w:after="0"/>
        <w:ind w:left="116" w:hanging="0"/>
        <w:rPr/>
      </w:pPr>
      <w:r>
        <w:rPr>
          <w:color w:val="0D1D6E"/>
        </w:rPr>
        <w:t>* Aangeven wat van toepassing is (slechts één optie per amendement mogelijk)</w:t>
      </w:r>
    </w:p>
    <w:sectPr>
      <w:footnotePr>
        <w:numFmt w:val="decimal"/>
      </w:footnotePr>
      <w:type w:val="nextPage"/>
      <w:pgSz w:w="11906" w:h="16838"/>
      <w:pgMar w:left="1300" w:right="1460" w:header="0" w:top="1120" w:footer="0" w:bottom="28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swiss"/>
    <w:pitch w:val="variable"/>
  </w:font>
  <w:font w:name="Times New Roman">
    <w:charset w:val="01"/>
    <w:family w:val="roman"/>
    <w:pitch w:val="variable"/>
  </w:font>
  <w:font w:name="Monotype Sorts">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Footnote"/>
        <w:rPr/>
      </w:pPr>
      <w:r>
        <w:rPr>
          <w:rStyle w:val="FootnoteCharacters"/>
        </w:rPr>
        <w:footnoteRef/>
      </w:r>
      <w:r>
        <w:rPr/>
        <w:t xml:space="preserve"> </w:t>
      </w:r>
      <w:r>
        <w:rPr>
          <w:sz w:val="18"/>
        </w:rPr>
        <w:t>Het Masterplan Bestrijding Ondermijning is geschreven door Greetje Bos, wethouder Breda, en geeft een plan met 4 onderdelen om de ondermijnende criminaliteit voor de komende decennia aan te pakken</w:t>
      </w:r>
      <w:r>
        <w:rPr>
          <w:sz w:val="20"/>
        </w:rPr>
        <w:t>.</w:t>
      </w:r>
      <w:r>
        <w:rPr/>
        <w:t xml:space="preserve"> </w:t>
      </w:r>
    </w:p>
  </w:footnote>
</w:footnotes>
</file>

<file path=word/settings.xml><?xml version="1.0" encoding="utf-8"?>
<w:settings xmlns:w="http://schemas.openxmlformats.org/wordprocessingml/2006/main">
  <w:zoom w:percent="120"/>
  <w:defaultTabStop w:val="720"/>
  <w:autoHyphenation w:val="true"/>
  <w:footnotePr>
    <w:numFmt w:val="decimal"/>
    <w:footnote w:id="0"/>
    <w:footnote w:id="1"/>
  </w:footnotePr>
  <w:compat/>
  <w:hyphenationZone w:val="425"/>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351bd7"/>
    <w:pPr>
      <w:widowControl w:val="false"/>
      <w:bidi w:val="0"/>
      <w:spacing w:before="0" w:after="0"/>
      <w:jc w:val="left"/>
    </w:pPr>
    <w:rPr>
      <w:rFonts w:ascii="Arial" w:hAnsi="Arial" w:eastAsia="Arial" w:cs="Arial"/>
      <w:color w:val="auto"/>
      <w:kern w:val="0"/>
      <w:sz w:val="22"/>
      <w:szCs w:val="22"/>
      <w:lang w:val="nl-NL" w:eastAsia="nl-NL" w:bidi="nl-NL"/>
    </w:rPr>
  </w:style>
  <w:style w:type="character" w:styleId="DefaultParagraphFont" w:default="1">
    <w:name w:val="Default Paragraph Font"/>
    <w:semiHidden/>
    <w:unhideWhenUsed/>
    <w:qFormat/>
    <w:rPr/>
  </w:style>
  <w:style w:type="character" w:styleId="BallontekstTeken" w:customStyle="1">
    <w:name w:val="Ballontekst Teken"/>
    <w:basedOn w:val="DefaultParagraphFont"/>
    <w:link w:val="Ballontekst"/>
    <w:uiPriority w:val="99"/>
    <w:semiHidden/>
    <w:qFormat/>
    <w:rsid w:val="00b405cb"/>
    <w:rPr>
      <w:rFonts w:ascii="Lucida Grande" w:hAnsi="Lucida Grande" w:eastAsia="Arial" w:cs="Arial"/>
      <w:sz w:val="18"/>
      <w:szCs w:val="18"/>
      <w:lang w:val="nl-NL" w:eastAsia="nl-NL" w:bidi="nl-NL"/>
    </w:rPr>
  </w:style>
  <w:style w:type="character" w:styleId="VoetnoottekstTeken" w:customStyle="1">
    <w:name w:val="Voetnoottekst Teken"/>
    <w:basedOn w:val="DefaultParagraphFont"/>
    <w:link w:val="Voetnoottekst"/>
    <w:uiPriority w:val="99"/>
    <w:semiHidden/>
    <w:qFormat/>
    <w:rsid w:val="00e0323a"/>
    <w:rPr>
      <w:rFonts w:ascii="Arial" w:hAnsi="Arial" w:eastAsia="Arial" w:cs="Arial"/>
      <w:sz w:val="24"/>
      <w:szCs w:val="24"/>
      <w:lang w:val="nl-NL" w:eastAsia="nl-NL" w:bidi="nl-NL"/>
    </w:rPr>
  </w:style>
  <w:style w:type="character" w:styleId="FootnoteCharacters">
    <w:name w:val="Footnote Characters"/>
    <w:basedOn w:val="DefaultParagraphFont"/>
    <w:uiPriority w:val="99"/>
    <w:semiHidden/>
    <w:unhideWhenUsed/>
    <w:qFormat/>
    <w:rsid w:val="00e0323a"/>
    <w:rPr>
      <w:vertAlign w:val="superscrip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1"/>
    <w:qFormat/>
    <w:rsid w:val="00351bd7"/>
    <w:pPr/>
    <w:rPr>
      <w:i/>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1"/>
    <w:qFormat/>
    <w:rsid w:val="00351bd7"/>
    <w:pPr/>
    <w:rPr/>
  </w:style>
  <w:style w:type="paragraph" w:styleId="TableParagraph" w:customStyle="1">
    <w:name w:val="Table Paragraph"/>
    <w:basedOn w:val="Normal"/>
    <w:uiPriority w:val="1"/>
    <w:qFormat/>
    <w:rsid w:val="00351bd7"/>
    <w:pPr/>
    <w:rPr/>
  </w:style>
  <w:style w:type="paragraph" w:styleId="BalloonText">
    <w:name w:val="Balloon Text"/>
    <w:basedOn w:val="Normal"/>
    <w:link w:val="BallontekstTeken"/>
    <w:uiPriority w:val="99"/>
    <w:semiHidden/>
    <w:unhideWhenUsed/>
    <w:qFormat/>
    <w:rsid w:val="00b405cb"/>
    <w:pPr/>
    <w:rPr>
      <w:rFonts w:ascii="Lucida Grande" w:hAnsi="Lucida Grande"/>
      <w:sz w:val="18"/>
      <w:szCs w:val="18"/>
    </w:rPr>
  </w:style>
  <w:style w:type="paragraph" w:styleId="Footnote">
    <w:name w:val="Footnote Text"/>
    <w:basedOn w:val="Normal"/>
    <w:link w:val="VoetnoottekstTeken"/>
    <w:uiPriority w:val="99"/>
    <w:semiHidden/>
    <w:unhideWhenUsed/>
    <w:rsid w:val="00e0323a"/>
    <w:pPr/>
    <w:rPr>
      <w:sz w:val="24"/>
      <w:szCs w:val="24"/>
    </w:rPr>
  </w:style>
  <w:style w:type="numbering" w:styleId="NoList" w:default="1">
    <w:name w:val="No List"/>
    <w:semiHidden/>
    <w:unhideWhenUsed/>
    <w:qFormat/>
  </w:style>
  <w:style w:type="table" w:default="1" w:styleId="Standaardtabel">
    <w:name w:val="Normal Table"/>
    <w:semiHidden/>
    <w:unhideWhenUsed/>
    <w:qFormat/>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351bd7"/>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E8E164CB0841408CF242EEAB64EF03" ma:contentTypeVersion="8" ma:contentTypeDescription="Een nieuw document maken." ma:contentTypeScope="" ma:versionID="95a72d69a36ed258069fc41cd14b8499">
  <xsd:schema xmlns:xsd="http://www.w3.org/2001/XMLSchema" xmlns:xs="http://www.w3.org/2001/XMLSchema" xmlns:p="http://schemas.microsoft.com/office/2006/metadata/properties" xmlns:ns3="937677d0-92cf-4714-b959-db0801afe5d8" targetNamespace="http://schemas.microsoft.com/office/2006/metadata/properties" ma:root="true" ma:fieldsID="cabe7dc09992ff765c82681c3a465f93" ns3:_="">
    <xsd:import namespace="937677d0-92cf-4714-b959-db0801afe5d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7677d0-92cf-4714-b959-db0801afe5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23521-6B06-4FC5-A5C4-1A9258EC1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7677d0-92cf-4714-b959-db0801afe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2662D-ABFE-40AA-B464-878137D5A0D2}">
  <ds:schemaRefs>
    <ds:schemaRef ds:uri="http://schemas.microsoft.com/sharepoint/v3/contenttype/forms"/>
  </ds:schemaRefs>
</ds:datastoreItem>
</file>

<file path=customXml/itemProps3.xml><?xml version="1.0" encoding="utf-8"?>
<ds:datastoreItem xmlns:ds="http://schemas.openxmlformats.org/officeDocument/2006/customXml" ds:itemID="{DB0A15E8-5C7F-44A5-BFA8-8D9A705155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LibreOffice/6.4.6.2$Linux_X86_64 LibreOffice_project/40$Build-2</Application>
  <Pages>3</Pages>
  <Words>853</Words>
  <Characters>4877</Characters>
  <CharactersWithSpaces>5717</CharactersWithSpaces>
  <Paragraphs>28</Paragraphs>
  <Company>Thuis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2020-11-11T07:35:00Z</dcterms:created>
  <dc:creator>David Vermorken</dc:creator>
  <dc:description/>
  <dc:language>en-GB</dc:language>
  <cp:lastModifiedBy/>
  <dcterms:modified xsi:type="dcterms:W3CDTF">2020-11-12T12:13:58Z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12.0001</vt:lpwstr>
  </property>
  <property fmtid="{D5CDD505-2E9C-101B-9397-08002B2CF9AE}" pid="3" name="Company">
    <vt:lpwstr>Thuis</vt:lpwstr>
  </property>
  <property fmtid="{D5CDD505-2E9C-101B-9397-08002B2CF9AE}" pid="4" name="ContentTypeId">
    <vt:lpwstr>0x0101009CE8E164CB0841408CF242EEAB64EF03</vt:lpwstr>
  </property>
  <property fmtid="{D5CDD505-2E9C-101B-9397-08002B2CF9AE}" pid="5" name="Created">
    <vt:filetime>2017-09-29T00:00:00Z</vt:filetime>
  </property>
  <property fmtid="{D5CDD505-2E9C-101B-9397-08002B2CF9AE}" pid="6" name="Creator">
    <vt:lpwstr>Microsoft® Word 2013</vt:lpwstr>
  </property>
  <property fmtid="{D5CDD505-2E9C-101B-9397-08002B2CF9AE}" pid="7" name="DocSecurity">
    <vt:i4>0</vt:i4>
  </property>
  <property fmtid="{D5CDD505-2E9C-101B-9397-08002B2CF9AE}" pid="8" name="HyperlinksChanged">
    <vt:bool>0</vt:bool>
  </property>
  <property fmtid="{D5CDD505-2E9C-101B-9397-08002B2CF9AE}" pid="9" name="LastSaved">
    <vt:filetime>2020-10-30T00:00:00Z</vt:filetime>
  </property>
  <property fmtid="{D5CDD505-2E9C-101B-9397-08002B2CF9AE}" pid="10" name="LinksUpToDate">
    <vt:bool>0</vt:bool>
  </property>
  <property fmtid="{D5CDD505-2E9C-101B-9397-08002B2CF9AE}" pid="11" name="ScaleCrop">
    <vt:bool>0</vt:bool>
  </property>
  <property fmtid="{D5CDD505-2E9C-101B-9397-08002B2CF9AE}" pid="12" name="ShareDoc">
    <vt:bool>0</vt:bool>
  </property>
</Properties>
</file>