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2" w:right="-1003" w:firstLine="0"/>
        <w:rPr/>
      </w:pPr>
      <w:r w:rsidDel="00000000" w:rsidR="00000000" w:rsidRPr="00000000">
        <w:rPr/>
        <mc:AlternateContent>
          <mc:Choice Requires="wpg">
            <w:drawing>
              <wp:inline distB="0" distT="0" distL="0" distR="0">
                <wp:extent cx="5560695" cy="1016635"/>
                <wp:effectExtent b="0" l="0" r="0" t="0"/>
                <wp:docPr id="2" name=""/>
                <a:graphic>
                  <a:graphicData uri="http://schemas.microsoft.com/office/word/2010/wordprocessingGroup">
                    <wpg:wgp>
                      <wpg:cNvGrpSpPr/>
                      <wpg:grpSpPr>
                        <a:xfrm>
                          <a:off x="2565900" y="3272040"/>
                          <a:ext cx="5560695" cy="1016635"/>
                          <a:chOff x="2565900" y="3272040"/>
                          <a:chExt cx="5560200" cy="1015920"/>
                        </a:xfrm>
                      </wpg:grpSpPr>
                      <wpg:grpSp>
                        <wpg:cNvGrpSpPr/>
                        <wpg:grpSpPr>
                          <a:xfrm>
                            <a:off x="2565900" y="3272040"/>
                            <a:ext cx="5560200" cy="1015920"/>
                            <a:chOff x="0" y="0"/>
                            <a:chExt cx="5560200" cy="1015920"/>
                          </a:xfrm>
                        </wpg:grpSpPr>
                        <wps:wsp>
                          <wps:cNvSpPr/>
                          <wps:cNvPr id="3" name="Shape 3"/>
                          <wps:spPr>
                            <a:xfrm>
                              <a:off x="0" y="0"/>
                              <a:ext cx="5560200" cy="1015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 name="Shape 4"/>
                            <pic:cNvPicPr preferRelativeResize="0"/>
                          </pic:nvPicPr>
                          <pic:blipFill rotWithShape="1">
                            <a:blip r:embed="rId7">
                              <a:alphaModFix/>
                            </a:blip>
                            <a:srcRect b="0" l="0" r="0" t="0"/>
                            <a:stretch/>
                          </pic:blipFill>
                          <pic:spPr>
                            <a:xfrm>
                              <a:off x="4675680" y="0"/>
                              <a:ext cx="884520" cy="1015920"/>
                            </a:xfrm>
                            <a:prstGeom prst="rect">
                              <a:avLst/>
                            </a:prstGeom>
                            <a:noFill/>
                            <a:ln>
                              <a:noFill/>
                            </a:ln>
                          </pic:spPr>
                        </pic:pic>
                        <pic:pic>
                          <pic:nvPicPr>
                            <pic:cNvPr id="5" name="Shape 5"/>
                            <pic:cNvPicPr preferRelativeResize="0"/>
                          </pic:nvPicPr>
                          <pic:blipFill rotWithShape="1">
                            <a:blip r:embed="rId8">
                              <a:alphaModFix/>
                            </a:blip>
                            <a:srcRect b="0" l="0" r="0" t="0"/>
                            <a:stretch/>
                          </pic:blipFill>
                          <pic:spPr>
                            <a:xfrm>
                              <a:off x="0" y="253440"/>
                              <a:ext cx="3218760" cy="372240"/>
                            </a:xfrm>
                            <a:prstGeom prst="rect">
                              <a:avLst/>
                            </a:prstGeom>
                            <a:noFill/>
                            <a:ln>
                              <a:noFill/>
                            </a:ln>
                          </pic:spPr>
                        </pic:pic>
                        <wps:wsp>
                          <wps:cNvSpPr/>
                          <wps:cNvPr id="6" name="Shape 6"/>
                          <wps:spPr>
                            <a:xfrm>
                              <a:off x="1440" y="707400"/>
                              <a:ext cx="3228480" cy="109080"/>
                            </a:xfrm>
                            <a:custGeom>
                              <a:rect b="b" l="l" r="r" t="t"/>
                              <a:pathLst>
                                <a:path extrusionOk="0" h="109728" w="3228467">
                                  <a:moveTo>
                                    <a:pt x="0" y="0"/>
                                  </a:moveTo>
                                  <a:lnTo>
                                    <a:pt x="3228467" y="0"/>
                                  </a:lnTo>
                                  <a:lnTo>
                                    <a:pt x="3228467" y="109728"/>
                                  </a:lnTo>
                                  <a:lnTo>
                                    <a:pt x="0" y="109728"/>
                                  </a:lnTo>
                                  <a:lnTo>
                                    <a:pt x="0" y="0"/>
                                  </a:lnTo>
                                </a:path>
                              </a:pathLst>
                            </a:custGeom>
                            <a:solidFill>
                              <a:srgbClr val="FF7609"/>
                            </a:solidFill>
                            <a:ln>
                              <a:noFill/>
                            </a:ln>
                          </wps:spPr>
                          <wps:bodyPr anchorCtr="0" anchor="ctr" bIns="91425" lIns="91425" spcFirstLastPara="1" rIns="91425" wrap="square" tIns="91425">
                            <a:noAutofit/>
                          </wps:bodyPr>
                        </wps:wsp>
                        <wps:wsp>
                          <wps:cNvSpPr/>
                          <wps:cNvPr id="7" name="Shape 7"/>
                          <wps:spPr>
                            <a:xfrm>
                              <a:off x="1440" y="724680"/>
                              <a:ext cx="25560" cy="119520"/>
                            </a:xfrm>
                            <a:prstGeom prst="rect">
                              <a:avLst/>
                            </a:prstGeom>
                            <a:noFill/>
                            <a:ln>
                              <a:noFill/>
                            </a:ln>
                          </wps:spPr>
                          <wps:txbx>
                            <w:txbxContent>
                              <w:p w:rsidR="00000000" w:rsidDel="00000000" w:rsidP="00000000" w:rsidRDefault="00000000" w:rsidRPr="00000000">
                                <w:pPr>
                                  <w:spacing w:after="16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4"/>
                                    <w:vertAlign w:val="baseline"/>
                                  </w:rPr>
                                  <w:t xml:space="preserve"> </w:t>
                                </w:r>
                              </w:p>
                            </w:txbxContent>
                          </wps:txbx>
                          <wps:bodyPr anchorCtr="0" anchor="t" bIns="0" lIns="0" spcFirstLastPara="1" rIns="0" wrap="square" tIns="0">
                            <a:noAutofit/>
                          </wps:bodyPr>
                        </wps:wsp>
                      </wpg:grpSp>
                    </wpg:wgp>
                  </a:graphicData>
                </a:graphic>
              </wp:inline>
            </w:drawing>
          </mc:Choice>
          <mc:Fallback>
            <w:drawing>
              <wp:inline distB="0" distT="0" distL="0" distR="0">
                <wp:extent cx="5560695" cy="1016635"/>
                <wp:effectExtent b="0" l="0" r="0" t="0"/>
                <wp:docPr id="2"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5560695" cy="101663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2">
      <w:pPr>
        <w:rPr/>
      </w:pPr>
      <w:r w:rsidDel="00000000" w:rsidR="00000000" w:rsidRPr="00000000">
        <w:rPr>
          <w:rFonts w:ascii="Calibri" w:cs="Calibri" w:eastAsia="Calibri" w:hAnsi="Calibri"/>
          <w:i w:val="0"/>
          <w:color w:val="000000"/>
          <w:rtl w:val="0"/>
        </w:rPr>
        <w:t xml:space="preserve"> </w:t>
      </w:r>
      <w:r w:rsidDel="00000000" w:rsidR="00000000" w:rsidRPr="00000000">
        <w:rPr>
          <w:rtl w:val="0"/>
        </w:rPr>
      </w:r>
    </w:p>
    <w:p w:rsidR="00000000" w:rsidDel="00000000" w:rsidP="00000000" w:rsidRDefault="00000000" w:rsidRPr="00000000" w14:paraId="00000003">
      <w:pPr>
        <w:rPr/>
      </w:pPr>
      <w:r w:rsidDel="00000000" w:rsidR="00000000" w:rsidRPr="00000000">
        <w:rPr>
          <w:rFonts w:ascii="Calibri" w:cs="Calibri" w:eastAsia="Calibri" w:hAnsi="Calibri"/>
          <w:i w:val="0"/>
          <w:color w:val="000000"/>
          <w:rtl w:val="0"/>
        </w:rPr>
        <w:t xml:space="preserve"> </w:t>
      </w:r>
      <w:r w:rsidDel="00000000" w:rsidR="00000000" w:rsidRPr="00000000">
        <w:rPr>
          <w:rtl w:val="0"/>
        </w:rPr>
      </w:r>
    </w:p>
    <w:tbl>
      <w:tblPr>
        <w:tblStyle w:val="Table1"/>
        <w:tblW w:w="8899.0" w:type="dxa"/>
        <w:jc w:val="left"/>
        <w:tblInd w:w="5.0" w:type="dxa"/>
        <w:tblLayout w:type="fixed"/>
        <w:tblLook w:val="0400"/>
      </w:tblPr>
      <w:tblGrid>
        <w:gridCol w:w="2361"/>
        <w:gridCol w:w="3271"/>
        <w:gridCol w:w="3267"/>
        <w:tblGridChange w:id="0">
          <w:tblGrid>
            <w:gridCol w:w="2361"/>
            <w:gridCol w:w="3271"/>
            <w:gridCol w:w="3267"/>
          </w:tblGrid>
        </w:tblGridChange>
      </w:tblGrid>
      <w:tr>
        <w:trPr>
          <w:trHeight w:val="516"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4">
            <w:pPr>
              <w:spacing w:line="240" w:lineRule="auto"/>
              <w:rPr/>
            </w:pPr>
            <w:r w:rsidDel="00000000" w:rsidR="00000000" w:rsidRPr="00000000">
              <w:rPr>
                <w:b w:val="1"/>
                <w:i w:val="0"/>
                <w:rtl w:val="0"/>
              </w:rPr>
              <w:t xml:space="preserve">Naam indiener(s) :  </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05">
            <w:pPr>
              <w:spacing w:line="240" w:lineRule="auto"/>
              <w:rPr/>
            </w:pPr>
            <w:r w:rsidDel="00000000" w:rsidR="00000000" w:rsidRPr="00000000">
              <w:rPr>
                <w:i w:val="0"/>
                <w:color w:val="000000"/>
                <w:rtl w:val="0"/>
              </w:rPr>
              <w:t xml:space="preserve"> Hans Lemain (Thematisch netwerk J&amp;V)</w:t>
            </w: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006">
            <w:pPr>
              <w:spacing w:after="160" w:before="0" w:line="240" w:lineRule="auto"/>
              <w:rPr/>
            </w:pPr>
            <w:r w:rsidDel="00000000" w:rsidR="00000000" w:rsidRPr="00000000">
              <w:rPr>
                <w:rtl w:val="0"/>
              </w:rPr>
            </w:r>
          </w:p>
        </w:tc>
      </w:tr>
      <w:tr>
        <w:trPr>
          <w:trHeight w:val="516"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spacing w:line="240" w:lineRule="auto"/>
              <w:rPr/>
            </w:pPr>
            <w:r w:rsidDel="00000000" w:rsidR="00000000" w:rsidRPr="00000000">
              <w:rPr>
                <w:b w:val="1"/>
                <w:i w:val="0"/>
                <w:rtl w:val="0"/>
              </w:rPr>
              <w:t xml:space="preserve">Gemeente :  </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08">
            <w:pPr>
              <w:spacing w:line="240" w:lineRule="auto"/>
              <w:rPr/>
            </w:pPr>
            <w:r w:rsidDel="00000000" w:rsidR="00000000" w:rsidRPr="00000000">
              <w:rPr>
                <w:i w:val="0"/>
                <w:color w:val="000000"/>
                <w:rtl w:val="0"/>
              </w:rPr>
              <w:t xml:space="preserve"> Amersfoort</w:t>
            </w: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009">
            <w:pPr>
              <w:spacing w:after="160" w:before="0" w:line="240" w:lineRule="auto"/>
              <w:rPr/>
            </w:pPr>
            <w:r w:rsidDel="00000000" w:rsidR="00000000" w:rsidRPr="00000000">
              <w:rPr>
                <w:rtl w:val="0"/>
              </w:rPr>
            </w:r>
          </w:p>
        </w:tc>
      </w:tr>
      <w:tr>
        <w:trPr>
          <w:trHeight w:val="516"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spacing w:line="240" w:lineRule="auto"/>
              <w:rPr/>
            </w:pPr>
            <w:r w:rsidDel="00000000" w:rsidR="00000000" w:rsidRPr="00000000">
              <w:rPr>
                <w:b w:val="1"/>
                <w:i w:val="0"/>
                <w:rtl w:val="0"/>
              </w:rPr>
              <w:t xml:space="preserve">Zinnummer van : </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0B">
            <w:pPr>
              <w:spacing w:line="240" w:lineRule="auto"/>
              <w:rPr/>
            </w:pPr>
            <w:r w:rsidDel="00000000" w:rsidR="00000000" w:rsidRPr="00000000">
              <w:rPr>
                <w:i w:val="0"/>
                <w:color w:val="000000"/>
                <w:rtl w:val="0"/>
              </w:rPr>
              <w:t xml:space="preserve"> 2601</w:t>
            </w: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00C">
            <w:pPr>
              <w:spacing w:after="160" w:before="0" w:line="240" w:lineRule="auto"/>
              <w:rPr/>
            </w:pPr>
            <w:r w:rsidDel="00000000" w:rsidR="00000000" w:rsidRPr="00000000">
              <w:rPr>
                <w:rtl w:val="0"/>
              </w:rPr>
            </w:r>
          </w:p>
        </w:tc>
      </w:tr>
      <w:tr>
        <w:trPr>
          <w:trHeight w:val="517"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line="240" w:lineRule="auto"/>
              <w:rPr/>
            </w:pPr>
            <w:r w:rsidDel="00000000" w:rsidR="00000000" w:rsidRPr="00000000">
              <w:rPr>
                <w:b w:val="1"/>
                <w:i w:val="0"/>
                <w:rtl w:val="0"/>
              </w:rPr>
              <w:t xml:space="preserve">Zinnummer tot : </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0E">
            <w:pPr>
              <w:spacing w:line="240" w:lineRule="auto"/>
              <w:rPr/>
            </w:pPr>
            <w:r w:rsidDel="00000000" w:rsidR="00000000" w:rsidRPr="00000000">
              <w:rPr>
                <w:i w:val="0"/>
                <w:color w:val="000000"/>
                <w:rtl w:val="0"/>
              </w:rPr>
              <w:t xml:space="preserve"> 2603</w:t>
            </w: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00F">
            <w:pPr>
              <w:spacing w:after="160" w:before="0" w:line="240" w:lineRule="auto"/>
              <w:rPr/>
            </w:pPr>
            <w:r w:rsidDel="00000000" w:rsidR="00000000" w:rsidRPr="00000000">
              <w:rPr>
                <w:rtl w:val="0"/>
              </w:rPr>
            </w:r>
          </w:p>
        </w:tc>
      </w:tr>
      <w:tr>
        <w:trPr>
          <w:trHeight w:val="157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line="240" w:lineRule="auto"/>
              <w:rPr/>
            </w:pPr>
            <w:r w:rsidDel="00000000" w:rsidR="00000000" w:rsidRPr="00000000">
              <w:rPr>
                <w:b w:val="1"/>
                <w:i w:val="0"/>
                <w:rtl w:val="0"/>
              </w:rPr>
              <w:t xml:space="preserve">Actie :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spacing w:after="210" w:before="0" w:line="240" w:lineRule="auto"/>
              <w:ind w:left="48" w:firstLine="0"/>
              <w:rPr/>
            </w:pPr>
            <w:r w:rsidDel="00000000" w:rsidR="00000000" w:rsidRPr="00000000">
              <w:rPr>
                <w:b w:val="1"/>
                <w:i w:val="0"/>
                <w:rtl w:val="0"/>
              </w:rPr>
              <w:t xml:space="preserve">Wijzigen  </w:t>
            </w:r>
            <w:r w:rsidDel="00000000" w:rsidR="00000000" w:rsidRPr="00000000">
              <w:rPr>
                <w:rtl w:val="0"/>
              </w:rPr>
            </w:r>
          </w:p>
          <w:p w:rsidR="00000000" w:rsidDel="00000000" w:rsidP="00000000" w:rsidRDefault="00000000" w:rsidRPr="00000000" w14:paraId="00000012">
            <w:pPr>
              <w:spacing w:line="240" w:lineRule="auto"/>
              <w:ind w:left="48" w:firstLine="0"/>
              <w:rPr/>
            </w:pPr>
            <w:r w:rsidDel="00000000" w:rsidR="00000000" w:rsidRPr="00000000">
              <w:rPr>
                <w:b w:val="1"/>
                <w:i w:val="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spacing w:line="240" w:lineRule="auto"/>
              <w:ind w:left="38" w:firstLine="0"/>
              <w:rPr/>
            </w:pPr>
            <w:r w:rsidDel="00000000" w:rsidR="00000000" w:rsidRPr="00000000">
              <w:rPr>
                <w:rtl w:val="0"/>
              </w:rPr>
            </w:r>
          </w:p>
        </w:tc>
      </w:tr>
      <w:tr>
        <w:trPr>
          <w:trHeight w:val="254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spacing w:line="240" w:lineRule="auto"/>
              <w:rPr/>
            </w:pPr>
            <w:r w:rsidDel="00000000" w:rsidR="00000000" w:rsidRPr="00000000">
              <w:rPr>
                <w:b w:val="1"/>
                <w:i w:val="0"/>
                <w:rtl w:val="0"/>
              </w:rPr>
              <w:t xml:space="preserve">Originele tekst :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spacing w:after="232" w:before="0" w:line="240" w:lineRule="auto"/>
              <w:rPr>
                <w:i w:val="0"/>
                <w:color w:val="000000"/>
              </w:rPr>
            </w:pPr>
            <w:r w:rsidDel="00000000" w:rsidR="00000000" w:rsidRPr="00000000">
              <w:rPr>
                <w:i w:val="0"/>
                <w:color w:val="000000"/>
                <w:rtl w:val="0"/>
              </w:rPr>
              <w:t xml:space="preserve">2601 Betere beveiliging van bedreigde burgemeesters, lokale bestuurders, personen in de strafrechtketen en (freelance) journalisten die ondermijning blootleggen. 2602 De Dienst Koninklijke en Diplomatieke Beveiliging (DKDB) krijgt hiervoor een aparte tak.</w:t>
            </w:r>
          </w:p>
          <w:p w:rsidR="00000000" w:rsidDel="00000000" w:rsidP="00000000" w:rsidRDefault="00000000" w:rsidRPr="00000000" w14:paraId="00000016">
            <w:pPr>
              <w:spacing w:after="233" w:before="0" w:line="240" w:lineRule="auto"/>
              <w:rPr>
                <w:i w:val="0"/>
                <w:color w:val="000000"/>
              </w:rPr>
            </w:pPr>
            <w:r w:rsidDel="00000000" w:rsidR="00000000" w:rsidRPr="00000000">
              <w:rPr>
                <w:i w:val="0"/>
                <w:color w:val="000000"/>
                <w:rtl w:val="0"/>
              </w:rPr>
              <w:t xml:space="preserve"> </w:t>
            </w:r>
          </w:p>
          <w:p w:rsidR="00000000" w:rsidDel="00000000" w:rsidP="00000000" w:rsidRDefault="00000000" w:rsidRPr="00000000" w14:paraId="00000017">
            <w:pPr>
              <w:spacing w:after="160" w:before="0" w:line="240" w:lineRule="auto"/>
              <w:rPr>
                <w:i w:val="0"/>
                <w:color w:val="000000"/>
              </w:rPr>
            </w:pPr>
            <w:r w:rsidDel="00000000" w:rsidR="00000000" w:rsidRPr="00000000">
              <w:rPr>
                <w:i w:val="0"/>
                <w:color w:val="000000"/>
                <w:rtl w:val="0"/>
              </w:rPr>
              <w:t xml:space="preserve"> </w:t>
            </w:r>
          </w:p>
        </w:tc>
      </w:tr>
      <w:tr>
        <w:trPr>
          <w:trHeight w:val="254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spacing w:after="230" w:before="0" w:line="240" w:lineRule="auto"/>
              <w:rPr/>
            </w:pPr>
            <w:r w:rsidDel="00000000" w:rsidR="00000000" w:rsidRPr="00000000">
              <w:rPr>
                <w:b w:val="1"/>
                <w:i w:val="0"/>
                <w:rtl w:val="0"/>
              </w:rPr>
              <w:t xml:space="preserve">Wijzigingen in: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spacing w:after="230" w:before="0" w:line="240" w:lineRule="auto"/>
              <w:rPr>
                <w:i w:val="0"/>
                <w:color w:val="000000"/>
              </w:rPr>
            </w:pPr>
            <w:r w:rsidDel="00000000" w:rsidR="00000000" w:rsidRPr="00000000">
              <w:rPr>
                <w:i w:val="0"/>
                <w:color w:val="000000"/>
                <w:rtl w:val="0"/>
              </w:rPr>
              <w:t xml:space="preserve">2601 De dreiging op burgemeesters, lokale bestuurders, ambtenaren, personen in de strafrechtketen en (freelance) journalisten die ondermijning blootleggen vraagt om proactieve beveiliging en een herziening van het stelsel bewaken en beveiligen. 2602 Door het integraal positioneren van beveiligingsdiensten van Politie en Marechaussee wordt beveiliging op maat aangeboden.</w:t>
            </w:r>
          </w:p>
          <w:p w:rsidR="00000000" w:rsidDel="00000000" w:rsidP="00000000" w:rsidRDefault="00000000" w:rsidRPr="00000000" w14:paraId="0000001B">
            <w:pPr>
              <w:spacing w:after="232" w:before="0" w:line="240" w:lineRule="auto"/>
              <w:rPr>
                <w:i w:val="0"/>
                <w:color w:val="000000"/>
              </w:rPr>
            </w:pPr>
            <w:r w:rsidDel="00000000" w:rsidR="00000000" w:rsidRPr="00000000">
              <w:rPr>
                <w:i w:val="0"/>
                <w:color w:val="000000"/>
                <w:rtl w:val="0"/>
              </w:rPr>
              <w:t xml:space="preserve"> </w:t>
            </w:r>
          </w:p>
          <w:p w:rsidR="00000000" w:rsidDel="00000000" w:rsidP="00000000" w:rsidRDefault="00000000" w:rsidRPr="00000000" w14:paraId="0000001C">
            <w:pPr>
              <w:spacing w:after="232" w:before="0" w:line="240" w:lineRule="auto"/>
              <w:rPr>
                <w:i w:val="0"/>
                <w:color w:val="000000"/>
              </w:rPr>
            </w:pPr>
            <w:r w:rsidDel="00000000" w:rsidR="00000000" w:rsidRPr="00000000">
              <w:rPr>
                <w:i w:val="0"/>
                <w:color w:val="000000"/>
                <w:rtl w:val="0"/>
              </w:rPr>
              <w:t xml:space="preserve"> </w:t>
            </w:r>
          </w:p>
          <w:p w:rsidR="00000000" w:rsidDel="00000000" w:rsidP="00000000" w:rsidRDefault="00000000" w:rsidRPr="00000000" w14:paraId="0000001D">
            <w:pPr>
              <w:spacing w:after="232" w:before="0" w:line="240" w:lineRule="auto"/>
              <w:rPr>
                <w:i w:val="0"/>
                <w:color w:val="000000"/>
              </w:rPr>
            </w:pPr>
            <w:r w:rsidDel="00000000" w:rsidR="00000000" w:rsidRPr="00000000">
              <w:rPr>
                <w:i w:val="0"/>
                <w:color w:val="000000"/>
                <w:rtl w:val="0"/>
              </w:rPr>
              <w:t xml:space="preserve"> </w:t>
            </w:r>
          </w:p>
          <w:p w:rsidR="00000000" w:rsidDel="00000000" w:rsidP="00000000" w:rsidRDefault="00000000" w:rsidRPr="00000000" w14:paraId="0000001E">
            <w:pPr>
              <w:spacing w:after="160" w:before="0" w:line="240" w:lineRule="auto"/>
              <w:rPr>
                <w:i w:val="0"/>
                <w:color w:val="000000"/>
              </w:rPr>
            </w:pPr>
            <w:r w:rsidDel="00000000" w:rsidR="00000000" w:rsidRPr="00000000">
              <w:rPr>
                <w:i w:val="0"/>
                <w:color w:val="000000"/>
                <w:rtl w:val="0"/>
              </w:rPr>
              <w:t xml:space="preserve"> </w:t>
            </w:r>
          </w:p>
        </w:tc>
      </w:tr>
      <w:tr>
        <w:trPr>
          <w:trHeight w:val="254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spacing w:line="240" w:lineRule="auto"/>
              <w:rPr/>
            </w:pPr>
            <w:r w:rsidDel="00000000" w:rsidR="00000000" w:rsidRPr="00000000">
              <w:rPr>
                <w:b w:val="1"/>
                <w:i w:val="0"/>
                <w:rtl w:val="0"/>
              </w:rPr>
              <w:t xml:space="preserve">Toelichting :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spacing w:after="232" w:before="0" w:line="240" w:lineRule="auto"/>
              <w:rPr>
                <w:i w:val="0"/>
                <w:color w:val="000000"/>
              </w:rPr>
            </w:pPr>
            <w:r w:rsidDel="00000000" w:rsidR="00000000" w:rsidRPr="00000000">
              <w:rPr>
                <w:i w:val="0"/>
                <w:color w:val="000000"/>
                <w:rtl w:val="0"/>
              </w:rPr>
              <w:t xml:space="preserve">De formulering in zin 2601 gaat voorbij aan de gevolgen van gebreken in de huidige aanpak zoals de liquidatie van de advocaat Derk Wiersum.</w:t>
              <w:br w:type="textWrapping"/>
              <w:t xml:space="preserve">In het huidige stelsel bewaken en beveiligen staat de eigen verantwoordelijkheid voorop, is secundair de werkgever verantwoordelijk en kan men uiteindelijk een beroep doen op de overheid. De ontwikkelingen in de afgelopen jaren laten zien dat de dreiging tegen personen die ondermijning blootleggen toeneemt. De maatregelen die personen of werkgevers kunnen nemen blijken onvoldoende in verhouding tot de dreiging. De overheid dient met een proactieve aanpak informatiegestuurd te beveiligen en het stelsel bewaken en beveiligen te herzien. </w:t>
              <w:br w:type="textWrapping"/>
              <w:br w:type="textWrapping"/>
              <w:t xml:space="preserve">De formulering in zin 2602 gaat voorbij aan de gelaagdheid en diversiteit in het instrumentarium van de Politie en Marechaussee. Om kosteneffectief beveiliging te kunnen bieden moet een integrale aanpak van Politie en Marechaussee worden ontwikkeld. Op die manier kan, afhankelijk van het dreigingsniveau, maatwerk worden geleverd. </w:t>
              <w:br w:type="textWrapping"/>
              <w:t xml:space="preserve">Specialistische eenheden in het hoogrisicosegement zijn duurder en schaarser dan eenheden in het midden- en laagrisicosegment. De hoeveelheid inzettijd ten opzichte van de trainingstijd neemt immers af naarmate het specialisme toeneemt. Door afhankelijk van het dreigingsniveau eenheden in te zetten in respectievelijk het laag-, midden-, of hoogrisicosegment, blijft voldoende beveiligingscapaciteit beschikbaar, althans wordt ervoor gewaakt dat specialistische eenheden beschikbaar blijven voor specialistische inzetten.   </w:t>
            </w:r>
          </w:p>
          <w:p w:rsidR="00000000" w:rsidDel="00000000" w:rsidP="00000000" w:rsidRDefault="00000000" w:rsidRPr="00000000" w14:paraId="00000022">
            <w:pPr>
              <w:spacing w:after="232" w:before="0" w:line="240" w:lineRule="auto"/>
              <w:rPr>
                <w:i w:val="0"/>
                <w:color w:val="000000"/>
              </w:rPr>
            </w:pPr>
            <w:r w:rsidDel="00000000" w:rsidR="00000000" w:rsidRPr="00000000">
              <w:rPr>
                <w:rtl w:val="0"/>
              </w:rPr>
            </w:r>
          </w:p>
          <w:p w:rsidR="00000000" w:rsidDel="00000000" w:rsidP="00000000" w:rsidRDefault="00000000" w:rsidRPr="00000000" w14:paraId="00000023">
            <w:pPr>
              <w:spacing w:after="232" w:before="0" w:line="240" w:lineRule="auto"/>
              <w:rPr>
                <w:i w:val="0"/>
                <w:color w:val="000000"/>
              </w:rPr>
            </w:pPr>
            <w:r w:rsidDel="00000000" w:rsidR="00000000" w:rsidRPr="00000000">
              <w:rPr>
                <w:rtl w:val="0"/>
              </w:rPr>
            </w:r>
          </w:p>
          <w:p w:rsidR="00000000" w:rsidDel="00000000" w:rsidP="00000000" w:rsidRDefault="00000000" w:rsidRPr="00000000" w14:paraId="00000024">
            <w:pPr>
              <w:spacing w:after="232" w:before="0" w:line="240" w:lineRule="auto"/>
              <w:rPr>
                <w:i w:val="0"/>
                <w:color w:val="000000"/>
              </w:rPr>
            </w:pPr>
            <w:r w:rsidDel="00000000" w:rsidR="00000000" w:rsidRPr="00000000">
              <w:rPr>
                <w:rtl w:val="0"/>
              </w:rPr>
            </w:r>
          </w:p>
          <w:p w:rsidR="00000000" w:rsidDel="00000000" w:rsidP="00000000" w:rsidRDefault="00000000" w:rsidRPr="00000000" w14:paraId="00000025">
            <w:pPr>
              <w:spacing w:after="232" w:before="0" w:line="240" w:lineRule="auto"/>
              <w:rPr>
                <w:i w:val="0"/>
                <w:color w:val="000000"/>
              </w:rPr>
            </w:pPr>
            <w:r w:rsidDel="00000000" w:rsidR="00000000" w:rsidRPr="00000000">
              <w:rPr>
                <w:rtl w:val="0"/>
              </w:rPr>
            </w:r>
          </w:p>
          <w:p w:rsidR="00000000" w:rsidDel="00000000" w:rsidP="00000000" w:rsidRDefault="00000000" w:rsidRPr="00000000" w14:paraId="00000026">
            <w:pPr>
              <w:spacing w:after="232" w:before="0" w:line="240" w:lineRule="auto"/>
              <w:rPr/>
            </w:pPr>
            <w:r w:rsidDel="00000000" w:rsidR="00000000" w:rsidRPr="00000000">
              <w:rPr>
                <w:rtl w:val="0"/>
              </w:rPr>
            </w:r>
          </w:p>
        </w:tc>
      </w:tr>
    </w:tbl>
    <w:p w:rsidR="00000000" w:rsidDel="00000000" w:rsidP="00000000" w:rsidRDefault="00000000" w:rsidRPr="00000000" w14:paraId="00000028">
      <w:pPr>
        <w:rPr>
          <w:sz w:val="20"/>
          <w:szCs w:val="20"/>
        </w:rPr>
      </w:pPr>
      <w:r w:rsidDel="00000000" w:rsidR="00000000" w:rsidRPr="00000000">
        <w:rPr>
          <w:sz w:val="20"/>
          <w:szCs w:val="20"/>
          <w:rtl w:val="0"/>
        </w:rPr>
        <w:t xml:space="preserve">* Aangeven wat van toepassing is (slechts één optie per amendement mogelijk)</w:t>
      </w:r>
    </w:p>
    <w:sectPr>
      <w:pgSz w:h="16838" w:w="11906" w:orient="portrait"/>
      <w:pgMar w:bottom="1440" w:top="1140" w:left="1416" w:right="2741"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i w:val="1"/>
        <w:color w:val="0d1d6f"/>
        <w:sz w:val="22"/>
        <w:szCs w:val="22"/>
        <w:lang w:val="nl-NL"/>
      </w:rPr>
    </w:rPrDefault>
    <w:pPrDefault>
      <w:pPr>
        <w:spacing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widowControl w:val="1"/>
      <w:suppressAutoHyphens w:val="1"/>
      <w:bidi w:val="0"/>
      <w:spacing w:after="0" w:before="0" w:line="259" w:lineRule="auto"/>
      <w:jc w:val="left"/>
    </w:pPr>
    <w:rPr>
      <w:rFonts w:ascii="Arial" w:cs="Arial" w:eastAsia="Arial" w:hAnsi="Arial"/>
      <w:i w:val="1"/>
      <w:color w:val="0d1d6f"/>
      <w:kern w:val="0"/>
      <w:sz w:val="22"/>
      <w:szCs w:val="22"/>
      <w:lang w:bidi="ar-SA" w:eastAsia="en-GB" w:val="en-GB"/>
    </w:rPr>
  </w:style>
  <w:style w:type="character" w:styleId="DefaultParagraphFont" w:default="1">
    <w:name w:val="Default Paragraph Font"/>
    <w:uiPriority w:val="1"/>
    <w:semiHidden w:val="1"/>
    <w:unhideWhenUsed w:val="1"/>
    <w:qFormat w:val="1"/>
    <w:rPr/>
  </w:style>
  <w:style w:type="paragraph" w:styleId="Heading" w:customStyle="1">
    <w:name w:val="Heading"/>
    <w:basedOn w:val="Normal"/>
    <w:next w:val="TextBody"/>
    <w:qFormat w:val="1"/>
    <w:pPr>
      <w:keepNext w:val="1"/>
      <w:spacing w:after="120" w:before="240"/>
    </w:pPr>
    <w:rPr>
      <w:rFonts w:ascii="Liberation Sans" w:cs="Lohit Devanagari" w:eastAsia="Noto Sans CJK SC" w:hAnsi="Liberation Sans"/>
      <w:sz w:val="28"/>
      <w:szCs w:val="28"/>
    </w:rPr>
  </w:style>
  <w:style w:type="paragraph" w:styleId="TextBody">
    <w:name w:val="Body Text"/>
    <w:basedOn w:val="Normal"/>
    <w:pPr>
      <w:spacing w:after="140" w:before="0" w:line="276" w:lineRule="auto"/>
    </w:pPr>
    <w:rPr/>
  </w:style>
  <w:style w:type="paragraph" w:styleId="List">
    <w:name w:val="List"/>
    <w:basedOn w:val="TextBody"/>
    <w:pPr/>
    <w:rPr>
      <w:rFonts w:cs="Lohit Devanagari"/>
    </w:rPr>
  </w:style>
  <w:style w:type="paragraph" w:styleId="Caption">
    <w:name w:val="Caption"/>
    <w:basedOn w:val="Normal"/>
    <w:qFormat w:val="1"/>
    <w:pPr>
      <w:suppressLineNumbers w:val="1"/>
      <w:spacing w:after="120" w:before="120"/>
    </w:pPr>
    <w:rPr>
      <w:rFonts w:cs="Lohit Devanagari"/>
      <w:i w:val="1"/>
      <w:iCs w:val="1"/>
      <w:sz w:val="24"/>
      <w:szCs w:val="24"/>
    </w:rPr>
  </w:style>
  <w:style w:type="paragraph" w:styleId="Index" w:customStyle="1">
    <w:name w:val="Index"/>
    <w:basedOn w:val="Normal"/>
    <w:qFormat w:val="1"/>
    <w:pPr>
      <w:suppressLineNumbers w:val="1"/>
    </w:pPr>
    <w:rPr>
      <w:rFonts w:cs="Lohit Devanagari"/>
    </w:rPr>
  </w:style>
  <w:style w:type="paragraph" w:styleId="Caption1">
    <w:name w:val="caption"/>
    <w:basedOn w:val="Normal"/>
    <w:qFormat w:val="1"/>
    <w:pPr>
      <w:suppressLineNumbers w:val="1"/>
      <w:spacing w:after="120" w:before="120"/>
    </w:pPr>
    <w:rPr>
      <w:rFonts w:cs="Lohit Devanagari"/>
      <w:iCs w:val="1"/>
      <w:sz w:val="24"/>
      <w:szCs w:val="24"/>
    </w:rPr>
  </w:style>
  <w:style w:type="numbering" w:styleId="NoList" w:default="1">
    <w:name w:val="No List"/>
    <w:uiPriority w:val="99"/>
    <w:semiHidden w:val="1"/>
    <w:unhideWhenUsed w:val="1"/>
    <w:qFormat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table" w:styleId="TableGrid" w:customStyle="1">
    <w:name w:val="TableGrid"/>
    <w:tblPr>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7.0" w:type="dxa"/>
        <w:left w:w="110.0" w:type="dxa"/>
        <w:bottom w:w="0.0" w:type="dxa"/>
        <w:right w:w="13.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TRO9AwbpFutMXvz2l74h4SdscA==">AMUW2mWI14pM2sgHXbjH6wsqb63oD9yJ1AaIGptgLB7eAq4RGC9k7XxMoQP6gOYBYB0yHoALisV6Mc93F4jMH9Kyu6Z0azvCKeJ52QuKAwHDxfWsOp3nPig=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2020-11-11T17:16:00Z</dcterms:created>
  <dc:creator>David Vermorken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