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2.png" ContentType="image/png"/>
  <Override PartName="/word/styles.xml" ContentType="application/vnd.openxmlformats-officedocument.wordprocessingml.styles+xml"/>
  <Override PartName="/word/theme/theme1.xml" ContentType="application/vnd.openxmlformats-officedocument.theme+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3.xml.rels" ContentType="application/vnd.openxmlformats-package.relationships+xml"/>
  <Override PartName="/customXml/_rels/item2.xml.rels" ContentType="application/vnd.openxmlformats-package.relationships+xml"/>
  <Override PartName="/customXml/_rels/item1.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20"/>
          <w:tab w:val="left" w:pos="7474" w:leader="none"/>
        </w:tabs>
        <w:ind w:left="116" w:hanging="0"/>
        <w:rPr>
          <w:rFonts w:ascii="Times New Roman" w:hAnsi="Times New Roman"/>
          <w:sz w:val="20"/>
        </w:rPr>
      </w:pPr>
      <w:r>
        <w:rPr/>
        <mc:AlternateContent>
          <mc:Choice Requires="wpg">
            <w:drawing>
              <wp:inline distT="0" distB="0" distL="114300" distR="114300">
                <wp:extent cx="3229610" cy="567690"/>
                <wp:effectExtent l="0" t="0" r="0" b="0"/>
                <wp:docPr id="1" name=""/>
                <a:graphic xmlns:a="http://schemas.openxmlformats.org/drawingml/2006/main">
                  <a:graphicData uri="http://schemas.microsoft.com/office/word/2010/wordprocessingGroup">
                    <wpg:wgp>
                      <wpg:cNvGrpSpPr/>
                      <wpg:grpSpPr>
                        <a:xfrm>
                          <a:off x="0" y="0"/>
                          <a:ext cx="3228840" cy="567000"/>
                        </a:xfrm>
                      </wpg:grpSpPr>
                      <pic:pic xmlns:pic="http://schemas.openxmlformats.org/drawingml/2006/picture">
                        <pic:nvPicPr>
                          <pic:cNvPr id="0" name="" descr=""/>
                          <pic:cNvPicPr/>
                        </pic:nvPicPr>
                        <pic:blipFill>
                          <a:blip r:embed="rId2"/>
                          <a:stretch/>
                        </pic:blipFill>
                        <pic:spPr>
                          <a:xfrm>
                            <a:off x="0" y="0"/>
                            <a:ext cx="3228840" cy="457920"/>
                          </a:xfrm>
                          <a:prstGeom prst="rect">
                            <a:avLst/>
                          </a:prstGeom>
                          <a:ln>
                            <a:noFill/>
                          </a:ln>
                        </pic:spPr>
                      </pic:pic>
                      <wps:wsp>
                        <wps:cNvSpPr/>
                        <wps:nvSpPr>
                          <wps:cNvPr id="1" name="Rectangle 1"/>
                          <wps:cNvSpPr/>
                        </wps:nvSpPr>
                        <wps:spPr>
                          <a:xfrm>
                            <a:off x="0" y="457200"/>
                            <a:ext cx="3228840" cy="109800"/>
                          </a:xfrm>
                          <a:prstGeom prst="rect">
                            <a:avLst/>
                          </a:prstGeom>
                          <a:solidFill>
                            <a:srgbClr val="ff7609"/>
                          </a:solidFill>
                          <a:ln>
                            <a:noFill/>
                          </a:ln>
                        </wps:spPr>
                        <wps:bodyPr/>
                      </wps:wsp>
                    </wpg:wgp>
                  </a:graphicData>
                </a:graphic>
              </wp:inline>
            </w:drawing>
          </mc:Choice>
          <mc:Fallback>
            <w:pict>
              <v:group id="shape_0" style="position:absolute;margin-left:0pt;margin-top:-44.7pt;width:254.25pt;height:44.65pt" coordorigin="0,-894" coordsize="5085,893">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stroked="f" style="position:absolute;left:0;top:-894;width:5084;height:720;mso-position-vertical:top" type="shapetype_75">
                  <v:imagedata r:id="rId2" o:detectmouseclick="t"/>
                  <w10:wrap type="none"/>
                  <v:stroke color="#3465a4" joinstyle="round" endcap="flat"/>
                </v:shape>
                <v:rect id="shape_0" fillcolor="#ff7609" stroked="f" style="position:absolute;left:0;top:-174;width:5084;height:172;mso-position-vertical:top">
                  <w10:wrap type="none"/>
                  <v:fill o:detectmouseclick="t" type="solid" color2="#0089f6"/>
                  <v:stroke color="#3465a4" joinstyle="round" endcap="flat"/>
                </v:rect>
              </v:group>
            </w:pict>
          </mc:Fallback>
        </mc:AlternateContent>
      </w:r>
      <w:r>
        <w:rPr>
          <w:rFonts w:ascii="Times New Roman" w:hAnsi="Times New Roman"/>
          <w:position w:val="31"/>
          <w:sz w:val="20"/>
        </w:rPr>
        <w:tab/>
      </w:r>
      <w:r>
        <w:rPr/>
        <w:drawing>
          <wp:inline distT="0" distB="0" distL="0" distR="0">
            <wp:extent cx="885825" cy="1014730"/>
            <wp:effectExtent l="0" t="0" r="0" b="0"/>
            <wp:docPr id="2"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descr=""/>
                    <pic:cNvPicPr>
                      <a:picLocks noChangeAspect="1" noChangeArrowheads="1"/>
                    </pic:cNvPicPr>
                  </pic:nvPicPr>
                  <pic:blipFill>
                    <a:blip r:embed="rId3"/>
                    <a:stretch>
                      <a:fillRect/>
                    </a:stretch>
                  </pic:blipFill>
                  <pic:spPr bwMode="auto">
                    <a:xfrm>
                      <a:off x="0" y="0"/>
                      <a:ext cx="885825" cy="1014730"/>
                    </a:xfrm>
                    <a:prstGeom prst="rect">
                      <a:avLst/>
                    </a:prstGeom>
                  </pic:spPr>
                </pic:pic>
              </a:graphicData>
            </a:graphic>
          </wp:inline>
        </w:drawing>
      </w:r>
    </w:p>
    <w:p>
      <w:pPr>
        <w:pStyle w:val="TextBody"/>
        <w:rPr>
          <w:rFonts w:ascii="Times New Roman" w:hAnsi="Times New Roman"/>
          <w:i w:val="false"/>
          <w:i w:val="false"/>
          <w:sz w:val="20"/>
        </w:rPr>
      </w:pPr>
      <w:r>
        <w:rPr>
          <w:rFonts w:ascii="Times New Roman" w:hAnsi="Times New Roman"/>
          <w:i w:val="false"/>
          <w:sz w:val="20"/>
        </w:rPr>
      </w:r>
    </w:p>
    <w:p>
      <w:pPr>
        <w:pStyle w:val="TextBody"/>
        <w:rPr>
          <w:rFonts w:ascii="Times New Roman" w:hAnsi="Times New Roman"/>
          <w:i w:val="false"/>
          <w:i w:val="false"/>
          <w:sz w:val="20"/>
        </w:rPr>
      </w:pPr>
      <w:r>
        <w:rPr>
          <w:rFonts w:ascii="Times New Roman" w:hAnsi="Times New Roman"/>
          <w:i w:val="false"/>
          <w:sz w:val="20"/>
        </w:rPr>
      </w:r>
    </w:p>
    <w:p>
      <w:pPr>
        <w:pStyle w:val="TextBody"/>
        <w:rPr>
          <w:rFonts w:ascii="Times New Roman" w:hAnsi="Times New Roman"/>
          <w:i w:val="false"/>
          <w:i w:val="false"/>
          <w:sz w:val="20"/>
        </w:rPr>
      </w:pPr>
      <w:r>
        <w:rPr>
          <w:rFonts w:ascii="Times New Roman" w:hAnsi="Times New Roman"/>
          <w:i w:val="false"/>
          <w:sz w:val="20"/>
        </w:rPr>
      </w:r>
    </w:p>
    <w:p>
      <w:pPr>
        <w:pStyle w:val="TextBody"/>
        <w:spacing w:before="6" w:after="1"/>
        <w:rPr>
          <w:rFonts w:ascii="Times New Roman" w:hAnsi="Times New Roman"/>
          <w:i w:val="false"/>
          <w:i w:val="false"/>
          <w:sz w:val="21"/>
        </w:rPr>
      </w:pPr>
      <w:r>
        <w:rPr>
          <w:rFonts w:ascii="Times New Roman" w:hAnsi="Times New Roman"/>
          <w:i w:val="false"/>
          <w:sz w:val="21"/>
        </w:rPr>
      </w:r>
    </w:p>
    <w:tbl>
      <w:tblPr>
        <w:tblStyle w:val="TableNormal"/>
        <w:tblW w:w="8898" w:type="dxa"/>
        <w:jc w:val="left"/>
        <w:tblInd w:w="126" w:type="dxa"/>
        <w:tblCellMar>
          <w:top w:w="0" w:type="dxa"/>
          <w:left w:w="108" w:type="dxa"/>
          <w:bottom w:w="0" w:type="dxa"/>
          <w:right w:w="108" w:type="dxa"/>
        </w:tblCellMar>
        <w:tblLook w:val="01e0"/>
      </w:tblPr>
      <w:tblGrid>
        <w:gridCol w:w="2361"/>
        <w:gridCol w:w="3269"/>
        <w:gridCol w:w="3268"/>
      </w:tblGrid>
      <w:tr>
        <w:trPr>
          <w:trHeight w:val="506" w:hRule="atLeast"/>
        </w:trPr>
        <w:tc>
          <w:tcPr>
            <w:tcW w:w="2361" w:type="dxa"/>
            <w:tcBorders>
              <w:top w:val="single" w:sz="4" w:space="0" w:color="000000"/>
              <w:left w:val="single" w:sz="4" w:space="0" w:color="000000"/>
              <w:bottom w:val="single" w:sz="4" w:space="0" w:color="000000"/>
              <w:right w:val="single" w:sz="4" w:space="0" w:color="000000"/>
            </w:tcBorders>
          </w:tcPr>
          <w:p>
            <w:pPr>
              <w:pStyle w:val="TableParagraph"/>
              <w:spacing w:lineRule="exact" w:line="248"/>
              <w:ind w:left="110" w:hanging="0"/>
              <w:rPr>
                <w:b/>
                <w:b/>
              </w:rPr>
            </w:pPr>
            <w:r>
              <w:rPr>
                <w:b/>
                <w:color w:val="0D1D6E"/>
              </w:rPr>
              <w:t>Naam indiener(s) :</w:t>
            </w:r>
          </w:p>
        </w:tc>
        <w:tc>
          <w:tcPr>
            <w:tcW w:w="6537" w:type="dxa"/>
            <w:gridSpan w:val="2"/>
            <w:tcBorders>
              <w:top w:val="single" w:sz="4" w:space="0" w:color="000000"/>
              <w:left w:val="single" w:sz="4" w:space="0" w:color="000000"/>
              <w:bottom w:val="single" w:sz="4" w:space="0" w:color="000000"/>
              <w:right w:val="single" w:sz="4" w:space="0" w:color="000000"/>
            </w:tcBorders>
          </w:tcPr>
          <w:p>
            <w:pPr>
              <w:pStyle w:val="TableParagraph"/>
              <w:rPr>
                <w:rFonts w:ascii="Times New Roman" w:hAnsi="Times New Roman"/>
              </w:rPr>
            </w:pPr>
            <w:r>
              <w:rPr>
                <w:rFonts w:ascii="Times New Roman" w:hAnsi="Times New Roman"/>
              </w:rPr>
              <w:t>Greetje Bos (wethouder Breda)</w:t>
            </w:r>
          </w:p>
          <w:p>
            <w:pPr>
              <w:pStyle w:val="TableParagraph"/>
              <w:rPr>
                <w:rFonts w:ascii="Times New Roman" w:hAnsi="Times New Roman"/>
              </w:rPr>
            </w:pPr>
            <w:r>
              <w:rPr>
                <w:rFonts w:ascii="Times New Roman" w:hAnsi="Times New Roman"/>
              </w:rPr>
            </w:r>
          </w:p>
        </w:tc>
      </w:tr>
      <w:tr>
        <w:trPr>
          <w:trHeight w:val="506" w:hRule="atLeast"/>
        </w:trPr>
        <w:tc>
          <w:tcPr>
            <w:tcW w:w="2361" w:type="dxa"/>
            <w:tcBorders>
              <w:top w:val="single" w:sz="4" w:space="0" w:color="000000"/>
              <w:left w:val="single" w:sz="4" w:space="0" w:color="000000"/>
              <w:bottom w:val="single" w:sz="4" w:space="0" w:color="000000"/>
              <w:right w:val="single" w:sz="4" w:space="0" w:color="000000"/>
            </w:tcBorders>
          </w:tcPr>
          <w:p>
            <w:pPr>
              <w:pStyle w:val="TableParagraph"/>
              <w:spacing w:lineRule="exact" w:line="248"/>
              <w:ind w:left="110" w:hanging="0"/>
              <w:rPr>
                <w:b/>
                <w:b/>
              </w:rPr>
            </w:pPr>
            <w:r>
              <w:rPr>
                <w:b/>
                <w:color w:val="0D1D6E"/>
              </w:rPr>
              <w:t>Gemeente :</w:t>
            </w:r>
          </w:p>
        </w:tc>
        <w:tc>
          <w:tcPr>
            <w:tcW w:w="6537" w:type="dxa"/>
            <w:gridSpan w:val="2"/>
            <w:tcBorders>
              <w:top w:val="single" w:sz="4" w:space="0" w:color="000000"/>
              <w:left w:val="single" w:sz="4" w:space="0" w:color="000000"/>
              <w:bottom w:val="single" w:sz="4" w:space="0" w:color="000000"/>
              <w:right w:val="single" w:sz="4" w:space="0" w:color="000000"/>
            </w:tcBorders>
          </w:tcPr>
          <w:p>
            <w:pPr>
              <w:pStyle w:val="TableParagraph"/>
              <w:rPr>
                <w:rFonts w:ascii="Times New Roman" w:hAnsi="Times New Roman"/>
              </w:rPr>
            </w:pPr>
            <w:r>
              <w:rPr>
                <w:rFonts w:ascii="Times New Roman" w:hAnsi="Times New Roman"/>
              </w:rPr>
              <w:t>Zie hierboven</w:t>
            </w:r>
          </w:p>
        </w:tc>
      </w:tr>
      <w:tr>
        <w:trPr>
          <w:trHeight w:val="505" w:hRule="atLeast"/>
        </w:trPr>
        <w:tc>
          <w:tcPr>
            <w:tcW w:w="2361" w:type="dxa"/>
            <w:tcBorders>
              <w:top w:val="single" w:sz="4" w:space="0" w:color="000000"/>
              <w:left w:val="single" w:sz="4" w:space="0" w:color="000000"/>
              <w:bottom w:val="single" w:sz="4" w:space="0" w:color="000000"/>
              <w:right w:val="single" w:sz="4" w:space="0" w:color="000000"/>
            </w:tcBorders>
          </w:tcPr>
          <w:p>
            <w:pPr>
              <w:pStyle w:val="TableParagraph"/>
              <w:spacing w:lineRule="exact" w:line="248"/>
              <w:ind w:left="110" w:hanging="0"/>
              <w:rPr>
                <w:b/>
                <w:b/>
              </w:rPr>
            </w:pPr>
            <w:r>
              <w:rPr>
                <w:b/>
                <w:color w:val="0D1D6E"/>
              </w:rPr>
              <w:t>Zinnummer van :</w:t>
            </w:r>
          </w:p>
        </w:tc>
        <w:tc>
          <w:tcPr>
            <w:tcW w:w="6537" w:type="dxa"/>
            <w:gridSpan w:val="2"/>
            <w:tcBorders>
              <w:top w:val="single" w:sz="4" w:space="0" w:color="000000"/>
              <w:left w:val="single" w:sz="4" w:space="0" w:color="000000"/>
              <w:bottom w:val="single" w:sz="4" w:space="0" w:color="000000"/>
              <w:right w:val="single" w:sz="4" w:space="0" w:color="000000"/>
            </w:tcBorders>
          </w:tcPr>
          <w:p>
            <w:pPr>
              <w:pStyle w:val="TableParagraph"/>
              <w:rPr>
                <w:rFonts w:ascii="Times New Roman" w:hAnsi="Times New Roman"/>
              </w:rPr>
            </w:pPr>
            <w:r>
              <w:rPr>
                <w:rFonts w:ascii="Times New Roman" w:hAnsi="Times New Roman"/>
              </w:rPr>
              <w:t>2625</w:t>
            </w:r>
          </w:p>
          <w:p>
            <w:pPr>
              <w:pStyle w:val="TableParagraph"/>
              <w:rPr>
                <w:rFonts w:ascii="Times New Roman" w:hAnsi="Times New Roman"/>
              </w:rPr>
            </w:pPr>
            <w:r>
              <w:rPr>
                <w:rFonts w:ascii="Times New Roman" w:hAnsi="Times New Roman"/>
              </w:rPr>
            </w:r>
          </w:p>
        </w:tc>
      </w:tr>
      <w:tr>
        <w:trPr>
          <w:trHeight w:val="506" w:hRule="atLeast"/>
        </w:trPr>
        <w:tc>
          <w:tcPr>
            <w:tcW w:w="2361" w:type="dxa"/>
            <w:tcBorders>
              <w:top w:val="single" w:sz="4" w:space="0" w:color="000000"/>
              <w:left w:val="single" w:sz="4" w:space="0" w:color="000000"/>
              <w:bottom w:val="single" w:sz="4" w:space="0" w:color="000000"/>
              <w:right w:val="single" w:sz="4" w:space="0" w:color="000000"/>
            </w:tcBorders>
          </w:tcPr>
          <w:p>
            <w:pPr>
              <w:pStyle w:val="TableParagraph"/>
              <w:spacing w:lineRule="exact" w:line="248"/>
              <w:ind w:left="110" w:hanging="0"/>
              <w:rPr>
                <w:b/>
                <w:b/>
              </w:rPr>
            </w:pPr>
            <w:r>
              <w:rPr>
                <w:b/>
                <w:color w:val="0D1D6E"/>
              </w:rPr>
              <w:t>Zinnummer tot :</w:t>
            </w:r>
          </w:p>
        </w:tc>
        <w:tc>
          <w:tcPr>
            <w:tcW w:w="6537" w:type="dxa"/>
            <w:gridSpan w:val="2"/>
            <w:tcBorders>
              <w:top w:val="single" w:sz="4" w:space="0" w:color="000000"/>
              <w:left w:val="single" w:sz="4" w:space="0" w:color="000000"/>
              <w:bottom w:val="single" w:sz="4" w:space="0" w:color="000000"/>
              <w:right w:val="single" w:sz="4" w:space="0" w:color="000000"/>
            </w:tcBorders>
          </w:tcPr>
          <w:p>
            <w:pPr>
              <w:pStyle w:val="TableParagraph"/>
              <w:rPr>
                <w:rFonts w:ascii="Times New Roman" w:hAnsi="Times New Roman"/>
              </w:rPr>
            </w:pPr>
            <w:r>
              <w:rPr>
                <w:rFonts w:ascii="Times New Roman" w:hAnsi="Times New Roman"/>
              </w:rPr>
              <w:t>2626</w:t>
            </w:r>
          </w:p>
        </w:tc>
      </w:tr>
      <w:tr>
        <w:trPr>
          <w:trHeight w:val="1562" w:hRule="atLeast"/>
        </w:trPr>
        <w:tc>
          <w:tcPr>
            <w:tcW w:w="2361" w:type="dxa"/>
            <w:tcBorders>
              <w:top w:val="single" w:sz="4" w:space="0" w:color="000000"/>
              <w:left w:val="single" w:sz="4" w:space="0" w:color="000000"/>
              <w:bottom w:val="single" w:sz="4" w:space="0" w:color="000000"/>
              <w:right w:val="single" w:sz="4" w:space="0" w:color="000000"/>
            </w:tcBorders>
          </w:tcPr>
          <w:p>
            <w:pPr>
              <w:pStyle w:val="TableParagraph"/>
              <w:spacing w:lineRule="exact" w:line="248"/>
              <w:ind w:left="110" w:hanging="0"/>
              <w:rPr>
                <w:b/>
                <w:b/>
              </w:rPr>
            </w:pPr>
            <w:r>
              <w:rPr>
                <w:b/>
                <w:color w:val="0D1D6E"/>
              </w:rPr>
              <w:t>Actie :</w:t>
            </w:r>
          </w:p>
        </w:tc>
        <w:tc>
          <w:tcPr>
            <w:tcW w:w="3269" w:type="dxa"/>
            <w:tcBorders>
              <w:top w:val="single" w:sz="4" w:space="0" w:color="000000"/>
              <w:left w:val="single" w:sz="4" w:space="0" w:color="000000"/>
              <w:bottom w:val="single" w:sz="4" w:space="0" w:color="000000"/>
              <w:right w:val="single" w:sz="4" w:space="0" w:color="000000"/>
            </w:tcBorders>
          </w:tcPr>
          <w:p>
            <w:pPr>
              <w:pStyle w:val="TableParagraph"/>
              <w:tabs>
                <w:tab w:val="clear" w:pos="720"/>
                <w:tab w:val="left" w:pos="442" w:leader="none"/>
              </w:tabs>
              <w:spacing w:lineRule="exact" w:line="264"/>
              <w:ind w:left="157" w:hanging="0"/>
              <w:rPr>
                <w:b/>
                <w:b/>
              </w:rPr>
            </w:pPr>
            <w:r>
              <w:rPr>
                <w:rFonts w:cs="Monotype Sorts" w:ascii="Monotype Sorts" w:hAnsi="Monotype Sorts"/>
                <w:b/>
                <w:color w:val="0D1D6E"/>
              </w:rPr>
              <w:t>Toevoeging</w:t>
            </w:r>
          </w:p>
        </w:tc>
        <w:tc>
          <w:tcPr>
            <w:tcW w:w="3268" w:type="dxa"/>
            <w:tcBorders>
              <w:top w:val="single" w:sz="4" w:space="0" w:color="000000"/>
              <w:left w:val="single" w:sz="4" w:space="0" w:color="000000"/>
              <w:bottom w:val="single" w:sz="4" w:space="0" w:color="000000"/>
              <w:right w:val="single" w:sz="4" w:space="0" w:color="000000"/>
            </w:tcBorders>
          </w:tcPr>
          <w:p>
            <w:pPr>
              <w:pStyle w:val="TableParagraph"/>
              <w:tabs>
                <w:tab w:val="clear" w:pos="720"/>
                <w:tab w:val="left" w:pos="433" w:leader="none"/>
              </w:tabs>
              <w:ind w:left="432" w:hanging="0"/>
              <w:rPr>
                <w:b/>
                <w:b/>
                <w:color w:val="000090"/>
              </w:rPr>
            </w:pPr>
            <w:r>
              <w:rPr/>
            </w:r>
          </w:p>
        </w:tc>
      </w:tr>
      <w:tr>
        <w:trPr>
          <w:trHeight w:val="2529" w:hRule="atLeast"/>
        </w:trPr>
        <w:tc>
          <w:tcPr>
            <w:tcW w:w="2361" w:type="dxa"/>
            <w:tcBorders>
              <w:top w:val="single" w:sz="4" w:space="0" w:color="000000"/>
              <w:left w:val="single" w:sz="4" w:space="0" w:color="000000"/>
              <w:bottom w:val="single" w:sz="4" w:space="0" w:color="000000"/>
              <w:right w:val="single" w:sz="4" w:space="0" w:color="000000"/>
            </w:tcBorders>
          </w:tcPr>
          <w:p>
            <w:pPr>
              <w:pStyle w:val="TableParagraph"/>
              <w:spacing w:lineRule="exact" w:line="248"/>
              <w:ind w:left="110" w:hanging="0"/>
              <w:rPr>
                <w:b/>
                <w:b/>
              </w:rPr>
            </w:pPr>
            <w:r>
              <w:rPr>
                <w:b/>
                <w:color w:val="0D1D6E"/>
              </w:rPr>
              <w:t>Originele tekst :</w:t>
            </w:r>
          </w:p>
        </w:tc>
        <w:tc>
          <w:tcPr>
            <w:tcW w:w="6537" w:type="dxa"/>
            <w:gridSpan w:val="2"/>
            <w:tcBorders>
              <w:top w:val="single" w:sz="4" w:space="0" w:color="000000"/>
              <w:left w:val="single" w:sz="4" w:space="0" w:color="000000"/>
              <w:bottom w:val="single" w:sz="4" w:space="0" w:color="000000"/>
              <w:right w:val="single" w:sz="4" w:space="0" w:color="000000"/>
            </w:tcBorders>
          </w:tcPr>
          <w:p>
            <w:pPr>
              <w:pStyle w:val="TableParagraph"/>
              <w:rPr>
                <w:rFonts w:ascii="Times New Roman" w:hAnsi="Times New Roman"/>
              </w:rPr>
            </w:pPr>
            <w:r>
              <w:rPr/>
            </w:r>
          </w:p>
        </w:tc>
      </w:tr>
      <w:tr>
        <w:trPr>
          <w:trHeight w:val="2531" w:hRule="atLeast"/>
        </w:trPr>
        <w:tc>
          <w:tcPr>
            <w:tcW w:w="2361" w:type="dxa"/>
            <w:tcBorders>
              <w:top w:val="single" w:sz="4" w:space="0" w:color="000000"/>
              <w:left w:val="single" w:sz="4" w:space="0" w:color="000000"/>
              <w:bottom w:val="single" w:sz="4" w:space="0" w:color="000000"/>
              <w:right w:val="single" w:sz="4" w:space="0" w:color="000000"/>
            </w:tcBorders>
          </w:tcPr>
          <w:p>
            <w:pPr>
              <w:pStyle w:val="TableParagraph"/>
              <w:spacing w:lineRule="auto" w:line="480"/>
              <w:ind w:left="110" w:right="106" w:hanging="0"/>
              <w:rPr>
                <w:b/>
                <w:b/>
              </w:rPr>
            </w:pPr>
            <w:r>
              <w:rPr>
                <w:b/>
                <w:color w:val="0D1D6E"/>
              </w:rPr>
              <w:t>Wijzigingen in / Toegevoegde tekst / Motie / Vraag/opmerking :</w:t>
            </w:r>
          </w:p>
        </w:tc>
        <w:tc>
          <w:tcPr>
            <w:tcW w:w="6537" w:type="dxa"/>
            <w:gridSpan w:val="2"/>
            <w:tcBorders>
              <w:top w:val="single" w:sz="4" w:space="0" w:color="000000"/>
              <w:left w:val="single" w:sz="4" w:space="0" w:color="000000"/>
              <w:bottom w:val="single" w:sz="4" w:space="0" w:color="000000"/>
              <w:right w:val="single" w:sz="4" w:space="0" w:color="000000"/>
            </w:tcBorders>
          </w:tcPr>
          <w:p>
            <w:pPr>
              <w:pStyle w:val="TableParagraph"/>
              <w:rPr>
                <w:rFonts w:ascii="Times New Roman" w:hAnsi="Times New Roman"/>
                <w:b/>
                <w:b/>
                <w:sz w:val="24"/>
              </w:rPr>
            </w:pPr>
            <w:r>
              <w:rPr>
                <w:rFonts w:ascii="Times New Roman" w:hAnsi="Times New Roman"/>
                <w:b/>
                <w:sz w:val="24"/>
              </w:rPr>
              <w:t>4. Pagina 63, een nieuwe bullit toevoegen, tussen zinnummer 2625 en 2626:</w:t>
            </w:r>
          </w:p>
          <w:p>
            <w:pPr>
              <w:pStyle w:val="TableParagraph"/>
              <w:rPr>
                <w:rFonts w:ascii="Times New Roman" w:hAnsi="Times New Roman"/>
                <w:sz w:val="24"/>
              </w:rPr>
            </w:pPr>
            <w:r>
              <w:rPr>
                <w:rFonts w:ascii="Times New Roman" w:hAnsi="Times New Roman"/>
                <w:sz w:val="24"/>
              </w:rPr>
            </w:r>
          </w:p>
          <w:p>
            <w:pPr>
              <w:pStyle w:val="TableParagraph"/>
              <w:rPr>
                <w:rFonts w:ascii="Times New Roman" w:hAnsi="Times New Roman"/>
              </w:rPr>
            </w:pPr>
            <w:r>
              <w:rPr>
                <w:rFonts w:ascii="Times New Roman" w:hAnsi="Times New Roman"/>
              </w:rPr>
              <w:t>“</w:t>
            </w:r>
            <w:r>
              <w:rPr>
                <w:rFonts w:ascii="Times New Roman" w:hAnsi="Times New Roman"/>
                <w:i/>
                <w:color w:val="FF0000"/>
              </w:rPr>
              <w:t>Er wordt geïnvesteerd in de strafrechtketen. Zowel in kwantiteit als in kwaliteit. Om de georganiseerde drugscriminaliteit te verslaan hebben we meer gespecialiseerde politiemensen, officieren van justitie en rechters nodig. Er wordt behalve in kwantiteit ook geïnvesteerd in hun bescherming en weerbaarheid</w:t>
            </w:r>
            <w:r>
              <w:rPr>
                <w:rFonts w:ascii="Times New Roman" w:hAnsi="Times New Roman"/>
                <w:i/>
              </w:rPr>
              <w:t>.</w:t>
            </w:r>
            <w:r>
              <w:rPr>
                <w:rFonts w:ascii="Times New Roman" w:hAnsi="Times New Roman"/>
              </w:rPr>
              <w:t>”</w:t>
            </w:r>
          </w:p>
          <w:p>
            <w:pPr>
              <w:pStyle w:val="TableParagraph"/>
              <w:rPr>
                <w:rFonts w:ascii="Times New Roman" w:hAnsi="Times New Roman"/>
                <w:b/>
                <w:b/>
              </w:rPr>
            </w:pPr>
            <w:r>
              <w:rPr/>
            </w:r>
          </w:p>
          <w:p>
            <w:pPr>
              <w:pStyle w:val="TableParagraph"/>
              <w:rPr>
                <w:rFonts w:ascii="Times New Roman" w:hAnsi="Times New Roman"/>
              </w:rPr>
            </w:pPr>
            <w:r>
              <w:rPr>
                <w:rFonts w:ascii="Times New Roman" w:hAnsi="Times New Roman"/>
              </w:rPr>
            </w:r>
          </w:p>
        </w:tc>
      </w:tr>
      <w:tr>
        <w:trPr>
          <w:trHeight w:val="2529" w:hRule="atLeast"/>
        </w:trPr>
        <w:tc>
          <w:tcPr>
            <w:tcW w:w="2361" w:type="dxa"/>
            <w:tcBorders>
              <w:top w:val="single" w:sz="4" w:space="0" w:color="000000"/>
              <w:left w:val="single" w:sz="4" w:space="0" w:color="000000"/>
              <w:bottom w:val="single" w:sz="4" w:space="0" w:color="000000"/>
              <w:right w:val="single" w:sz="4" w:space="0" w:color="000000"/>
            </w:tcBorders>
          </w:tcPr>
          <w:p>
            <w:pPr>
              <w:pStyle w:val="TableParagraph"/>
              <w:spacing w:lineRule="exact" w:line="248"/>
              <w:ind w:left="110" w:hanging="0"/>
              <w:rPr>
                <w:b/>
                <w:b/>
              </w:rPr>
            </w:pPr>
            <w:r>
              <w:rPr>
                <w:b/>
              </w:rPr>
            </w:r>
          </w:p>
        </w:tc>
        <w:tc>
          <w:tcPr>
            <w:tcW w:w="6537" w:type="dxa"/>
            <w:gridSpan w:val="2"/>
            <w:tcBorders>
              <w:top w:val="single" w:sz="4" w:space="0" w:color="000000"/>
              <w:left w:val="single" w:sz="4" w:space="0" w:color="000000"/>
              <w:bottom w:val="single" w:sz="4" w:space="0" w:color="000000"/>
              <w:right w:val="single" w:sz="4" w:space="0" w:color="000000"/>
            </w:tcBorders>
          </w:tcPr>
          <w:p>
            <w:pPr>
              <w:pStyle w:val="TableParagraph"/>
              <w:rPr>
                <w:rFonts w:ascii="Times New Roman" w:hAnsi="Times New Roman"/>
              </w:rPr>
            </w:pPr>
            <w:r>
              <w:rPr>
                <w:rFonts w:ascii="Times New Roman" w:hAnsi="Times New Roman"/>
              </w:rPr>
              <w:t xml:space="preserve">Het verkiezingsprogramma ademt de noodzaak tot een integrale aanpak van ondermijning door drugscriminaliteit. Het is 10 over 12. De VVD loopt niet weg voor deze ongemakkelijke waarheid en neemt verantwoordelijkheid. Dat zien we terug in deze paragraaf. </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rPr>
              <w:t xml:space="preserve">In de aanpak van ondermijnende criminaliteit is het daarom noodzakelijk iets anders te gaan doen dan we de afgelopen decennia hebben gedaan. Omdat we anders krijgen wat we al die decennia hebben gekregen: drugsmoorden, een verloren generatie jongeren en steenrijke drugscriminelen die met dat geld de samenleving kapot maken. </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rPr>
              <w:t>Het Masterplan bestrijding Ondermijning</w:t>
            </w:r>
            <w:r>
              <w:rPr>
                <w:rStyle w:val="FootnoteAnchor"/>
                <w:rFonts w:ascii="Times New Roman" w:hAnsi="Times New Roman"/>
              </w:rPr>
              <w:footnoteReference w:id="2"/>
            </w:r>
            <w:r>
              <w:rPr>
                <w:rFonts w:ascii="Times New Roman" w:hAnsi="Times New Roman"/>
              </w:rPr>
              <w:t xml:space="preserve"> kent vier onderdelen om de strijd aan te gaan. Het gaat om repressie, preventie, versterking van de strafrechtketen en het onderuit halen van het verdienmodel achter de drugscriminaliteit. Die vier onderdelen kunnen niet zonder elkaar. In het verkiezingsprogramma komen daarvan </w:t>
            </w:r>
            <w:r>
              <w:rPr>
                <w:rFonts w:ascii="Times New Roman" w:hAnsi="Times New Roman"/>
                <w:b/>
              </w:rPr>
              <w:t>repressie</w:t>
            </w:r>
            <w:r>
              <w:rPr>
                <w:rFonts w:ascii="Times New Roman" w:hAnsi="Times New Roman"/>
              </w:rPr>
              <w:t xml:space="preserve">, preventie en het wegnemen van het verdienmodel terug. </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rPr>
              <w:t xml:space="preserve">We missen in het verkiezingsprogramma een onderdeel en twee onderdelen zijn niet of niet helemaal uitgewerkt. </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b/>
              </w:rPr>
              <w:t>Versterking van de strafrechtketen</w:t>
            </w:r>
            <w:r>
              <w:rPr>
                <w:rFonts w:ascii="Times New Roman" w:hAnsi="Times New Roman"/>
              </w:rPr>
              <w:t xml:space="preserve"> in kwantitatieve en kwalitatieve zin ontbreekt in het verkiezingsprogramma. Dat kan niet achterblijven als we het probleem van de ondermijnende criminaliteit willen aanpakken. Er zijn in de komende decennia meer competente mensen nodig die bereid en in staat zijn dit steeds zwaardere werk, wat veel offers van de mensen vraagt, te blijven en te gaan doen.</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b/>
              </w:rPr>
              <w:t>Preventie</w:t>
            </w:r>
            <w:r>
              <w:rPr>
                <w:rFonts w:ascii="Times New Roman" w:hAnsi="Times New Roman"/>
              </w:rPr>
              <w:t xml:space="preserve"> is genoemd, maar nog niet uitgewerkt. We hebben een forse investering nodig in goede jeugd projecten die ons helpen de jeugd van het criminele pad af te houden. </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b/>
              </w:rPr>
              <w:t>Het onderuit halen van het verdienmodel</w:t>
            </w:r>
            <w:r>
              <w:rPr>
                <w:rFonts w:ascii="Times New Roman" w:hAnsi="Times New Roman"/>
              </w:rPr>
              <w:t xml:space="preserve"> is terecht benoemd als belangrijk vehikel om ondermijning aan te pakken. Helaas hinkt het verkiezingsprogramma op twee gedachten bij dit onderdeel. Het is heel goed dat de notie van het verdienmodel in het programma is opgenomen. Echter is het vrij kansloos als dit enkel ziet op het repressief aanpakken van het verdienmodel met afpakken en betere witwasregelgeving. Dat hebben we de afgelopen decennia steeds gedaan en het resultaat is dat de rijkste mensen van Nederland niet in de Quote 500 voorkomen. </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rPr>
              <w:t xml:space="preserve">Het masterplan stelt voor softdrugs uit het strafrecht te halen omdat het verdienmodel hiermee veel beter kan worden weggehaald dan met repressie. Dat hier regulering, voorlichting, restricties voor gebruikers en ontmoedigingsbeleid flankeren is een open deur. De volksgezondheid wordt beter gediend met een gereguleerd aanbod en toezicht, dan met de ondoorzichtige miljoenen opleverende illegale markt met dito problemen die we op dit moment hebben. Als dit voorstel wordt overgenomen is het experiment gereguleerde wietteelt daarmee overbodig geworden. </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rPr>
              <w:t xml:space="preserve">De resultaten van dat (moeizaam op gang komende) experiment afwachten onderkent de urgentie van de problematiek van de ondermijnende criminaliteit onvoldoende. Het is in de ondermijning 10 over 12 geworden. Het is zeer zorgelijk wat er gebeurt op dat vlak. De belangen zijn immens, de omvang van de schaduweconomie astronomisch en het aantal deelnemers te groot en te machtig. Onze rechtsstaat kan zich dat niet meer permitteren. En daarom is het zaak dat we doorpakken in plaats van afwachten. De tijd van experimenten en evaluatie van die experimenten is voorbij; dat kan nog jaren duren en die tijd hebben we niet meer als we dit tij willen gaan keren. Dan moeten de schouders eronder en moeten we keihard doorpakken. </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rPr>
              <w:t xml:space="preserve">In de tekst van het verkiezingsprogramma wordt een voorbehoud gemaakt ten aanzien van het maatschappelijk draagvlak voor het uit het strafrecht halen van softdrugs. Dat is een achterhaald standpunt. De praktijk van de afgelopen decennia in Nederland leert dat softdrugs volledig zijn ingeburgerd in Nederland en er ook niet meer gaan uitburgeren. Maatschappelijk draagvlak is er allang. </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rPr>
              <w:t xml:space="preserve"> </w:t>
            </w:r>
          </w:p>
        </w:tc>
      </w:tr>
    </w:tbl>
    <w:p>
      <w:pPr>
        <w:pStyle w:val="TextBody"/>
        <w:rPr>
          <w:rFonts w:ascii="Times New Roman" w:hAnsi="Times New Roman"/>
          <w:i w:val="false"/>
          <w:i w:val="false"/>
          <w:sz w:val="20"/>
        </w:rPr>
      </w:pPr>
      <w:r>
        <w:rPr>
          <w:rFonts w:ascii="Times New Roman" w:hAnsi="Times New Roman"/>
          <w:i w:val="false"/>
          <w:sz w:val="20"/>
        </w:rPr>
      </w:r>
    </w:p>
    <w:p>
      <w:pPr>
        <w:pStyle w:val="TextBody"/>
        <w:rPr>
          <w:rFonts w:ascii="Times New Roman" w:hAnsi="Times New Roman"/>
          <w:i w:val="false"/>
          <w:i w:val="false"/>
          <w:sz w:val="20"/>
        </w:rPr>
      </w:pPr>
      <w:r>
        <w:rPr>
          <w:rFonts w:ascii="Times New Roman" w:hAnsi="Times New Roman"/>
          <w:i w:val="false"/>
          <w:sz w:val="20"/>
        </w:rPr>
      </w:r>
    </w:p>
    <w:p>
      <w:pPr>
        <w:pStyle w:val="TextBody"/>
        <w:rPr>
          <w:rFonts w:ascii="Times New Roman" w:hAnsi="Times New Roman"/>
          <w:i w:val="false"/>
          <w:i w:val="false"/>
          <w:sz w:val="20"/>
        </w:rPr>
      </w:pPr>
      <w:r>
        <w:rPr>
          <w:rFonts w:ascii="Times New Roman" w:hAnsi="Times New Roman"/>
          <w:i w:val="false"/>
          <w:sz w:val="20"/>
        </w:rPr>
      </w:r>
    </w:p>
    <w:p>
      <w:pPr>
        <w:pStyle w:val="TextBody"/>
        <w:spacing w:before="210" w:after="0"/>
        <w:ind w:left="116" w:hanging="0"/>
        <w:rPr/>
      </w:pPr>
      <w:r>
        <w:rPr>
          <w:color w:val="0D1D6E"/>
        </w:rPr>
        <w:t>* Aangeven wat van toepassing is (slechts één optie per amendement mogelijk)</w:t>
      </w:r>
    </w:p>
    <w:sectPr>
      <w:footnotePr>
        <w:numFmt w:val="decimal"/>
      </w:footnotePr>
      <w:type w:val="nextPage"/>
      <w:pgSz w:w="11906" w:h="16838"/>
      <w:pgMar w:left="1300" w:right="1460" w:header="0" w:top="1120" w:footer="0" w:bottom="28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Lucida Grande">
    <w:charset w:val="01"/>
    <w:family w:val="roman"/>
    <w:pitch w:val="variable"/>
  </w:font>
  <w:font w:name="Liberation Sans">
    <w:altName w:val="Arial"/>
    <w:charset w:val="01"/>
    <w:family w:val="swiss"/>
    <w:pitch w:val="variable"/>
  </w:font>
  <w:font w:name="Times New Roman">
    <w:charset w:val="01"/>
    <w:family w:val="roman"/>
    <w:pitch w:val="variable"/>
  </w:font>
  <w:font w:name="Monotype Sorts">
    <w:charset w:val="01"/>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p>
  </w:footnote>
  <w:footnote w:id="1" w:type="continuationSeparator">
    <w:p>
      <w:pPr>
        <w:rPr>
          <w:sz w:val="12"/>
        </w:rPr>
      </w:pPr>
      <w:r/>
    </w:p>
  </w:footnote>
  <w:footnote w:id="2">
    <w:p>
      <w:pPr>
        <w:pStyle w:val="Footnote"/>
        <w:rPr/>
      </w:pPr>
      <w:r>
        <w:rPr>
          <w:rStyle w:val="FootnoteCharacters"/>
        </w:rPr>
        <w:footnoteRef/>
      </w:r>
      <w:r>
        <w:rPr/>
        <w:t xml:space="preserve"> </w:t>
      </w:r>
      <w:r>
        <w:rPr>
          <w:sz w:val="18"/>
        </w:rPr>
        <w:t>Het Masterplan Bestrijding Ondermijning is geschreven door Greetje Bos, wethouder Breda, en geeft een plan met 4 onderdelen om de ondermijnende criminaliteit voor de komende decennia aan te pakken</w:t>
      </w:r>
      <w:r>
        <w:rPr>
          <w:sz w:val="20"/>
        </w:rPr>
        <w:t>.</w:t>
      </w:r>
      <w:r>
        <w:rPr/>
        <w:t xml:space="preserve"> </w:t>
      </w:r>
    </w:p>
  </w:footnote>
</w:footnotes>
</file>

<file path=word/settings.xml><?xml version="1.0" encoding="utf-8"?>
<w:settings xmlns:w="http://schemas.openxmlformats.org/wordprocessingml/2006/main">
  <w:zoom w:percent="110"/>
  <w:defaultTabStop w:val="720"/>
  <w:autoHyphenation w:val="true"/>
  <w:footnotePr>
    <w:numFmt w:val="decimal"/>
    <w:footnote w:id="0"/>
    <w:footnote w:id="1"/>
  </w:footnotePr>
  <w:compat/>
  <w:hyphenationZone w:val="425"/>
  <w:themeFontLang w:val="nl-N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uiPriority w:val="1"/>
    <w:qFormat/>
    <w:rsid w:val="00351bd7"/>
    <w:pPr>
      <w:widowControl w:val="false"/>
      <w:bidi w:val="0"/>
      <w:spacing w:before="0" w:after="0"/>
      <w:jc w:val="left"/>
    </w:pPr>
    <w:rPr>
      <w:rFonts w:ascii="Arial" w:hAnsi="Arial" w:eastAsia="Arial" w:cs="Arial"/>
      <w:color w:val="auto"/>
      <w:kern w:val="0"/>
      <w:sz w:val="22"/>
      <w:szCs w:val="22"/>
      <w:lang w:val="nl-NL" w:eastAsia="nl-NL" w:bidi="nl-NL"/>
    </w:rPr>
  </w:style>
  <w:style w:type="character" w:styleId="DefaultParagraphFont" w:default="1">
    <w:name w:val="Default Paragraph Font"/>
    <w:semiHidden/>
    <w:unhideWhenUsed/>
    <w:qFormat/>
    <w:rPr/>
  </w:style>
  <w:style w:type="character" w:styleId="BallontekstTeken" w:customStyle="1">
    <w:name w:val="Ballontekst Teken"/>
    <w:basedOn w:val="DefaultParagraphFont"/>
    <w:link w:val="Ballontekst"/>
    <w:uiPriority w:val="99"/>
    <w:semiHidden/>
    <w:qFormat/>
    <w:rsid w:val="00b405cb"/>
    <w:rPr>
      <w:rFonts w:ascii="Lucida Grande" w:hAnsi="Lucida Grande" w:eastAsia="Arial" w:cs="Arial"/>
      <w:sz w:val="18"/>
      <w:szCs w:val="18"/>
      <w:lang w:val="nl-NL" w:eastAsia="nl-NL" w:bidi="nl-NL"/>
    </w:rPr>
  </w:style>
  <w:style w:type="character" w:styleId="VoetnoottekstTeken" w:customStyle="1">
    <w:name w:val="Voetnoottekst Teken"/>
    <w:basedOn w:val="DefaultParagraphFont"/>
    <w:link w:val="Voetnoottekst"/>
    <w:uiPriority w:val="99"/>
    <w:semiHidden/>
    <w:qFormat/>
    <w:rsid w:val="00e0323a"/>
    <w:rPr>
      <w:rFonts w:ascii="Arial" w:hAnsi="Arial" w:eastAsia="Arial" w:cs="Arial"/>
      <w:sz w:val="24"/>
      <w:szCs w:val="24"/>
      <w:lang w:val="nl-NL" w:eastAsia="nl-NL" w:bidi="nl-NL"/>
    </w:rPr>
  </w:style>
  <w:style w:type="character" w:styleId="FootnoteCharacters">
    <w:name w:val="Footnote Characters"/>
    <w:basedOn w:val="DefaultParagraphFont"/>
    <w:uiPriority w:val="99"/>
    <w:semiHidden/>
    <w:unhideWhenUsed/>
    <w:qFormat/>
    <w:rsid w:val="00e0323a"/>
    <w:rPr>
      <w:vertAlign w:val="superscript"/>
    </w:rPr>
  </w:style>
  <w:style w:type="character" w:styleId="FootnoteAnchor">
    <w:name w:val="Footnote Anchor"/>
    <w:rPr>
      <w:vertAlign w:val="superscript"/>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uiPriority w:val="1"/>
    <w:qFormat/>
    <w:rsid w:val="00351bd7"/>
    <w:pPr/>
    <w:rPr>
      <w:i/>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1"/>
    <w:qFormat/>
    <w:rsid w:val="00351bd7"/>
    <w:pPr/>
    <w:rPr/>
  </w:style>
  <w:style w:type="paragraph" w:styleId="TableParagraph" w:customStyle="1">
    <w:name w:val="Table Paragraph"/>
    <w:basedOn w:val="Normal"/>
    <w:uiPriority w:val="1"/>
    <w:qFormat/>
    <w:rsid w:val="00351bd7"/>
    <w:pPr/>
    <w:rPr/>
  </w:style>
  <w:style w:type="paragraph" w:styleId="BalloonText">
    <w:name w:val="Balloon Text"/>
    <w:basedOn w:val="Normal"/>
    <w:link w:val="BallontekstTeken"/>
    <w:uiPriority w:val="99"/>
    <w:semiHidden/>
    <w:unhideWhenUsed/>
    <w:qFormat/>
    <w:rsid w:val="00b405cb"/>
    <w:pPr/>
    <w:rPr>
      <w:rFonts w:ascii="Lucida Grande" w:hAnsi="Lucida Grande"/>
      <w:sz w:val="18"/>
      <w:szCs w:val="18"/>
    </w:rPr>
  </w:style>
  <w:style w:type="paragraph" w:styleId="Footnote">
    <w:name w:val="Footnote Text"/>
    <w:basedOn w:val="Normal"/>
    <w:link w:val="VoetnoottekstTeken"/>
    <w:uiPriority w:val="99"/>
    <w:semiHidden/>
    <w:unhideWhenUsed/>
    <w:rsid w:val="00e0323a"/>
    <w:pPr/>
    <w:rPr>
      <w:sz w:val="24"/>
      <w:szCs w:val="24"/>
    </w:rPr>
  </w:style>
  <w:style w:type="numbering" w:styleId="NoList" w:default="1">
    <w:name w:val="No List"/>
    <w:semiHidden/>
    <w:unhideWhenUsed/>
    <w:qFormat/>
  </w:style>
  <w:style w:type="table" w:default="1" w:styleId="Standaardtabel">
    <w:name w:val="Normal Table"/>
    <w:semiHidden/>
    <w:unhideWhenUsed/>
    <w:qFormat/>
    <w:tblPr>
      <w:tblInd w:w="0" w:type="dxa"/>
      <w:tblCellMar>
        <w:top w:w="0" w:type="dxa"/>
        <w:left w:w="108" w:type="dxa"/>
        <w:bottom w:w="0" w:type="dxa"/>
        <w:right w:w="108" w:type="dxa"/>
      </w:tblCellMar>
    </w:tblPr>
  </w:style>
  <w:style w:type="table" w:customStyle="1" w:styleId="TableNormal">
    <w:name w:val="Table Normal"/>
    <w:uiPriority w:val="2"/>
    <w:semiHidden/>
    <w:unhideWhenUsed/>
    <w:qFormat/>
    <w:rsid w:val="00351bd7"/>
    <w:tblPr>
      <w:tblInd w:w="0" w:type="dxa"/>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otnotes" Target="footnote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Relationship Id="rId9" Type="http://schemas.openxmlformats.org/officeDocument/2006/relationships/customXml" Target="../customXml/item2.xml"/><Relationship Id="rId10" Type="http://schemas.openxmlformats.org/officeDocument/2006/relationships/customXml" Target="../customXml/item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E8E164CB0841408CF242EEAB64EF03" ma:contentTypeVersion="8" ma:contentTypeDescription="Een nieuw document maken." ma:contentTypeScope="" ma:versionID="95a72d69a36ed258069fc41cd14b8499">
  <xsd:schema xmlns:xsd="http://www.w3.org/2001/XMLSchema" xmlns:xs="http://www.w3.org/2001/XMLSchema" xmlns:p="http://schemas.microsoft.com/office/2006/metadata/properties" xmlns:ns3="937677d0-92cf-4714-b959-db0801afe5d8" targetNamespace="http://schemas.microsoft.com/office/2006/metadata/properties" ma:root="true" ma:fieldsID="cabe7dc09992ff765c82681c3a465f93" ns3:_="">
    <xsd:import namespace="937677d0-92cf-4714-b959-db0801afe5d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7677d0-92cf-4714-b959-db0801afe5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123521-6B06-4FC5-A5C4-1A9258EC19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7677d0-92cf-4714-b959-db0801afe5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82662D-ABFE-40AA-B464-878137D5A0D2}">
  <ds:schemaRefs>
    <ds:schemaRef ds:uri="http://schemas.microsoft.com/sharepoint/v3/contenttype/forms"/>
  </ds:schemaRefs>
</ds:datastoreItem>
</file>

<file path=customXml/itemProps3.xml><?xml version="1.0" encoding="utf-8"?>
<ds:datastoreItem xmlns:ds="http://schemas.openxmlformats.org/officeDocument/2006/customXml" ds:itemID="{DB0A15E8-5C7F-44A5-BFA8-8D9A7051557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LibreOffice/6.4.6.2$Linux_X86_64 LibreOffice_project/40$Build-2</Application>
  <Pages>3</Pages>
  <Words>713</Words>
  <Characters>4008</Characters>
  <CharactersWithSpaces>4708</CharactersWithSpaces>
  <Paragraphs>28</Paragraphs>
  <Company>Thuis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2020-11-11T07:35:00Z</dcterms:created>
  <dc:creator>David Vermorken</dc:creator>
  <dc:description/>
  <dc:language>en-GB</dc:language>
  <cp:lastModifiedBy/>
  <dcterms:modified xsi:type="dcterms:W3CDTF">2020-11-12T12:13:15Z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12.0001</vt:lpwstr>
  </property>
  <property fmtid="{D5CDD505-2E9C-101B-9397-08002B2CF9AE}" pid="3" name="Company">
    <vt:lpwstr>Thuis</vt:lpwstr>
  </property>
  <property fmtid="{D5CDD505-2E9C-101B-9397-08002B2CF9AE}" pid="4" name="ContentTypeId">
    <vt:lpwstr>0x0101009CE8E164CB0841408CF242EEAB64EF03</vt:lpwstr>
  </property>
  <property fmtid="{D5CDD505-2E9C-101B-9397-08002B2CF9AE}" pid="5" name="Created">
    <vt:filetime>2017-09-29T00:00:00Z</vt:filetime>
  </property>
  <property fmtid="{D5CDD505-2E9C-101B-9397-08002B2CF9AE}" pid="6" name="Creator">
    <vt:lpwstr>Microsoft® Word 2013</vt:lpwstr>
  </property>
  <property fmtid="{D5CDD505-2E9C-101B-9397-08002B2CF9AE}" pid="7" name="DocSecurity">
    <vt:i4>0</vt:i4>
  </property>
  <property fmtid="{D5CDD505-2E9C-101B-9397-08002B2CF9AE}" pid="8" name="HyperlinksChanged">
    <vt:bool>0</vt:bool>
  </property>
  <property fmtid="{D5CDD505-2E9C-101B-9397-08002B2CF9AE}" pid="9" name="LastSaved">
    <vt:filetime>2020-10-30T00:00:00Z</vt:filetime>
  </property>
  <property fmtid="{D5CDD505-2E9C-101B-9397-08002B2CF9AE}" pid="10" name="LinksUpToDate">
    <vt:bool>0</vt:bool>
  </property>
  <property fmtid="{D5CDD505-2E9C-101B-9397-08002B2CF9AE}" pid="11" name="ScaleCrop">
    <vt:bool>0</vt:bool>
  </property>
  <property fmtid="{D5CDD505-2E9C-101B-9397-08002B2CF9AE}" pid="12" name="ShareDoc">
    <vt:bool>0</vt:bool>
  </property>
</Properties>
</file>