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917B7" w14:textId="60E2B977" w:rsidR="46B97050" w:rsidRDefault="721A58D8" w:rsidP="435E890D">
      <w:pPr>
        <w:jc w:val="right"/>
      </w:pPr>
      <w:r>
        <w:rPr>
          <w:noProof/>
        </w:rPr>
        <w:drawing>
          <wp:inline distT="0" distB="0" distL="0" distR="0" wp14:anchorId="4CF1766B" wp14:editId="31B7CFDC">
            <wp:extent cx="1722647" cy="866775"/>
            <wp:effectExtent l="0" t="0" r="0" b="0"/>
            <wp:docPr id="1421365887" name="Afbeelding 1421365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21365887"/>
                    <pic:cNvPicPr/>
                  </pic:nvPicPr>
                  <pic:blipFill>
                    <a:blip r:embed="rId8">
                      <a:extLst>
                        <a:ext uri="{28A0092B-C50C-407E-A947-70E740481C1C}">
                          <a14:useLocalDpi xmlns:a14="http://schemas.microsoft.com/office/drawing/2010/main" val="0"/>
                        </a:ext>
                      </a:extLst>
                    </a:blip>
                    <a:stretch>
                      <a:fillRect/>
                    </a:stretch>
                  </pic:blipFill>
                  <pic:spPr>
                    <a:xfrm>
                      <a:off x="0" y="0"/>
                      <a:ext cx="1722647" cy="866775"/>
                    </a:xfrm>
                    <a:prstGeom prst="rect">
                      <a:avLst/>
                    </a:prstGeom>
                  </pic:spPr>
                </pic:pic>
              </a:graphicData>
            </a:graphic>
          </wp:inline>
        </w:drawing>
      </w:r>
    </w:p>
    <w:p w14:paraId="7C569D3B" w14:textId="0CDB6B06" w:rsidR="46B97050" w:rsidRDefault="46B97050" w:rsidP="1E369E69">
      <w:pPr>
        <w:jc w:val="right"/>
        <w:rPr>
          <w:b/>
          <w:bCs/>
          <w:sz w:val="48"/>
          <w:szCs w:val="48"/>
        </w:rPr>
      </w:pPr>
    </w:p>
    <w:p w14:paraId="1A1F7692" w14:textId="4A96D585" w:rsidR="46B97050" w:rsidRDefault="46B97050" w:rsidP="1E369E69">
      <w:pPr>
        <w:rPr>
          <w:b/>
          <w:bCs/>
          <w:sz w:val="48"/>
          <w:szCs w:val="48"/>
        </w:rPr>
      </w:pPr>
    </w:p>
    <w:p w14:paraId="0A7F01A0" w14:textId="21754C56" w:rsidR="46B97050" w:rsidRDefault="46B97050" w:rsidP="1E369E69">
      <w:pPr>
        <w:rPr>
          <w:b/>
          <w:bCs/>
          <w:sz w:val="48"/>
          <w:szCs w:val="48"/>
        </w:rPr>
      </w:pPr>
    </w:p>
    <w:p w14:paraId="4F8F3311" w14:textId="10980DA0" w:rsidR="46B97050" w:rsidRDefault="46B97050" w:rsidP="1E369E69">
      <w:pPr>
        <w:rPr>
          <w:b/>
          <w:bCs/>
          <w:sz w:val="48"/>
          <w:szCs w:val="48"/>
        </w:rPr>
      </w:pPr>
    </w:p>
    <w:p w14:paraId="3774D8C8" w14:textId="3BF9F482" w:rsidR="46B97050" w:rsidRDefault="45B55A0B" w:rsidP="1E369E69">
      <w:pPr>
        <w:rPr>
          <w:b/>
          <w:bCs/>
          <w:sz w:val="48"/>
          <w:szCs w:val="48"/>
        </w:rPr>
      </w:pPr>
      <w:r w:rsidRPr="1E369E69">
        <w:rPr>
          <w:b/>
          <w:bCs/>
          <w:sz w:val="48"/>
          <w:szCs w:val="48"/>
        </w:rPr>
        <w:t xml:space="preserve">Protocol dyslexie </w:t>
      </w:r>
    </w:p>
    <w:p w14:paraId="38ABE48F" w14:textId="3177A33C" w:rsidR="46B97050" w:rsidRDefault="46B97050" w:rsidP="1E369E69">
      <w:pPr>
        <w:jc w:val="right"/>
        <w:rPr>
          <w:b/>
          <w:bCs/>
          <w:sz w:val="48"/>
          <w:szCs w:val="48"/>
        </w:rPr>
      </w:pPr>
    </w:p>
    <w:p w14:paraId="441F6F9E" w14:textId="0BEB99BB" w:rsidR="46B97050" w:rsidRDefault="46B97050" w:rsidP="1E369E69">
      <w:pPr>
        <w:jc w:val="right"/>
        <w:rPr>
          <w:b/>
          <w:bCs/>
          <w:sz w:val="48"/>
          <w:szCs w:val="48"/>
        </w:rPr>
      </w:pPr>
    </w:p>
    <w:p w14:paraId="475C9482" w14:textId="0B798C75" w:rsidR="46B97050" w:rsidRDefault="46B97050" w:rsidP="1E369E69">
      <w:pPr>
        <w:jc w:val="right"/>
        <w:rPr>
          <w:b/>
          <w:bCs/>
          <w:sz w:val="48"/>
          <w:szCs w:val="48"/>
        </w:rPr>
      </w:pPr>
    </w:p>
    <w:p w14:paraId="2E521848" w14:textId="03F60431" w:rsidR="46B97050" w:rsidRDefault="46B97050" w:rsidP="1E369E69">
      <w:pPr>
        <w:jc w:val="right"/>
        <w:rPr>
          <w:b/>
          <w:bCs/>
          <w:sz w:val="48"/>
          <w:szCs w:val="48"/>
        </w:rPr>
      </w:pPr>
    </w:p>
    <w:p w14:paraId="68D7D10D" w14:textId="0889FFAE" w:rsidR="46B97050" w:rsidRDefault="46B97050" w:rsidP="1E369E69">
      <w:pPr>
        <w:jc w:val="right"/>
        <w:rPr>
          <w:b/>
          <w:bCs/>
          <w:sz w:val="48"/>
          <w:szCs w:val="48"/>
        </w:rPr>
      </w:pPr>
    </w:p>
    <w:p w14:paraId="267A974C" w14:textId="3431D367" w:rsidR="46B97050" w:rsidRDefault="46B97050" w:rsidP="1E369E69">
      <w:pPr>
        <w:jc w:val="right"/>
        <w:rPr>
          <w:b/>
          <w:bCs/>
          <w:sz w:val="48"/>
          <w:szCs w:val="48"/>
        </w:rPr>
      </w:pPr>
    </w:p>
    <w:p w14:paraId="11266353" w14:textId="591D667F" w:rsidR="46B97050" w:rsidRDefault="46B97050" w:rsidP="1E369E69">
      <w:pPr>
        <w:jc w:val="right"/>
        <w:rPr>
          <w:b/>
          <w:bCs/>
          <w:sz w:val="48"/>
          <w:szCs w:val="48"/>
        </w:rPr>
      </w:pPr>
    </w:p>
    <w:p w14:paraId="1809DF3B" w14:textId="6B060216" w:rsidR="46B97050" w:rsidRDefault="2A7DEB51" w:rsidP="1E369E69">
      <w:pPr>
        <w:jc w:val="right"/>
        <w:rPr>
          <w:b/>
          <w:bCs/>
          <w:sz w:val="48"/>
          <w:szCs w:val="48"/>
        </w:rPr>
      </w:pPr>
      <w:r w:rsidRPr="1E369E69">
        <w:rPr>
          <w:b/>
          <w:bCs/>
          <w:sz w:val="48"/>
          <w:szCs w:val="48"/>
        </w:rPr>
        <w:t>Maart</w:t>
      </w:r>
      <w:r w:rsidR="46B97050" w:rsidRPr="1E369E69">
        <w:rPr>
          <w:b/>
          <w:bCs/>
          <w:sz w:val="48"/>
          <w:szCs w:val="48"/>
        </w:rPr>
        <w:t xml:space="preserve"> 2021</w:t>
      </w:r>
      <w:r w:rsidR="40CFD70C">
        <w:br/>
      </w:r>
      <w:r w:rsidR="78BF3A28" w:rsidRPr="1E369E69">
        <w:rPr>
          <w:b/>
          <w:bCs/>
          <w:sz w:val="48"/>
          <w:szCs w:val="48"/>
        </w:rPr>
        <w:t>Werkgroep Dyslexie</w:t>
      </w:r>
    </w:p>
    <w:p w14:paraId="10FCDD6A" w14:textId="47742F3B" w:rsidR="73693B27" w:rsidRDefault="73693B27" w:rsidP="73693B27">
      <w:pPr>
        <w:rPr>
          <w:b/>
          <w:bCs/>
          <w:sz w:val="36"/>
          <w:szCs w:val="36"/>
        </w:rPr>
      </w:pPr>
    </w:p>
    <w:p w14:paraId="009FD28F" w14:textId="6610894A" w:rsidR="1E369E69" w:rsidRDefault="1E369E69" w:rsidP="1E369E69">
      <w:pPr>
        <w:rPr>
          <w:b/>
          <w:bCs/>
          <w:sz w:val="36"/>
          <w:szCs w:val="36"/>
        </w:rPr>
      </w:pPr>
    </w:p>
    <w:sdt>
      <w:sdtPr>
        <w:rPr>
          <w:rFonts w:asciiTheme="minorHAnsi" w:eastAsiaTheme="minorHAnsi" w:hAnsiTheme="minorHAnsi" w:cstheme="minorBidi"/>
          <w:color w:val="auto"/>
          <w:sz w:val="22"/>
          <w:szCs w:val="22"/>
          <w:lang w:eastAsia="en-US"/>
        </w:rPr>
        <w:id w:val="1810130053"/>
        <w:docPartObj>
          <w:docPartGallery w:val="Table of Contents"/>
          <w:docPartUnique/>
        </w:docPartObj>
      </w:sdtPr>
      <w:sdtEndPr>
        <w:rPr>
          <w:b/>
          <w:bCs/>
        </w:rPr>
      </w:sdtEndPr>
      <w:sdtContent>
        <w:p w14:paraId="78190197" w14:textId="054549CE" w:rsidR="001F17AA" w:rsidRDefault="001F17AA">
          <w:pPr>
            <w:pStyle w:val="Kopvaninhoudsopgave"/>
          </w:pPr>
          <w:r>
            <w:t>Inhoud</w:t>
          </w:r>
        </w:p>
        <w:p w14:paraId="7257C0CF" w14:textId="6D94BA81" w:rsidR="00A923DE" w:rsidRDefault="001F17AA">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66360399" w:history="1">
            <w:r w:rsidR="00A923DE" w:rsidRPr="007847AC">
              <w:rPr>
                <w:rStyle w:val="Hyperlink"/>
                <w:noProof/>
              </w:rPr>
              <w:t>Inleiding</w:t>
            </w:r>
            <w:r w:rsidR="00A923DE">
              <w:rPr>
                <w:noProof/>
                <w:webHidden/>
              </w:rPr>
              <w:tab/>
            </w:r>
            <w:r w:rsidR="00A923DE">
              <w:rPr>
                <w:noProof/>
                <w:webHidden/>
              </w:rPr>
              <w:fldChar w:fldCharType="begin"/>
            </w:r>
            <w:r w:rsidR="00A923DE">
              <w:rPr>
                <w:noProof/>
                <w:webHidden/>
              </w:rPr>
              <w:instrText xml:space="preserve"> PAGEREF _Toc66360399 \h </w:instrText>
            </w:r>
            <w:r w:rsidR="00A923DE">
              <w:rPr>
                <w:noProof/>
                <w:webHidden/>
              </w:rPr>
            </w:r>
            <w:r w:rsidR="00A923DE">
              <w:rPr>
                <w:noProof/>
                <w:webHidden/>
              </w:rPr>
              <w:fldChar w:fldCharType="separate"/>
            </w:r>
            <w:r w:rsidR="00A923DE">
              <w:rPr>
                <w:noProof/>
                <w:webHidden/>
              </w:rPr>
              <w:t>3</w:t>
            </w:r>
            <w:r w:rsidR="00A923DE">
              <w:rPr>
                <w:noProof/>
                <w:webHidden/>
              </w:rPr>
              <w:fldChar w:fldCharType="end"/>
            </w:r>
          </w:hyperlink>
        </w:p>
        <w:p w14:paraId="2B8CB837" w14:textId="4C247C33" w:rsidR="00A923DE" w:rsidRDefault="00C5382F">
          <w:pPr>
            <w:pStyle w:val="Inhopg1"/>
            <w:tabs>
              <w:tab w:val="left" w:pos="880"/>
              <w:tab w:val="right" w:leader="dot" w:pos="9062"/>
            </w:tabs>
            <w:rPr>
              <w:rFonts w:eastAsiaTheme="minorEastAsia"/>
              <w:noProof/>
              <w:lang w:eastAsia="nl-NL"/>
            </w:rPr>
          </w:pPr>
          <w:hyperlink w:anchor="_Toc66360400" w:history="1">
            <w:r w:rsidR="00A923DE" w:rsidRPr="007847AC">
              <w:rPr>
                <w:rStyle w:val="Hyperlink"/>
                <w:noProof/>
                <w:lang w:eastAsia="nl-NL"/>
              </w:rPr>
              <w:t>Hfst. 1</w:t>
            </w:r>
            <w:r w:rsidR="00A923DE">
              <w:rPr>
                <w:rFonts w:eastAsiaTheme="minorEastAsia"/>
                <w:noProof/>
                <w:lang w:eastAsia="nl-NL"/>
              </w:rPr>
              <w:tab/>
            </w:r>
            <w:r w:rsidR="00A923DE" w:rsidRPr="007847AC">
              <w:rPr>
                <w:rStyle w:val="Hyperlink"/>
                <w:noProof/>
                <w:lang w:eastAsia="nl-NL"/>
              </w:rPr>
              <w:t>Wat is dyslexie</w:t>
            </w:r>
            <w:r w:rsidR="00A923DE">
              <w:rPr>
                <w:noProof/>
                <w:webHidden/>
              </w:rPr>
              <w:tab/>
            </w:r>
            <w:r w:rsidR="00A923DE">
              <w:rPr>
                <w:noProof/>
                <w:webHidden/>
              </w:rPr>
              <w:fldChar w:fldCharType="begin"/>
            </w:r>
            <w:r w:rsidR="00A923DE">
              <w:rPr>
                <w:noProof/>
                <w:webHidden/>
              </w:rPr>
              <w:instrText xml:space="preserve"> PAGEREF _Toc66360400 \h </w:instrText>
            </w:r>
            <w:r w:rsidR="00A923DE">
              <w:rPr>
                <w:noProof/>
                <w:webHidden/>
              </w:rPr>
            </w:r>
            <w:r w:rsidR="00A923DE">
              <w:rPr>
                <w:noProof/>
                <w:webHidden/>
              </w:rPr>
              <w:fldChar w:fldCharType="separate"/>
            </w:r>
            <w:r w:rsidR="00A923DE">
              <w:rPr>
                <w:noProof/>
                <w:webHidden/>
              </w:rPr>
              <w:t>4</w:t>
            </w:r>
            <w:r w:rsidR="00A923DE">
              <w:rPr>
                <w:noProof/>
                <w:webHidden/>
              </w:rPr>
              <w:fldChar w:fldCharType="end"/>
            </w:r>
          </w:hyperlink>
        </w:p>
        <w:p w14:paraId="5083E8ED" w14:textId="7B5188DC" w:rsidR="00A923DE" w:rsidRDefault="00C5382F">
          <w:pPr>
            <w:pStyle w:val="Inhopg1"/>
            <w:tabs>
              <w:tab w:val="left" w:pos="880"/>
              <w:tab w:val="right" w:leader="dot" w:pos="9062"/>
            </w:tabs>
            <w:rPr>
              <w:rFonts w:eastAsiaTheme="minorEastAsia"/>
              <w:noProof/>
              <w:lang w:eastAsia="nl-NL"/>
            </w:rPr>
          </w:pPr>
          <w:hyperlink w:anchor="_Toc66360401" w:history="1">
            <w:r w:rsidR="00A923DE" w:rsidRPr="007847AC">
              <w:rPr>
                <w:rStyle w:val="Hyperlink"/>
                <w:noProof/>
              </w:rPr>
              <w:t>Hfst. 2</w:t>
            </w:r>
            <w:r w:rsidR="00A923DE">
              <w:rPr>
                <w:rFonts w:eastAsiaTheme="minorEastAsia"/>
                <w:noProof/>
                <w:lang w:eastAsia="nl-NL"/>
              </w:rPr>
              <w:tab/>
            </w:r>
            <w:r w:rsidR="00A923DE" w:rsidRPr="007847AC">
              <w:rPr>
                <w:rStyle w:val="Hyperlink"/>
                <w:noProof/>
              </w:rPr>
              <w:t>Organisatie</w:t>
            </w:r>
            <w:r w:rsidR="00A923DE">
              <w:rPr>
                <w:noProof/>
                <w:webHidden/>
              </w:rPr>
              <w:tab/>
            </w:r>
            <w:r w:rsidR="00A923DE">
              <w:rPr>
                <w:noProof/>
                <w:webHidden/>
              </w:rPr>
              <w:fldChar w:fldCharType="begin"/>
            </w:r>
            <w:r w:rsidR="00A923DE">
              <w:rPr>
                <w:noProof/>
                <w:webHidden/>
              </w:rPr>
              <w:instrText xml:space="preserve"> PAGEREF _Toc66360401 \h </w:instrText>
            </w:r>
            <w:r w:rsidR="00A923DE">
              <w:rPr>
                <w:noProof/>
                <w:webHidden/>
              </w:rPr>
            </w:r>
            <w:r w:rsidR="00A923DE">
              <w:rPr>
                <w:noProof/>
                <w:webHidden/>
              </w:rPr>
              <w:fldChar w:fldCharType="separate"/>
            </w:r>
            <w:r w:rsidR="00A923DE">
              <w:rPr>
                <w:noProof/>
                <w:webHidden/>
              </w:rPr>
              <w:t>6</w:t>
            </w:r>
            <w:r w:rsidR="00A923DE">
              <w:rPr>
                <w:noProof/>
                <w:webHidden/>
              </w:rPr>
              <w:fldChar w:fldCharType="end"/>
            </w:r>
          </w:hyperlink>
        </w:p>
        <w:p w14:paraId="6F8BA8DB" w14:textId="78F9CDCF" w:rsidR="00A923DE" w:rsidRDefault="00C5382F">
          <w:pPr>
            <w:pStyle w:val="Inhopg1"/>
            <w:tabs>
              <w:tab w:val="left" w:pos="880"/>
              <w:tab w:val="right" w:leader="dot" w:pos="9062"/>
            </w:tabs>
            <w:rPr>
              <w:rFonts w:eastAsiaTheme="minorEastAsia"/>
              <w:noProof/>
              <w:lang w:eastAsia="nl-NL"/>
            </w:rPr>
          </w:pPr>
          <w:hyperlink w:anchor="_Toc66360402" w:history="1">
            <w:r w:rsidR="00A923DE" w:rsidRPr="007847AC">
              <w:rPr>
                <w:rStyle w:val="Hyperlink"/>
                <w:noProof/>
              </w:rPr>
              <w:t>Hfst. 3</w:t>
            </w:r>
            <w:r w:rsidR="00A923DE">
              <w:rPr>
                <w:rFonts w:eastAsiaTheme="minorEastAsia"/>
                <w:noProof/>
                <w:lang w:eastAsia="nl-NL"/>
              </w:rPr>
              <w:tab/>
            </w:r>
            <w:r w:rsidR="00A923DE" w:rsidRPr="007847AC">
              <w:rPr>
                <w:rStyle w:val="Hyperlink"/>
                <w:noProof/>
              </w:rPr>
              <w:t>Signalering en Onderzoek</w:t>
            </w:r>
            <w:r w:rsidR="00A923DE">
              <w:rPr>
                <w:noProof/>
                <w:webHidden/>
              </w:rPr>
              <w:tab/>
            </w:r>
            <w:r w:rsidR="00A923DE">
              <w:rPr>
                <w:noProof/>
                <w:webHidden/>
              </w:rPr>
              <w:fldChar w:fldCharType="begin"/>
            </w:r>
            <w:r w:rsidR="00A923DE">
              <w:rPr>
                <w:noProof/>
                <w:webHidden/>
              </w:rPr>
              <w:instrText xml:space="preserve"> PAGEREF _Toc66360402 \h </w:instrText>
            </w:r>
            <w:r w:rsidR="00A923DE">
              <w:rPr>
                <w:noProof/>
                <w:webHidden/>
              </w:rPr>
            </w:r>
            <w:r w:rsidR="00A923DE">
              <w:rPr>
                <w:noProof/>
                <w:webHidden/>
              </w:rPr>
              <w:fldChar w:fldCharType="separate"/>
            </w:r>
            <w:r w:rsidR="00A923DE">
              <w:rPr>
                <w:noProof/>
                <w:webHidden/>
              </w:rPr>
              <w:t>7</w:t>
            </w:r>
            <w:r w:rsidR="00A923DE">
              <w:rPr>
                <w:noProof/>
                <w:webHidden/>
              </w:rPr>
              <w:fldChar w:fldCharType="end"/>
            </w:r>
          </w:hyperlink>
        </w:p>
        <w:p w14:paraId="5BD9D4D0" w14:textId="45EE0211" w:rsidR="00A923DE" w:rsidRDefault="00C5382F">
          <w:pPr>
            <w:pStyle w:val="Inhopg1"/>
            <w:tabs>
              <w:tab w:val="left" w:pos="880"/>
              <w:tab w:val="right" w:leader="dot" w:pos="9062"/>
            </w:tabs>
            <w:rPr>
              <w:rFonts w:eastAsiaTheme="minorEastAsia"/>
              <w:noProof/>
              <w:lang w:eastAsia="nl-NL"/>
            </w:rPr>
          </w:pPr>
          <w:hyperlink w:anchor="_Toc66360403" w:history="1">
            <w:r w:rsidR="00A923DE" w:rsidRPr="007847AC">
              <w:rPr>
                <w:rStyle w:val="Hyperlink"/>
                <w:noProof/>
              </w:rPr>
              <w:t>Hfst.  4</w:t>
            </w:r>
            <w:r w:rsidR="00A923DE">
              <w:rPr>
                <w:rFonts w:eastAsiaTheme="minorEastAsia"/>
                <w:noProof/>
                <w:lang w:eastAsia="nl-NL"/>
              </w:rPr>
              <w:tab/>
            </w:r>
            <w:r w:rsidR="00A923DE" w:rsidRPr="007847AC">
              <w:rPr>
                <w:rStyle w:val="Hyperlink"/>
                <w:noProof/>
              </w:rPr>
              <w:t>Begeleiding en ondersteuning</w:t>
            </w:r>
            <w:r w:rsidR="00A923DE">
              <w:rPr>
                <w:noProof/>
                <w:webHidden/>
              </w:rPr>
              <w:tab/>
            </w:r>
            <w:r w:rsidR="00A923DE">
              <w:rPr>
                <w:noProof/>
                <w:webHidden/>
              </w:rPr>
              <w:fldChar w:fldCharType="begin"/>
            </w:r>
            <w:r w:rsidR="00A923DE">
              <w:rPr>
                <w:noProof/>
                <w:webHidden/>
              </w:rPr>
              <w:instrText xml:space="preserve"> PAGEREF _Toc66360403 \h </w:instrText>
            </w:r>
            <w:r w:rsidR="00A923DE">
              <w:rPr>
                <w:noProof/>
                <w:webHidden/>
              </w:rPr>
            </w:r>
            <w:r w:rsidR="00A923DE">
              <w:rPr>
                <w:noProof/>
                <w:webHidden/>
              </w:rPr>
              <w:fldChar w:fldCharType="separate"/>
            </w:r>
            <w:r w:rsidR="00A923DE">
              <w:rPr>
                <w:noProof/>
                <w:webHidden/>
              </w:rPr>
              <w:t>8</w:t>
            </w:r>
            <w:r w:rsidR="00A923DE">
              <w:rPr>
                <w:noProof/>
                <w:webHidden/>
              </w:rPr>
              <w:fldChar w:fldCharType="end"/>
            </w:r>
          </w:hyperlink>
        </w:p>
        <w:p w14:paraId="4EC6281F" w14:textId="2DDB3B14" w:rsidR="00A923DE" w:rsidRDefault="00C5382F">
          <w:pPr>
            <w:pStyle w:val="Inhopg1"/>
            <w:tabs>
              <w:tab w:val="left" w:pos="880"/>
              <w:tab w:val="right" w:leader="dot" w:pos="9062"/>
            </w:tabs>
            <w:rPr>
              <w:rFonts w:eastAsiaTheme="minorEastAsia"/>
              <w:noProof/>
              <w:lang w:eastAsia="nl-NL"/>
            </w:rPr>
          </w:pPr>
          <w:hyperlink w:anchor="_Toc66360404" w:history="1">
            <w:r w:rsidR="00A923DE" w:rsidRPr="007847AC">
              <w:rPr>
                <w:rStyle w:val="Hyperlink"/>
                <w:noProof/>
              </w:rPr>
              <w:t>Hfst. 5</w:t>
            </w:r>
            <w:r w:rsidR="00A923DE">
              <w:rPr>
                <w:rFonts w:eastAsiaTheme="minorEastAsia"/>
                <w:noProof/>
                <w:lang w:eastAsia="nl-NL"/>
              </w:rPr>
              <w:tab/>
            </w:r>
            <w:r w:rsidR="00A923DE" w:rsidRPr="007847AC">
              <w:rPr>
                <w:rStyle w:val="Hyperlink"/>
                <w:noProof/>
              </w:rPr>
              <w:t>Beoordeling en vrijstellingen</w:t>
            </w:r>
            <w:r w:rsidR="00A923DE">
              <w:rPr>
                <w:noProof/>
                <w:webHidden/>
              </w:rPr>
              <w:tab/>
            </w:r>
            <w:r w:rsidR="00A923DE">
              <w:rPr>
                <w:noProof/>
                <w:webHidden/>
              </w:rPr>
              <w:fldChar w:fldCharType="begin"/>
            </w:r>
            <w:r w:rsidR="00A923DE">
              <w:rPr>
                <w:noProof/>
                <w:webHidden/>
              </w:rPr>
              <w:instrText xml:space="preserve"> PAGEREF _Toc66360404 \h </w:instrText>
            </w:r>
            <w:r w:rsidR="00A923DE">
              <w:rPr>
                <w:noProof/>
                <w:webHidden/>
              </w:rPr>
            </w:r>
            <w:r w:rsidR="00A923DE">
              <w:rPr>
                <w:noProof/>
                <w:webHidden/>
              </w:rPr>
              <w:fldChar w:fldCharType="separate"/>
            </w:r>
            <w:r w:rsidR="00A923DE">
              <w:rPr>
                <w:noProof/>
                <w:webHidden/>
              </w:rPr>
              <w:t>11</w:t>
            </w:r>
            <w:r w:rsidR="00A923DE">
              <w:rPr>
                <w:noProof/>
                <w:webHidden/>
              </w:rPr>
              <w:fldChar w:fldCharType="end"/>
            </w:r>
          </w:hyperlink>
        </w:p>
        <w:p w14:paraId="22FE1111" w14:textId="75E90105" w:rsidR="00A923DE" w:rsidRDefault="00C5382F">
          <w:pPr>
            <w:pStyle w:val="Inhopg1"/>
            <w:tabs>
              <w:tab w:val="left" w:pos="880"/>
              <w:tab w:val="right" w:leader="dot" w:pos="9062"/>
            </w:tabs>
            <w:rPr>
              <w:rFonts w:eastAsiaTheme="minorEastAsia"/>
              <w:noProof/>
              <w:lang w:eastAsia="nl-NL"/>
            </w:rPr>
          </w:pPr>
          <w:hyperlink w:anchor="_Toc66360405" w:history="1">
            <w:r w:rsidR="00A923DE" w:rsidRPr="007847AC">
              <w:rPr>
                <w:rStyle w:val="Hyperlink"/>
                <w:noProof/>
              </w:rPr>
              <w:t>Hfst. 6</w:t>
            </w:r>
            <w:r w:rsidR="00A923DE">
              <w:rPr>
                <w:rFonts w:eastAsiaTheme="minorEastAsia"/>
                <w:noProof/>
                <w:lang w:eastAsia="nl-NL"/>
              </w:rPr>
              <w:tab/>
            </w:r>
            <w:r w:rsidR="00A923DE" w:rsidRPr="007847AC">
              <w:rPr>
                <w:rStyle w:val="Hyperlink"/>
                <w:noProof/>
              </w:rPr>
              <w:t>Evaluatie en borging</w:t>
            </w:r>
            <w:r w:rsidR="00A923DE">
              <w:rPr>
                <w:noProof/>
                <w:webHidden/>
              </w:rPr>
              <w:tab/>
            </w:r>
            <w:r w:rsidR="00A923DE">
              <w:rPr>
                <w:noProof/>
                <w:webHidden/>
              </w:rPr>
              <w:fldChar w:fldCharType="begin"/>
            </w:r>
            <w:r w:rsidR="00A923DE">
              <w:rPr>
                <w:noProof/>
                <w:webHidden/>
              </w:rPr>
              <w:instrText xml:space="preserve"> PAGEREF _Toc66360405 \h </w:instrText>
            </w:r>
            <w:r w:rsidR="00A923DE">
              <w:rPr>
                <w:noProof/>
                <w:webHidden/>
              </w:rPr>
            </w:r>
            <w:r w:rsidR="00A923DE">
              <w:rPr>
                <w:noProof/>
                <w:webHidden/>
              </w:rPr>
              <w:fldChar w:fldCharType="separate"/>
            </w:r>
            <w:r w:rsidR="00A923DE">
              <w:rPr>
                <w:noProof/>
                <w:webHidden/>
              </w:rPr>
              <w:t>13</w:t>
            </w:r>
            <w:r w:rsidR="00A923DE">
              <w:rPr>
                <w:noProof/>
                <w:webHidden/>
              </w:rPr>
              <w:fldChar w:fldCharType="end"/>
            </w:r>
          </w:hyperlink>
        </w:p>
        <w:p w14:paraId="07E190EC" w14:textId="45BF4646" w:rsidR="00A923DE" w:rsidRDefault="00C5382F">
          <w:pPr>
            <w:pStyle w:val="Inhopg1"/>
            <w:tabs>
              <w:tab w:val="right" w:leader="dot" w:pos="9062"/>
            </w:tabs>
            <w:rPr>
              <w:rFonts w:eastAsiaTheme="minorEastAsia"/>
              <w:noProof/>
              <w:lang w:eastAsia="nl-NL"/>
            </w:rPr>
          </w:pPr>
          <w:hyperlink w:anchor="_Toc66360406" w:history="1">
            <w:r w:rsidR="00A923DE" w:rsidRPr="007847AC">
              <w:rPr>
                <w:rStyle w:val="Hyperlink"/>
                <w:noProof/>
              </w:rPr>
              <w:t>Literatuurlijst</w:t>
            </w:r>
            <w:r w:rsidR="00A923DE">
              <w:rPr>
                <w:noProof/>
                <w:webHidden/>
              </w:rPr>
              <w:tab/>
            </w:r>
            <w:r w:rsidR="00A923DE">
              <w:rPr>
                <w:noProof/>
                <w:webHidden/>
              </w:rPr>
              <w:fldChar w:fldCharType="begin"/>
            </w:r>
            <w:r w:rsidR="00A923DE">
              <w:rPr>
                <w:noProof/>
                <w:webHidden/>
              </w:rPr>
              <w:instrText xml:space="preserve"> PAGEREF _Toc66360406 \h </w:instrText>
            </w:r>
            <w:r w:rsidR="00A923DE">
              <w:rPr>
                <w:noProof/>
                <w:webHidden/>
              </w:rPr>
            </w:r>
            <w:r w:rsidR="00A923DE">
              <w:rPr>
                <w:noProof/>
                <w:webHidden/>
              </w:rPr>
              <w:fldChar w:fldCharType="separate"/>
            </w:r>
            <w:r w:rsidR="00A923DE">
              <w:rPr>
                <w:noProof/>
                <w:webHidden/>
              </w:rPr>
              <w:t>14</w:t>
            </w:r>
            <w:r w:rsidR="00A923DE">
              <w:rPr>
                <w:noProof/>
                <w:webHidden/>
              </w:rPr>
              <w:fldChar w:fldCharType="end"/>
            </w:r>
          </w:hyperlink>
        </w:p>
        <w:p w14:paraId="738155BE" w14:textId="2A5AEF2A" w:rsidR="00A923DE" w:rsidRDefault="00C5382F">
          <w:pPr>
            <w:pStyle w:val="Inhopg1"/>
            <w:tabs>
              <w:tab w:val="right" w:leader="dot" w:pos="9062"/>
            </w:tabs>
            <w:rPr>
              <w:rFonts w:eastAsiaTheme="minorEastAsia"/>
              <w:noProof/>
              <w:lang w:eastAsia="nl-NL"/>
            </w:rPr>
          </w:pPr>
          <w:hyperlink w:anchor="_Toc66360407" w:history="1">
            <w:r w:rsidR="00A923DE" w:rsidRPr="007847AC">
              <w:rPr>
                <w:rStyle w:val="Hyperlink"/>
                <w:noProof/>
              </w:rPr>
              <w:t>Bijlage A</w:t>
            </w:r>
            <w:r w:rsidR="00A923DE">
              <w:rPr>
                <w:noProof/>
                <w:webHidden/>
              </w:rPr>
              <w:tab/>
            </w:r>
            <w:r w:rsidR="00A923DE">
              <w:rPr>
                <w:noProof/>
                <w:webHidden/>
              </w:rPr>
              <w:fldChar w:fldCharType="begin"/>
            </w:r>
            <w:r w:rsidR="00A923DE">
              <w:rPr>
                <w:noProof/>
                <w:webHidden/>
              </w:rPr>
              <w:instrText xml:space="preserve"> PAGEREF _Toc66360407 \h </w:instrText>
            </w:r>
            <w:r w:rsidR="00A923DE">
              <w:rPr>
                <w:noProof/>
                <w:webHidden/>
              </w:rPr>
            </w:r>
            <w:r w:rsidR="00A923DE">
              <w:rPr>
                <w:noProof/>
                <w:webHidden/>
              </w:rPr>
              <w:fldChar w:fldCharType="separate"/>
            </w:r>
            <w:r w:rsidR="00A923DE">
              <w:rPr>
                <w:noProof/>
                <w:webHidden/>
              </w:rPr>
              <w:t>15</w:t>
            </w:r>
            <w:r w:rsidR="00A923DE">
              <w:rPr>
                <w:noProof/>
                <w:webHidden/>
              </w:rPr>
              <w:fldChar w:fldCharType="end"/>
            </w:r>
          </w:hyperlink>
        </w:p>
        <w:p w14:paraId="43C35A13" w14:textId="669E8C5E" w:rsidR="00A923DE" w:rsidRDefault="00C5382F">
          <w:pPr>
            <w:pStyle w:val="Inhopg1"/>
            <w:tabs>
              <w:tab w:val="right" w:leader="dot" w:pos="9062"/>
            </w:tabs>
            <w:rPr>
              <w:rFonts w:eastAsiaTheme="minorEastAsia"/>
              <w:noProof/>
              <w:lang w:eastAsia="nl-NL"/>
            </w:rPr>
          </w:pPr>
          <w:hyperlink w:anchor="_Toc66360408" w:history="1">
            <w:r w:rsidR="00A923DE" w:rsidRPr="007847AC">
              <w:rPr>
                <w:rStyle w:val="Hyperlink"/>
                <w:noProof/>
              </w:rPr>
              <w:t>Bijlage B</w:t>
            </w:r>
            <w:r w:rsidR="00A923DE">
              <w:rPr>
                <w:noProof/>
                <w:webHidden/>
              </w:rPr>
              <w:tab/>
            </w:r>
            <w:r w:rsidR="00A923DE">
              <w:rPr>
                <w:noProof/>
                <w:webHidden/>
              </w:rPr>
              <w:fldChar w:fldCharType="begin"/>
            </w:r>
            <w:r w:rsidR="00A923DE">
              <w:rPr>
                <w:noProof/>
                <w:webHidden/>
              </w:rPr>
              <w:instrText xml:space="preserve"> PAGEREF _Toc66360408 \h </w:instrText>
            </w:r>
            <w:r w:rsidR="00A923DE">
              <w:rPr>
                <w:noProof/>
                <w:webHidden/>
              </w:rPr>
            </w:r>
            <w:r w:rsidR="00A923DE">
              <w:rPr>
                <w:noProof/>
                <w:webHidden/>
              </w:rPr>
              <w:fldChar w:fldCharType="separate"/>
            </w:r>
            <w:r w:rsidR="00A923DE">
              <w:rPr>
                <w:noProof/>
                <w:webHidden/>
              </w:rPr>
              <w:t>16</w:t>
            </w:r>
            <w:r w:rsidR="00A923DE">
              <w:rPr>
                <w:noProof/>
                <w:webHidden/>
              </w:rPr>
              <w:fldChar w:fldCharType="end"/>
            </w:r>
          </w:hyperlink>
        </w:p>
        <w:p w14:paraId="725F03E6" w14:textId="38637514" w:rsidR="001F17AA" w:rsidRDefault="001F17AA">
          <w:r>
            <w:rPr>
              <w:b/>
              <w:bCs/>
            </w:rPr>
            <w:fldChar w:fldCharType="end"/>
          </w:r>
        </w:p>
      </w:sdtContent>
    </w:sdt>
    <w:p w14:paraId="60810526" w14:textId="10A08166" w:rsidR="1E369E69" w:rsidRDefault="1E369E69" w:rsidP="1E369E69">
      <w:pPr>
        <w:rPr>
          <w:b/>
          <w:bCs/>
          <w:sz w:val="36"/>
          <w:szCs w:val="36"/>
        </w:rPr>
      </w:pPr>
    </w:p>
    <w:p w14:paraId="74817E6E" w14:textId="77777777" w:rsidR="004322A2" w:rsidRDefault="004322A2" w:rsidP="004E6C95">
      <w:pPr>
        <w:rPr>
          <w:b/>
          <w:sz w:val="36"/>
          <w:szCs w:val="36"/>
        </w:rPr>
      </w:pPr>
    </w:p>
    <w:p w14:paraId="68FA6CFD" w14:textId="77777777" w:rsidR="004322A2" w:rsidRDefault="004322A2" w:rsidP="004E6C95">
      <w:pPr>
        <w:rPr>
          <w:b/>
          <w:sz w:val="36"/>
          <w:szCs w:val="36"/>
        </w:rPr>
      </w:pPr>
    </w:p>
    <w:p w14:paraId="6A627DD7" w14:textId="77777777" w:rsidR="004322A2" w:rsidRDefault="004322A2" w:rsidP="004E6C95">
      <w:pPr>
        <w:rPr>
          <w:b/>
          <w:sz w:val="36"/>
          <w:szCs w:val="36"/>
        </w:rPr>
      </w:pPr>
    </w:p>
    <w:p w14:paraId="4B94D5A5" w14:textId="77777777" w:rsidR="004E6C95" w:rsidRDefault="004E6C95" w:rsidP="004E6C95">
      <w:pPr>
        <w:rPr>
          <w:b/>
          <w:sz w:val="36"/>
          <w:szCs w:val="36"/>
        </w:rPr>
      </w:pPr>
    </w:p>
    <w:p w14:paraId="3DEEC669" w14:textId="77777777" w:rsidR="004E6C95" w:rsidRPr="002936E8" w:rsidRDefault="004E6C95" w:rsidP="004E6C95">
      <w:pPr>
        <w:rPr>
          <w:b/>
          <w:sz w:val="36"/>
          <w:szCs w:val="36"/>
        </w:rPr>
      </w:pPr>
    </w:p>
    <w:p w14:paraId="3656B9AB" w14:textId="77777777" w:rsidR="004E6C95" w:rsidRPr="002936E8" w:rsidRDefault="004E6C95" w:rsidP="004E6C95">
      <w:pPr>
        <w:pStyle w:val="Lijstalinea"/>
        <w:rPr>
          <w:b/>
          <w:sz w:val="36"/>
          <w:szCs w:val="36"/>
        </w:rPr>
      </w:pPr>
    </w:p>
    <w:p w14:paraId="45FB0818" w14:textId="77777777" w:rsidR="004E6C95" w:rsidRDefault="004E6C95" w:rsidP="004E6C95">
      <w:pPr>
        <w:rPr>
          <w:b/>
          <w:sz w:val="28"/>
          <w:szCs w:val="28"/>
        </w:rPr>
      </w:pPr>
    </w:p>
    <w:p w14:paraId="7CEB7ED8" w14:textId="0BA68622" w:rsidR="594C68E2" w:rsidRDefault="594C68E2" w:rsidP="594C68E2">
      <w:r>
        <w:br w:type="page"/>
      </w:r>
    </w:p>
    <w:p w14:paraId="5099004A" w14:textId="77777777" w:rsidR="004E6C95" w:rsidRPr="009225C6" w:rsidRDefault="004E6C95" w:rsidP="004322A2">
      <w:pPr>
        <w:pStyle w:val="Kop1"/>
      </w:pPr>
      <w:bookmarkStart w:id="0" w:name="_Toc66360399"/>
      <w:r w:rsidRPr="009225C6">
        <w:lastRenderedPageBreak/>
        <w:t>Inleiding</w:t>
      </w:r>
      <w:bookmarkEnd w:id="0"/>
    </w:p>
    <w:p w14:paraId="0EACE64D" w14:textId="57437647" w:rsidR="004E6C95" w:rsidRPr="00591693" w:rsidRDefault="004E6C95" w:rsidP="004E6C95">
      <w:pPr>
        <w:pStyle w:val="Geenafstand"/>
      </w:pPr>
      <w:r>
        <w:t xml:space="preserve">Het dyslexie protocol is een </w:t>
      </w:r>
      <w:r w:rsidR="008900CD">
        <w:t>hulpmiddel</w:t>
      </w:r>
      <w:r>
        <w:t xml:space="preserve"> om d</w:t>
      </w:r>
      <w:r w:rsidR="008900CD">
        <w:t>e volgende doelen te bereiken:</w:t>
      </w:r>
    </w:p>
    <w:p w14:paraId="6D29058C" w14:textId="03AB195D" w:rsidR="004E6C95" w:rsidRPr="00591693" w:rsidRDefault="004E6C95" w:rsidP="004E6C95">
      <w:pPr>
        <w:pStyle w:val="Geenafstand"/>
      </w:pPr>
      <w:r>
        <w:t xml:space="preserve">• </w:t>
      </w:r>
      <w:r>
        <w:tab/>
        <w:t>leerlingen met dyslexie kunnen die opleiding volgen waartoe ze op basis van hun cognitieve</w:t>
      </w:r>
    </w:p>
    <w:p w14:paraId="66E23544" w14:textId="559147CB" w:rsidR="004E6C95" w:rsidRPr="00591693" w:rsidRDefault="004E6C95" w:rsidP="004E6C95">
      <w:pPr>
        <w:pStyle w:val="Geenafstand"/>
        <w:ind w:firstLine="708"/>
      </w:pPr>
      <w:r>
        <w:t>capaciteiten in staat zijn</w:t>
      </w:r>
      <w:r w:rsidR="373055B4">
        <w:t>,</w:t>
      </w:r>
    </w:p>
    <w:p w14:paraId="23BD6F02" w14:textId="08CCC61C" w:rsidR="004E6C95" w:rsidRPr="00591693" w:rsidRDefault="004E6C95" w:rsidP="004E6C95">
      <w:pPr>
        <w:pStyle w:val="Geenafstand"/>
      </w:pPr>
      <w:r>
        <w:t xml:space="preserve">• </w:t>
      </w:r>
      <w:r>
        <w:tab/>
        <w:t xml:space="preserve">leerlingen met dyslexie kunnen omgaan met hun dyslexie en </w:t>
      </w:r>
    </w:p>
    <w:p w14:paraId="187DB49C" w14:textId="4BA267EF" w:rsidR="004E6C95" w:rsidRDefault="004E6C95" w:rsidP="004E6C95">
      <w:pPr>
        <w:pStyle w:val="Geenafstand"/>
      </w:pPr>
      <w:r>
        <w:t xml:space="preserve">• </w:t>
      </w:r>
      <w:r>
        <w:tab/>
        <w:t>leerlingen met dyslexie vergroten hun functionele lees- en schrijfvaardigheid, zo nodig met</w:t>
      </w:r>
    </w:p>
    <w:p w14:paraId="26A2E2AD" w14:textId="77777777" w:rsidR="004E6C95" w:rsidRPr="00591693" w:rsidRDefault="004E6C95" w:rsidP="004E6C95">
      <w:pPr>
        <w:pStyle w:val="Geenafstand"/>
        <w:ind w:firstLine="708"/>
      </w:pPr>
      <w:r w:rsidRPr="00591693">
        <w:t>hulpmiddelen.</w:t>
      </w:r>
    </w:p>
    <w:p w14:paraId="53128261" w14:textId="77777777" w:rsidR="004E6C95" w:rsidRPr="00587F61" w:rsidRDefault="004E6C95" w:rsidP="004E6C95">
      <w:pPr>
        <w:pStyle w:val="Geenafstand"/>
        <w:rPr>
          <w:sz w:val="16"/>
          <w:szCs w:val="16"/>
        </w:rPr>
      </w:pPr>
    </w:p>
    <w:p w14:paraId="650090C8" w14:textId="77777777" w:rsidR="004E6C95" w:rsidRPr="00591693" w:rsidRDefault="004E6C95" w:rsidP="004E6C95">
      <w:pPr>
        <w:pStyle w:val="Geenafstand"/>
      </w:pPr>
      <w:r w:rsidRPr="00591693">
        <w:t>Vier uitgangspunten om deze doelen te bereiken</w:t>
      </w:r>
      <w:r>
        <w:t xml:space="preserve"> zijn</w:t>
      </w:r>
      <w:r w:rsidRPr="00591693">
        <w:t>:</w:t>
      </w:r>
    </w:p>
    <w:p w14:paraId="62486C05" w14:textId="77777777" w:rsidR="004E6C95" w:rsidRPr="00587F61" w:rsidRDefault="004E6C95" w:rsidP="004E6C95">
      <w:pPr>
        <w:pStyle w:val="Geenafstand"/>
        <w:rPr>
          <w:sz w:val="16"/>
          <w:szCs w:val="16"/>
        </w:rPr>
      </w:pPr>
    </w:p>
    <w:p w14:paraId="184D57E4" w14:textId="77777777" w:rsidR="004E6C95" w:rsidRPr="00591693" w:rsidRDefault="004E6C95" w:rsidP="004E6C95">
      <w:pPr>
        <w:pStyle w:val="Geenafstand"/>
        <w:numPr>
          <w:ilvl w:val="0"/>
          <w:numId w:val="3"/>
        </w:numPr>
        <w:rPr>
          <w:b/>
        </w:rPr>
      </w:pPr>
      <w:r w:rsidRPr="00591693">
        <w:rPr>
          <w:b/>
        </w:rPr>
        <w:t>de leerling staat centraal;</w:t>
      </w:r>
    </w:p>
    <w:p w14:paraId="72E9F9F5" w14:textId="77777777" w:rsidR="004E6C95" w:rsidRPr="00591693" w:rsidRDefault="004E6C95" w:rsidP="004E6C95">
      <w:pPr>
        <w:pStyle w:val="Geenafstand"/>
      </w:pPr>
      <w:r w:rsidRPr="00591693">
        <w:t>Ondersteuning heeft kans van slagen als de leerling medezeggenschap heeft. De ondersteuning</w:t>
      </w:r>
    </w:p>
    <w:p w14:paraId="3A68EFB2" w14:textId="77777777" w:rsidR="004E6C95" w:rsidRPr="00591693" w:rsidRDefault="004E6C95" w:rsidP="004E6C95">
      <w:pPr>
        <w:pStyle w:val="Geenafstand"/>
      </w:pPr>
      <w:r w:rsidRPr="00591693">
        <w:t>moet aansluiten bij zijn eigen doelstellingen en behoeften. Dit betekent in de praktijk dat</w:t>
      </w:r>
    </w:p>
    <w:p w14:paraId="1733BFBD" w14:textId="6C34EACF" w:rsidR="004E6C95" w:rsidRPr="00591693" w:rsidRDefault="004E6C95" w:rsidP="004E6C95">
      <w:pPr>
        <w:pStyle w:val="Geenafstand"/>
      </w:pPr>
      <w:r>
        <w:t>de school samen met een leerling en de ouders nagaat</w:t>
      </w:r>
      <w:r w:rsidR="03E7914E">
        <w:t>,</w:t>
      </w:r>
      <w:r>
        <w:t xml:space="preserve"> wat hij nodig heeft om zo min mogelijk</w:t>
      </w:r>
    </w:p>
    <w:p w14:paraId="3ADB51C4" w14:textId="57128A27" w:rsidR="004E6C95" w:rsidRPr="00591693" w:rsidRDefault="004E6C95" w:rsidP="004E6C95">
      <w:pPr>
        <w:pStyle w:val="Geenafstand"/>
      </w:pPr>
      <w:r>
        <w:t xml:space="preserve">hinder te ondervinden van zijn problemen. Hierbij zal de scholengroep Carmel Hengelo moeten aangeven welke begeleiding en faciliteiten mogelijk zijn. De meeste leerlingen met dyslexie zijn redelijk in staat aan te geven waar hun problemen liggen, maar zij kunnen niet altijd aangeven wat zij nodig hebben, omdat zij meestal onvoldoende op de hoogte zijn van begeleidingsmogelijkheden en faciliteiten die hun problemen kunnen minimaliseren. </w:t>
      </w:r>
    </w:p>
    <w:p w14:paraId="4101652C" w14:textId="77777777" w:rsidR="004E6C95" w:rsidRPr="00587F61" w:rsidRDefault="004E6C95" w:rsidP="004E6C95">
      <w:pPr>
        <w:pStyle w:val="Geenafstand"/>
        <w:rPr>
          <w:sz w:val="16"/>
          <w:szCs w:val="16"/>
        </w:rPr>
      </w:pPr>
    </w:p>
    <w:p w14:paraId="43D9D14F" w14:textId="77777777" w:rsidR="004E6C95" w:rsidRPr="00591693" w:rsidRDefault="004E6C95" w:rsidP="004E6C95">
      <w:pPr>
        <w:pStyle w:val="Geenafstand"/>
        <w:numPr>
          <w:ilvl w:val="0"/>
          <w:numId w:val="3"/>
        </w:numPr>
        <w:rPr>
          <w:b/>
        </w:rPr>
      </w:pPr>
      <w:r w:rsidRPr="00591693">
        <w:rPr>
          <w:b/>
        </w:rPr>
        <w:t>de ondersteuning vereist een geïntegreerde aanpak;</w:t>
      </w:r>
    </w:p>
    <w:p w14:paraId="68C8AC59" w14:textId="77777777" w:rsidR="004E6C95" w:rsidRPr="00591693" w:rsidRDefault="004E6C95" w:rsidP="004E6C95">
      <w:pPr>
        <w:pStyle w:val="Geenafstand"/>
      </w:pPr>
      <w:r w:rsidRPr="00591693">
        <w:t xml:space="preserve">Een leerling </w:t>
      </w:r>
      <w:r>
        <w:t xml:space="preserve">met dyslexie </w:t>
      </w:r>
      <w:r w:rsidRPr="00591693">
        <w:t>heeft ondersteuning nodig daar waar de gevolgen van dyslexie hem</w:t>
      </w:r>
    </w:p>
    <w:p w14:paraId="3328E0F7" w14:textId="77777777" w:rsidR="004E6C95" w:rsidRPr="00591693" w:rsidRDefault="004E6C95" w:rsidP="004E6C95">
      <w:pPr>
        <w:pStyle w:val="Geenafstand"/>
      </w:pPr>
      <w:r w:rsidRPr="00591693">
        <w:t>belemmeren: bij het volgen van lessen, tijdens proefwerken en examens en bij het maken van</w:t>
      </w:r>
    </w:p>
    <w:p w14:paraId="2A5C11B5" w14:textId="77777777" w:rsidR="004E6C95" w:rsidRPr="00591693" w:rsidRDefault="004E6C95" w:rsidP="004E6C95">
      <w:pPr>
        <w:pStyle w:val="Geenafstand"/>
      </w:pPr>
      <w:r w:rsidRPr="00591693">
        <w:t>huiswerk. Dit vraagt om een geïntegreerde aanpak. Dat betekent dat docenten zo veel mogelijk</w:t>
      </w:r>
    </w:p>
    <w:p w14:paraId="6206E0BC" w14:textId="77777777" w:rsidR="004E6C95" w:rsidRPr="00591693" w:rsidRDefault="004E6C95" w:rsidP="004E6C95">
      <w:pPr>
        <w:pStyle w:val="Geenafstand"/>
      </w:pPr>
      <w:r w:rsidRPr="00591693">
        <w:t>binnen de lessen leerlingen begeleiden; dat er een goede afstemming is tussen docenten,</w:t>
      </w:r>
    </w:p>
    <w:p w14:paraId="45409F37" w14:textId="77777777" w:rsidR="004E6C95" w:rsidRPr="00591693" w:rsidRDefault="004E6C95" w:rsidP="004E6C95">
      <w:pPr>
        <w:pStyle w:val="Geenafstand"/>
      </w:pPr>
      <w:r w:rsidRPr="00591693">
        <w:t>zorgspecialisten en directie en tussen leerling, ouders en school.</w:t>
      </w:r>
    </w:p>
    <w:p w14:paraId="11A3CE1A" w14:textId="5AF0E37C" w:rsidR="004E6C95" w:rsidRDefault="004E6C95" w:rsidP="004E6C95">
      <w:pPr>
        <w:pStyle w:val="Geenafstand"/>
      </w:pPr>
      <w:r>
        <w:t>Met ondersteuning in de lessen d.m.v. effectieve instructie, efficiënt klassenmanagement, sociaal-emotionele ondersteuning en planmatig handelen bij problemen is ook in de begeleiding van leerlingen met dyslexie veel winst te behalen.</w:t>
      </w:r>
    </w:p>
    <w:p w14:paraId="4B99056E" w14:textId="77777777" w:rsidR="004E6C95" w:rsidRPr="00587F61" w:rsidRDefault="004E6C95" w:rsidP="004E6C95">
      <w:pPr>
        <w:pStyle w:val="Geenafstand"/>
        <w:rPr>
          <w:sz w:val="16"/>
          <w:szCs w:val="16"/>
        </w:rPr>
      </w:pPr>
    </w:p>
    <w:p w14:paraId="2A1B3110" w14:textId="77777777" w:rsidR="004E6C95" w:rsidRPr="00591693" w:rsidRDefault="004E6C95" w:rsidP="004E6C95">
      <w:pPr>
        <w:pStyle w:val="Geenafstand"/>
        <w:numPr>
          <w:ilvl w:val="0"/>
          <w:numId w:val="3"/>
        </w:numPr>
        <w:rPr>
          <w:b/>
        </w:rPr>
      </w:pPr>
      <w:r w:rsidRPr="00591693">
        <w:rPr>
          <w:b/>
        </w:rPr>
        <w:t xml:space="preserve"> de ondersteuning vindt plaats gedurende de hele schoolloopbaan;</w:t>
      </w:r>
    </w:p>
    <w:p w14:paraId="07033664" w14:textId="41FA95BD" w:rsidR="004E6C95" w:rsidRPr="00591693" w:rsidRDefault="004E6C95" w:rsidP="004E6C95">
      <w:pPr>
        <w:pStyle w:val="Geenafstand"/>
      </w:pPr>
      <w:r>
        <w:t>Over het algemeen kunnen leerlingen met dyslexie rekenen op ondersteuning en begrip van het team. Daarnaast zijn er nog faciliteiten als tijdverlenging, gebruik van ondersteunende</w:t>
      </w:r>
    </w:p>
    <w:p w14:paraId="3F59F83B" w14:textId="6A126888" w:rsidR="004E6C95" w:rsidRDefault="004E6C95" w:rsidP="004E6C95">
      <w:pPr>
        <w:pStyle w:val="Geenafstand"/>
      </w:pPr>
      <w:r>
        <w:t xml:space="preserve">technologie of aangepaste spellingbeoordeling (zie </w:t>
      </w:r>
      <w:proofErr w:type="spellStart"/>
      <w:r>
        <w:t>hfdst</w:t>
      </w:r>
      <w:proofErr w:type="spellEnd"/>
      <w:r>
        <w:t xml:space="preserve">. 4).   </w:t>
      </w:r>
    </w:p>
    <w:p w14:paraId="1299C43A" w14:textId="77777777" w:rsidR="004E6C95" w:rsidRPr="00587F61" w:rsidRDefault="004E6C95" w:rsidP="004E6C95">
      <w:pPr>
        <w:pStyle w:val="Geenafstand"/>
        <w:rPr>
          <w:sz w:val="16"/>
          <w:szCs w:val="16"/>
        </w:rPr>
      </w:pPr>
    </w:p>
    <w:p w14:paraId="59E9993F" w14:textId="77777777" w:rsidR="004E6C95" w:rsidRPr="00591693" w:rsidRDefault="004E6C95" w:rsidP="004E6C95">
      <w:pPr>
        <w:pStyle w:val="Geenafstand"/>
        <w:numPr>
          <w:ilvl w:val="0"/>
          <w:numId w:val="3"/>
        </w:numPr>
        <w:rPr>
          <w:b/>
        </w:rPr>
      </w:pPr>
      <w:r w:rsidRPr="00591693">
        <w:rPr>
          <w:b/>
        </w:rPr>
        <w:t>de ondersteuning gaat uit van wat werkt bij de leerling en wat een zo groot mogelijk effect heeft</w:t>
      </w:r>
    </w:p>
    <w:p w14:paraId="5E5B5B4B" w14:textId="77777777" w:rsidR="004E6C95" w:rsidRPr="00591693" w:rsidRDefault="004E6C95" w:rsidP="004E6C95">
      <w:pPr>
        <w:pStyle w:val="Geenafstand"/>
      </w:pPr>
      <w:r w:rsidRPr="00591693">
        <w:t>Ondersteuning moet gericht zijn op maximaal resultaat met een voor de leerling minimale</w:t>
      </w:r>
    </w:p>
    <w:p w14:paraId="2AA12461" w14:textId="1D0CC4F7" w:rsidR="004E6C95" w:rsidRPr="00591693" w:rsidRDefault="004E6C95" w:rsidP="004E6C95">
      <w:pPr>
        <w:pStyle w:val="Geenafstand"/>
      </w:pPr>
      <w:r>
        <w:t>extra inspanning. Resultaat betekent voor een leerling met dyslexie: een voldoende halen voor een vak, overgaan naar een volgende klas, een examen halen of voldoende voorbereid zijn op een vervolgopleiding of beroep.</w:t>
      </w:r>
    </w:p>
    <w:p w14:paraId="4DDBEF00" w14:textId="77777777" w:rsidR="004E6C95" w:rsidRDefault="004E6C95" w:rsidP="004E6C95">
      <w:pPr>
        <w:pStyle w:val="Geenafstand"/>
      </w:pPr>
    </w:p>
    <w:p w14:paraId="3461D779" w14:textId="77777777" w:rsidR="004E6C95" w:rsidRDefault="004E6C95" w:rsidP="004E6C95">
      <w:pPr>
        <w:pStyle w:val="Geenafstand"/>
      </w:pPr>
    </w:p>
    <w:p w14:paraId="3CF2D8B6" w14:textId="77777777" w:rsidR="004E6C95" w:rsidRDefault="004E6C95" w:rsidP="004E6C95">
      <w:pPr>
        <w:pStyle w:val="Geenafstand"/>
      </w:pPr>
    </w:p>
    <w:p w14:paraId="0FB78278" w14:textId="77777777" w:rsidR="004E6C95" w:rsidRDefault="004E6C95" w:rsidP="004E6C95">
      <w:pPr>
        <w:pStyle w:val="Geenafstand"/>
      </w:pPr>
    </w:p>
    <w:p w14:paraId="1FC39945" w14:textId="77777777" w:rsidR="004E6C95" w:rsidRDefault="004E6C95" w:rsidP="004E6C95">
      <w:pPr>
        <w:pStyle w:val="Geenafstand"/>
      </w:pPr>
    </w:p>
    <w:p w14:paraId="0562CB0E" w14:textId="77777777" w:rsidR="004E6C95" w:rsidRDefault="004E6C95" w:rsidP="004E6C95">
      <w:pPr>
        <w:pStyle w:val="Geenafstand"/>
      </w:pPr>
    </w:p>
    <w:p w14:paraId="34CE0A41" w14:textId="77777777" w:rsidR="004E6C95" w:rsidRDefault="004E6C95" w:rsidP="004E6C95">
      <w:pPr>
        <w:pStyle w:val="Geenafstand"/>
      </w:pPr>
    </w:p>
    <w:p w14:paraId="62EBF3C5" w14:textId="77777777" w:rsidR="004E6C95" w:rsidRDefault="004E6C95" w:rsidP="004E6C95">
      <w:pPr>
        <w:pStyle w:val="Geenafstand"/>
      </w:pPr>
    </w:p>
    <w:p w14:paraId="6D98A12B" w14:textId="77777777" w:rsidR="004E6C95" w:rsidRDefault="004E6C95" w:rsidP="004E6C95">
      <w:pPr>
        <w:pStyle w:val="Geenafstand"/>
      </w:pPr>
    </w:p>
    <w:p w14:paraId="46785678" w14:textId="49B3AEC3" w:rsidR="005B5BFD" w:rsidRDefault="004E6C95" w:rsidP="73693B27">
      <w:pPr>
        <w:pStyle w:val="Geenafstand"/>
        <w:jc w:val="right"/>
        <w:rPr>
          <w:b/>
          <w:bCs/>
          <w:i/>
          <w:iCs/>
        </w:rPr>
      </w:pPr>
      <w:proofErr w:type="spellStart"/>
      <w:r w:rsidRPr="73693B27">
        <w:rPr>
          <w:b/>
          <w:bCs/>
          <w:i/>
          <w:iCs/>
        </w:rPr>
        <w:t>n.b.</w:t>
      </w:r>
      <w:proofErr w:type="spellEnd"/>
      <w:r w:rsidRPr="73693B27">
        <w:rPr>
          <w:b/>
          <w:bCs/>
          <w:i/>
          <w:iCs/>
        </w:rPr>
        <w:t>:  hij en hem worden ook gebruikt voor zij en haar</w:t>
      </w:r>
    </w:p>
    <w:p w14:paraId="2946DB82" w14:textId="77777777" w:rsidR="004E6C95" w:rsidRPr="00F740A6" w:rsidRDefault="004E6C95" w:rsidP="004E6C95">
      <w:pPr>
        <w:pStyle w:val="Geenafstand"/>
        <w:jc w:val="right"/>
        <w:rPr>
          <w:b/>
          <w:i/>
        </w:rPr>
      </w:pPr>
      <w:r w:rsidRPr="00F740A6">
        <w:rPr>
          <w:b/>
          <w:i/>
        </w:rPr>
        <w:br w:type="page"/>
      </w:r>
    </w:p>
    <w:p w14:paraId="5B0931FE" w14:textId="0397330C" w:rsidR="004E6C95" w:rsidRDefault="004E6C95" w:rsidP="004322A2">
      <w:pPr>
        <w:pStyle w:val="Kop1"/>
        <w:rPr>
          <w:lang w:eastAsia="nl-NL"/>
        </w:rPr>
      </w:pPr>
      <w:bookmarkStart w:id="1" w:name="_Toc66360400"/>
      <w:proofErr w:type="spellStart"/>
      <w:r w:rsidRPr="009225C6">
        <w:rPr>
          <w:lang w:eastAsia="nl-NL"/>
        </w:rPr>
        <w:lastRenderedPageBreak/>
        <w:t>Hfst</w:t>
      </w:r>
      <w:proofErr w:type="spellEnd"/>
      <w:r w:rsidRPr="009225C6">
        <w:rPr>
          <w:lang w:eastAsia="nl-NL"/>
        </w:rPr>
        <w:t>. 1</w:t>
      </w:r>
      <w:r w:rsidR="00A923DE">
        <w:rPr>
          <w:lang w:eastAsia="nl-NL"/>
        </w:rPr>
        <w:tab/>
      </w:r>
      <w:r w:rsidRPr="009225C6">
        <w:rPr>
          <w:lang w:eastAsia="nl-NL"/>
        </w:rPr>
        <w:t>Wat is dyslexie</w:t>
      </w:r>
      <w:bookmarkEnd w:id="1"/>
    </w:p>
    <w:p w14:paraId="110FFD37" w14:textId="77777777" w:rsidR="004E6C95" w:rsidRPr="007C7CFB" w:rsidRDefault="004E6C95" w:rsidP="004E6C95">
      <w:pPr>
        <w:pStyle w:val="Geenafstand"/>
        <w:rPr>
          <w:b/>
          <w:strike/>
          <w:sz w:val="10"/>
          <w:szCs w:val="10"/>
          <w:lang w:eastAsia="nl-NL"/>
        </w:rPr>
      </w:pPr>
    </w:p>
    <w:p w14:paraId="2EFA3A8E" w14:textId="3055873C" w:rsidR="00313199" w:rsidRPr="00591693" w:rsidRDefault="00313199" w:rsidP="73693B27">
      <w:pPr>
        <w:pStyle w:val="Geenafstand"/>
        <w:rPr>
          <w:b/>
          <w:bCs/>
          <w:lang w:eastAsia="nl-NL"/>
        </w:rPr>
      </w:pPr>
      <w:r w:rsidRPr="73693B27">
        <w:rPr>
          <w:b/>
          <w:bCs/>
          <w:lang w:eastAsia="nl-NL"/>
        </w:rPr>
        <w:t xml:space="preserve">Lees- en spellingsproblemen; achterstand en hardnekkigheid. </w:t>
      </w:r>
    </w:p>
    <w:p w14:paraId="5766AAA2" w14:textId="20EDAB7F" w:rsidR="00313199" w:rsidRDefault="00313199" w:rsidP="00313199">
      <w:pPr>
        <w:pStyle w:val="Geenafstand"/>
        <w:rPr>
          <w:lang w:eastAsia="nl-NL"/>
        </w:rPr>
      </w:pPr>
      <w:r w:rsidRPr="73693B27">
        <w:rPr>
          <w:lang w:eastAsia="nl-NL"/>
        </w:rPr>
        <w:t>Achterstand betekent dat de technische lees- en/of spellingvaardigheid van de leerling significant afwijkt van het niveau dat gegeven iemands leeftijd en opleidingsniveau mag worden verwacht.</w:t>
      </w:r>
    </w:p>
    <w:p w14:paraId="2A66E362" w14:textId="2A6E732D" w:rsidR="00313199" w:rsidRDefault="00313199" w:rsidP="00313199">
      <w:pPr>
        <w:pStyle w:val="Geenafstand"/>
        <w:jc w:val="both"/>
        <w:rPr>
          <w:rFonts w:cs="Myriad-Bold"/>
          <w:b/>
          <w:bCs/>
          <w:sz w:val="24"/>
          <w:szCs w:val="24"/>
        </w:rPr>
      </w:pPr>
      <w:r w:rsidRPr="73693B27">
        <w:rPr>
          <w:lang w:eastAsia="nl-NL"/>
        </w:rPr>
        <w:t>Van hardnekkigheid (ook wel genoemd didactische resistentie) is vervolgens sprake als extra hulp en inspanning niet of nauwelijks leiden tot verbetering van de lees- en</w:t>
      </w:r>
      <w:r w:rsidR="002B540A">
        <w:rPr>
          <w:lang w:eastAsia="nl-NL"/>
        </w:rPr>
        <w:t>/of</w:t>
      </w:r>
      <w:r w:rsidRPr="73693B27">
        <w:rPr>
          <w:lang w:eastAsia="nl-NL"/>
        </w:rPr>
        <w:t xml:space="preserve"> spellingresultaten.</w:t>
      </w:r>
      <w:r w:rsidRPr="73693B27">
        <w:rPr>
          <w:rFonts w:cs="Myriad-Bold"/>
          <w:b/>
          <w:bCs/>
          <w:sz w:val="24"/>
          <w:szCs w:val="24"/>
        </w:rPr>
        <w:t xml:space="preserve">   </w:t>
      </w:r>
    </w:p>
    <w:p w14:paraId="6849F70C" w14:textId="37FE3595" w:rsidR="00313199" w:rsidRPr="00313199" w:rsidRDefault="00647E76" w:rsidP="5FA52294">
      <w:pPr>
        <w:pStyle w:val="Geenafstand"/>
        <w:jc w:val="both"/>
        <w:rPr>
          <w:rFonts w:cs="Myriad-Bold"/>
        </w:rPr>
      </w:pPr>
      <w:r w:rsidRPr="5FA52294">
        <w:rPr>
          <w:rFonts w:cs="Myriad-Bold"/>
        </w:rPr>
        <w:t>Deze</w:t>
      </w:r>
      <w:r w:rsidR="601FBA5B" w:rsidRPr="5FA52294">
        <w:rPr>
          <w:rFonts w:cs="Myriad-Bold"/>
        </w:rPr>
        <w:t xml:space="preserve"> achterstand en</w:t>
      </w:r>
      <w:r w:rsidRPr="5FA52294">
        <w:rPr>
          <w:rFonts w:cs="Myriad-Bold"/>
        </w:rPr>
        <w:t xml:space="preserve"> hardnekkigheid</w:t>
      </w:r>
      <w:r w:rsidR="00313199" w:rsidRPr="5FA52294">
        <w:rPr>
          <w:rFonts w:cs="Myriad-Bold"/>
        </w:rPr>
        <w:t xml:space="preserve"> </w:t>
      </w:r>
      <w:r w:rsidR="09387DE4" w:rsidRPr="5FA52294">
        <w:rPr>
          <w:rFonts w:cs="Myriad-Bold"/>
        </w:rPr>
        <w:t>zijn</w:t>
      </w:r>
      <w:r w:rsidR="00313199" w:rsidRPr="5FA52294">
        <w:rPr>
          <w:rFonts w:cs="Myriad-Bold"/>
        </w:rPr>
        <w:t xml:space="preserve"> </w:t>
      </w:r>
      <w:r w:rsidR="382CFF0C" w:rsidRPr="5FA52294">
        <w:rPr>
          <w:rFonts w:cs="Myriad-Bold"/>
        </w:rPr>
        <w:t>belangrijke criteria</w:t>
      </w:r>
      <w:r w:rsidR="00313199" w:rsidRPr="5FA52294">
        <w:rPr>
          <w:rFonts w:cs="Myriad-Bold"/>
        </w:rPr>
        <w:t xml:space="preserve"> bij het vaststellen van dyslexie.</w:t>
      </w:r>
    </w:p>
    <w:p w14:paraId="3FE9F23F" w14:textId="77777777" w:rsidR="005B5BFD" w:rsidRDefault="005B5BFD" w:rsidP="004E6C95">
      <w:pPr>
        <w:pStyle w:val="Geenafstand"/>
        <w:rPr>
          <w:b/>
          <w:lang w:eastAsia="nl-NL"/>
        </w:rPr>
      </w:pPr>
    </w:p>
    <w:p w14:paraId="22D78089" w14:textId="77777777" w:rsidR="004E6C95" w:rsidRPr="006216DB" w:rsidRDefault="004E6C95" w:rsidP="004E6C95">
      <w:pPr>
        <w:pStyle w:val="Geenafstand"/>
        <w:rPr>
          <w:b/>
          <w:lang w:eastAsia="nl-NL"/>
        </w:rPr>
      </w:pPr>
      <w:r w:rsidRPr="00227D9F">
        <w:rPr>
          <w:b/>
          <w:lang w:eastAsia="nl-NL"/>
        </w:rPr>
        <w:t>Definitie</w:t>
      </w:r>
    </w:p>
    <w:p w14:paraId="09F6D250" w14:textId="13C64E7A" w:rsidR="004E6C95" w:rsidRPr="00591693" w:rsidRDefault="004E6C95" w:rsidP="004E6C95">
      <w:pPr>
        <w:pStyle w:val="Geenafstand"/>
      </w:pPr>
      <w:r>
        <w:t>In Nederland worden overwegend twee definities van dyslexie gehanteerd, de beschrijvende definitie van de Stichting Dyslexie Nederland (SDN, 2008) en de definitie uit het Protocol Dyslexie Diagnostiek &amp; Behandeling (</w:t>
      </w:r>
      <w:proofErr w:type="spellStart"/>
      <w:r>
        <w:t>Blomert</w:t>
      </w:r>
      <w:proofErr w:type="spellEnd"/>
      <w:r>
        <w:t>, 2006) waarin zowel een beschrijvend als een verklarend deel is opgenomen.</w:t>
      </w:r>
    </w:p>
    <w:p w14:paraId="1F72F646" w14:textId="77777777" w:rsidR="004E6C95" w:rsidRPr="007C7CFB" w:rsidRDefault="004E6C95" w:rsidP="004E6C95">
      <w:pPr>
        <w:pStyle w:val="Geenafstand"/>
        <w:rPr>
          <w:sz w:val="10"/>
          <w:szCs w:val="10"/>
        </w:rPr>
      </w:pPr>
    </w:p>
    <w:p w14:paraId="0677AC9C" w14:textId="77777777" w:rsidR="004E6C95" w:rsidRPr="00591693" w:rsidRDefault="004E6C95" w:rsidP="004E6C95">
      <w:pPr>
        <w:pStyle w:val="Geenafstand"/>
        <w:numPr>
          <w:ilvl w:val="0"/>
          <w:numId w:val="4"/>
        </w:numPr>
      </w:pPr>
      <w:r w:rsidRPr="00591693">
        <w:t>Dyslexie is een stoornis die gekenmerkt wordt door een hardnekkig probleem met</w:t>
      </w:r>
    </w:p>
    <w:p w14:paraId="000F8998" w14:textId="77777777" w:rsidR="004E6C95" w:rsidRPr="00591693" w:rsidRDefault="004E6C95" w:rsidP="004E6C95">
      <w:pPr>
        <w:pStyle w:val="Geenafstand"/>
      </w:pPr>
      <w:r w:rsidRPr="00591693">
        <w:t>het aanleren en/of vlot toepassen van het lezen en/of spellen op woordniveau’</w:t>
      </w:r>
    </w:p>
    <w:p w14:paraId="2C57237F" w14:textId="77777777" w:rsidR="004E6C95" w:rsidRPr="00591693" w:rsidRDefault="004E6C95" w:rsidP="004E6C95">
      <w:pPr>
        <w:pStyle w:val="Geenafstand"/>
      </w:pPr>
      <w:r w:rsidRPr="00591693">
        <w:t>(Stichting Dyslexie Nederland, 2008, p. 11).</w:t>
      </w:r>
    </w:p>
    <w:p w14:paraId="08CE6F91" w14:textId="77777777" w:rsidR="004E6C95" w:rsidRPr="007C7CFB" w:rsidRDefault="004E6C95" w:rsidP="004E6C95">
      <w:pPr>
        <w:pStyle w:val="Geenafstand"/>
        <w:rPr>
          <w:sz w:val="10"/>
          <w:szCs w:val="10"/>
        </w:rPr>
      </w:pPr>
    </w:p>
    <w:p w14:paraId="7C37359E" w14:textId="77777777" w:rsidR="004E6C95" w:rsidRPr="00591693" w:rsidRDefault="004E6C95" w:rsidP="004E6C95">
      <w:pPr>
        <w:pStyle w:val="Geenafstand"/>
        <w:numPr>
          <w:ilvl w:val="0"/>
          <w:numId w:val="4"/>
        </w:numPr>
      </w:pPr>
      <w:r w:rsidRPr="00591693">
        <w:t>‘Dyslexie is een specifieke lees- en spellingstoornis met een neurobiologische basis,</w:t>
      </w:r>
    </w:p>
    <w:p w14:paraId="738494BE" w14:textId="7F521FB4" w:rsidR="004E6C95" w:rsidRPr="00AB23D0" w:rsidRDefault="004E6C95" w:rsidP="73693B27">
      <w:pPr>
        <w:pStyle w:val="Geenafstand"/>
      </w:pPr>
      <w:r>
        <w:t>die wordt veroorzaakt door cognitieve verwerkingsstoornissen op het raakvlak van fonologische en orthografische taalverwerking. Deze specifieke taalverwerkingsproblemen wijken proportioneel af van het overige cognitieve, en m.n. taalverwerkingsprofiel en leiden tot een ernstig probleem met het lezen en spellen van woorden ondanks regelmatig onderwijs. Dit specifieke lees- en spellingprobleem beperkt in ernstige mate een normale educatieve ontwikkeling, die op grond van de overige cognitieve vaardigheden geïndiceerd zou zijn’ (</w:t>
      </w:r>
      <w:proofErr w:type="spellStart"/>
      <w:r>
        <w:t>Blomert</w:t>
      </w:r>
      <w:proofErr w:type="spellEnd"/>
      <w:r>
        <w:t>, 2006, p. 5).</w:t>
      </w:r>
      <w:r>
        <w:br/>
      </w:r>
      <w:r>
        <w:br/>
        <w:t xml:space="preserve">Scholengroep Carmel Hengelo hoeft </w:t>
      </w:r>
      <w:r w:rsidRPr="5FA52294">
        <w:rPr>
          <w:b/>
          <w:bCs/>
          <w:u w:val="single"/>
        </w:rPr>
        <w:t>geen</w:t>
      </w:r>
      <w:r>
        <w:t xml:space="preserve"> uitspraak te doen over de definiëring. Leerling krijgen alleen dan een faciliteitenpas wanneer de school een officiële dyslexieverklaring, ondertekend door een </w:t>
      </w:r>
      <w:r w:rsidR="00771AD8">
        <w:t>GZ</w:t>
      </w:r>
      <w:r>
        <w:t>-psycholoog dan wel orthopedagoog-generalist, van de betreffende leerling heeft ontvangen.</w:t>
      </w:r>
      <w:r>
        <w:br/>
      </w:r>
      <w:r>
        <w:br/>
      </w:r>
      <w:r w:rsidRPr="5FA52294">
        <w:rPr>
          <w:b/>
          <w:bCs/>
          <w:lang w:eastAsia="nl-NL"/>
        </w:rPr>
        <w:t xml:space="preserve">Gevolgen voor het sociaal-emotioneel functioneren en </w:t>
      </w:r>
      <w:r w:rsidR="00313199" w:rsidRPr="5FA52294">
        <w:rPr>
          <w:b/>
          <w:bCs/>
          <w:lang w:eastAsia="nl-NL"/>
        </w:rPr>
        <w:t xml:space="preserve">voor </w:t>
      </w:r>
      <w:r w:rsidRPr="5FA52294">
        <w:rPr>
          <w:b/>
          <w:bCs/>
          <w:lang w:eastAsia="nl-NL"/>
        </w:rPr>
        <w:t>het leren</w:t>
      </w:r>
    </w:p>
    <w:p w14:paraId="0C86778E" w14:textId="7AC712DC" w:rsidR="004E6C95" w:rsidRDefault="004E6C95" w:rsidP="004E6C95">
      <w:pPr>
        <w:pStyle w:val="Geenafstand"/>
        <w:rPr>
          <w:lang w:eastAsia="nl-NL"/>
        </w:rPr>
      </w:pPr>
      <w:r w:rsidRPr="5FA52294">
        <w:rPr>
          <w:lang w:eastAsia="nl-NL"/>
        </w:rPr>
        <w:t>In het voortgezet onderwijs worden leerlingen met dyslexie geconfronteerd met andere (soms nieuwe) problemen dan in het primair onderwijs. Door de puberteit/adolescentie verandert er daarnaast veel voor leerlingen. Wanneer leerlingen hun dyslexie en/of de gevolgen daarvan niet goed kunnen accepteren of onvoldoende ‘om kunnen gaan’ met de lees- en</w:t>
      </w:r>
      <w:r w:rsidR="038AADBE" w:rsidRPr="5FA52294">
        <w:rPr>
          <w:lang w:eastAsia="nl-NL"/>
        </w:rPr>
        <w:t>/of</w:t>
      </w:r>
      <w:r w:rsidRPr="5FA52294">
        <w:rPr>
          <w:lang w:eastAsia="nl-NL"/>
        </w:rPr>
        <w:t xml:space="preserve"> spellingproblemen op school en daarbuiten, kan dat verregaande gevolgen hebben voor het psychosociaal functioneren (</w:t>
      </w:r>
      <w:proofErr w:type="spellStart"/>
      <w:r w:rsidRPr="5FA52294">
        <w:rPr>
          <w:lang w:eastAsia="nl-NL"/>
        </w:rPr>
        <w:t>Ruijssenaars</w:t>
      </w:r>
      <w:proofErr w:type="spellEnd"/>
      <w:r w:rsidRPr="5FA52294">
        <w:rPr>
          <w:lang w:eastAsia="nl-NL"/>
        </w:rPr>
        <w:t xml:space="preserve"> &amp; Van den Bos, 2011). De school heeft, samen met ouders, een belangrijke taak om de leerling met dyslexie te helpen de stoornis te leren accepteren en ermee om te leren gaan.</w:t>
      </w:r>
    </w:p>
    <w:p w14:paraId="70DF9E56" w14:textId="77777777" w:rsidR="004E6C95" w:rsidRPr="00410D65" w:rsidRDefault="004E6C95" w:rsidP="004E6C95">
      <w:pPr>
        <w:pStyle w:val="Geenafstand"/>
        <w:rPr>
          <w:lang w:eastAsia="nl-NL"/>
        </w:rPr>
      </w:pPr>
    </w:p>
    <w:p w14:paraId="3AFF7100" w14:textId="068958F6" w:rsidR="004E6C95" w:rsidRDefault="004E6C95" w:rsidP="004E6C95">
      <w:pPr>
        <w:pStyle w:val="Geenafstand"/>
      </w:pPr>
      <w:r w:rsidRPr="00F62D16">
        <w:t>Gevolgen van dyslexie</w:t>
      </w:r>
      <w:r w:rsidR="00313199">
        <w:t xml:space="preserve"> kunnen zijn</w:t>
      </w:r>
      <w:r w:rsidRPr="00F62D16">
        <w:t>:</w:t>
      </w:r>
    </w:p>
    <w:p w14:paraId="29D6B04F" w14:textId="77777777" w:rsidR="00313199" w:rsidRPr="00F62D16" w:rsidRDefault="00313199" w:rsidP="004E6C95">
      <w:pPr>
        <w:pStyle w:val="Geenafstand"/>
      </w:pPr>
      <w:r>
        <w:t xml:space="preserve"> </w:t>
      </w:r>
    </w:p>
    <w:p w14:paraId="40A27592" w14:textId="6EC4E789" w:rsidR="004E6C95" w:rsidRDefault="004E6C95" w:rsidP="004E6C95">
      <w:pPr>
        <w:pStyle w:val="Geenafstand"/>
        <w:ind w:left="705" w:hanging="705"/>
      </w:pPr>
      <w:r w:rsidRPr="00F62D16">
        <w:t>•</w:t>
      </w:r>
      <w:r w:rsidRPr="00F62D16">
        <w:tab/>
      </w:r>
      <w:r w:rsidR="00155697">
        <w:t xml:space="preserve">voorbeelden </w:t>
      </w:r>
      <w:r w:rsidRPr="00F62D16">
        <w:t>voor het sociaal-emotioneel functioneren: ontwikkelen van ernstige twijfel, aangetast zelfbeeld, onvoldoende intrinsieke motivatie, faalangst, moeite met aansluiting met medeleerlingen, schroom voor vervolgopleiding, vermijden taken op sociaal gebied</w:t>
      </w:r>
    </w:p>
    <w:p w14:paraId="144A5D23" w14:textId="77777777" w:rsidR="004E6C95" w:rsidRPr="00F62D16" w:rsidRDefault="004E6C95" w:rsidP="00F10914">
      <w:pPr>
        <w:pStyle w:val="Geenafstand"/>
      </w:pPr>
    </w:p>
    <w:p w14:paraId="504C771B" w14:textId="261E36E3" w:rsidR="004E6C95" w:rsidRDefault="004E6C95" w:rsidP="004E6C95">
      <w:pPr>
        <w:pStyle w:val="Geenafstand"/>
        <w:ind w:left="705" w:hanging="705"/>
      </w:pPr>
      <w:r>
        <w:t>•</w:t>
      </w:r>
      <w:r>
        <w:tab/>
      </w:r>
      <w:r w:rsidR="00155697">
        <w:t xml:space="preserve">voorbeelden </w:t>
      </w:r>
      <w:r>
        <w:t xml:space="preserve">voor het leren: </w:t>
      </w:r>
      <w:r w:rsidR="00994EEF">
        <w:t xml:space="preserve">problemen met </w:t>
      </w:r>
      <w:r>
        <w:t>technisch lezen (traag en niet accuraat),</w:t>
      </w:r>
      <w:r w:rsidR="001436E9">
        <w:t xml:space="preserve"> problemen met spellen (veel spelfouten, weinig inzicht in woordopbouw),</w:t>
      </w:r>
      <w:r>
        <w:t xml:space="preserve"> </w:t>
      </w:r>
      <w:r w:rsidR="00B91010">
        <w:t xml:space="preserve">problemen met </w:t>
      </w:r>
      <w:r>
        <w:t>begrijpend lezen</w:t>
      </w:r>
      <w:r w:rsidR="009D34CA">
        <w:t xml:space="preserve">, </w:t>
      </w:r>
      <w:r>
        <w:t>rekenproblemen (problemen met automatisering en werkgeheugen leidt tot moeilijkheden met onthouden van rekenfeiten)</w:t>
      </w:r>
      <w:r w:rsidR="009D34CA">
        <w:t xml:space="preserve"> </w:t>
      </w:r>
    </w:p>
    <w:p w14:paraId="31BE00C3" w14:textId="77777777" w:rsidR="009D34CA" w:rsidRDefault="009D34CA" w:rsidP="004E6C95">
      <w:pPr>
        <w:pStyle w:val="Geenafstand"/>
        <w:ind w:left="705" w:hanging="705"/>
      </w:pPr>
    </w:p>
    <w:p w14:paraId="670091E3" w14:textId="648B4CCA" w:rsidR="004E6C95" w:rsidRDefault="004E6C95" w:rsidP="004E6C95">
      <w:pPr>
        <w:pStyle w:val="Geenafstand"/>
        <w:ind w:left="705" w:hanging="705"/>
      </w:pPr>
      <w:r>
        <w:t>•</w:t>
      </w:r>
      <w:r>
        <w:tab/>
      </w:r>
      <w:r w:rsidR="00620DFC">
        <w:t xml:space="preserve">voorbeelden </w:t>
      </w:r>
      <w:r>
        <w:t>voor de schoolloopbaan</w:t>
      </w:r>
      <w:r w:rsidR="00620DFC">
        <w:t xml:space="preserve">: </w:t>
      </w:r>
      <w:r>
        <w:t>instromen op een niet bij de cognitieve ontwikkeling passend niveau, frustratie van talenten</w:t>
      </w:r>
    </w:p>
    <w:p w14:paraId="3B7B4B86" w14:textId="77777777" w:rsidR="004E6C95" w:rsidRDefault="004E6C95" w:rsidP="004E6C95">
      <w:pPr>
        <w:pStyle w:val="Geenafstand"/>
      </w:pPr>
    </w:p>
    <w:p w14:paraId="10E69BB9" w14:textId="77777777" w:rsidR="00313199" w:rsidRDefault="004E6C95" w:rsidP="004E6C95">
      <w:pPr>
        <w:pStyle w:val="Geenafstand"/>
        <w:rPr>
          <w:b/>
          <w:i/>
        </w:rPr>
      </w:pPr>
      <w:r w:rsidRPr="00391A37">
        <w:rPr>
          <w:b/>
          <w:i/>
        </w:rPr>
        <w:t>Dyslexie kan gevolgen hebben voor de beroepskeuze.</w:t>
      </w:r>
    </w:p>
    <w:p w14:paraId="4597EDA0" w14:textId="77777777" w:rsidR="004E6C95" w:rsidRPr="00391A37" w:rsidRDefault="004E6C95" w:rsidP="004E6C95">
      <w:pPr>
        <w:pStyle w:val="Geenafstand"/>
        <w:rPr>
          <w:b/>
          <w:i/>
        </w:rPr>
      </w:pPr>
      <w:r>
        <w:rPr>
          <w:b/>
          <w:i/>
        </w:rPr>
        <w:t>Voor leerlingen met dyslexie en hun ouders is het raadzaam zich vooraf te informeren alvorens een studierichting vast te leggen.</w:t>
      </w:r>
    </w:p>
    <w:p w14:paraId="3A0FF5F2" w14:textId="77777777" w:rsidR="004E6C95" w:rsidRDefault="004E6C95" w:rsidP="004E6C95">
      <w:pPr>
        <w:rPr>
          <w:b/>
        </w:rPr>
      </w:pPr>
      <w:r>
        <w:rPr>
          <w:b/>
        </w:rPr>
        <w:br w:type="page"/>
      </w:r>
    </w:p>
    <w:p w14:paraId="268AF7DD" w14:textId="570D5D45" w:rsidR="004E6C95" w:rsidRPr="00E01492" w:rsidRDefault="004E6C95" w:rsidP="001F17AA">
      <w:pPr>
        <w:pStyle w:val="Kop1"/>
      </w:pPr>
      <w:bookmarkStart w:id="2" w:name="_Toc66360401"/>
      <w:proofErr w:type="spellStart"/>
      <w:r w:rsidRPr="00E01492">
        <w:lastRenderedPageBreak/>
        <w:t>Hfst</w:t>
      </w:r>
      <w:proofErr w:type="spellEnd"/>
      <w:r w:rsidRPr="00E01492">
        <w:t>. 2</w:t>
      </w:r>
      <w:r w:rsidR="00A923DE">
        <w:tab/>
      </w:r>
      <w:r w:rsidRPr="00E01492">
        <w:t>Organisatie</w:t>
      </w:r>
      <w:bookmarkEnd w:id="2"/>
    </w:p>
    <w:p w14:paraId="0AF089C9" w14:textId="6905090B" w:rsidR="004E6C95" w:rsidRDefault="004E6C95" w:rsidP="004E6C95">
      <w:pPr>
        <w:autoSpaceDE w:val="0"/>
        <w:autoSpaceDN w:val="0"/>
        <w:adjustRightInd w:val="0"/>
        <w:spacing w:after="0" w:line="240" w:lineRule="auto"/>
        <w:rPr>
          <w:rFonts w:ascii="Calibri" w:hAnsi="Calibri" w:cs="Calibri"/>
          <w:color w:val="000000"/>
        </w:rPr>
      </w:pPr>
      <w:r w:rsidRPr="73693B27">
        <w:rPr>
          <w:rFonts w:ascii="Calibri" w:hAnsi="Calibri" w:cs="Calibri"/>
          <w:color w:val="000000" w:themeColor="text1"/>
        </w:rPr>
        <w:t>De scholen van Scholengroep Carmel Hengelo hebben de afgelopen jaren geïnvesteerd in het goed organiseren van de onderwijszorg in de school. Er zijn voorzi</w:t>
      </w:r>
      <w:r w:rsidR="00313199" w:rsidRPr="73693B27">
        <w:rPr>
          <w:rFonts w:ascii="Calibri" w:hAnsi="Calibri" w:cs="Calibri"/>
          <w:color w:val="000000" w:themeColor="text1"/>
        </w:rPr>
        <w:t xml:space="preserve">eningen in school getroffen om ondersteuning aan </w:t>
      </w:r>
      <w:r w:rsidRPr="73693B27">
        <w:rPr>
          <w:rFonts w:ascii="Calibri" w:hAnsi="Calibri" w:cs="Calibri"/>
          <w:color w:val="000000" w:themeColor="text1"/>
        </w:rPr>
        <w:t>leerl</w:t>
      </w:r>
      <w:r w:rsidR="00313199" w:rsidRPr="73693B27">
        <w:rPr>
          <w:rFonts w:ascii="Calibri" w:hAnsi="Calibri" w:cs="Calibri"/>
          <w:color w:val="000000" w:themeColor="text1"/>
        </w:rPr>
        <w:t xml:space="preserve">ingen te bieden en er is </w:t>
      </w:r>
      <w:r w:rsidRPr="73693B27">
        <w:rPr>
          <w:rFonts w:ascii="Calibri" w:hAnsi="Calibri" w:cs="Calibri"/>
          <w:color w:val="000000" w:themeColor="text1"/>
        </w:rPr>
        <w:t xml:space="preserve">specialistische expertise aanwezig. </w:t>
      </w:r>
      <w:r w:rsidR="00F46965">
        <w:rPr>
          <w:rFonts w:ascii="Calibri" w:hAnsi="Calibri" w:cs="Calibri"/>
          <w:color w:val="000000"/>
        </w:rPr>
        <w:br/>
      </w:r>
      <w:r w:rsidR="00F46965">
        <w:rPr>
          <w:rFonts w:ascii="Calibri" w:hAnsi="Calibri" w:cs="Calibri"/>
          <w:color w:val="000000"/>
        </w:rPr>
        <w:br/>
      </w:r>
      <w:r w:rsidRPr="73693B27">
        <w:rPr>
          <w:rFonts w:ascii="Calibri" w:hAnsi="Calibri" w:cs="Calibri"/>
          <w:color w:val="000000" w:themeColor="text1"/>
        </w:rPr>
        <w:t>Scholengroep Carmel Hengelo onderschrijft de volgende uitspraken</w:t>
      </w:r>
      <w:r w:rsidR="00F46965">
        <w:rPr>
          <w:rFonts w:ascii="Calibri" w:hAnsi="Calibri" w:cs="Calibri"/>
          <w:color w:val="000000" w:themeColor="text1"/>
        </w:rPr>
        <w:t>:</w:t>
      </w:r>
    </w:p>
    <w:p w14:paraId="66204FF1" w14:textId="77777777" w:rsidR="004E6C95" w:rsidRPr="00F71F33" w:rsidRDefault="004E6C95" w:rsidP="004E6C95">
      <w:pPr>
        <w:autoSpaceDE w:val="0"/>
        <w:autoSpaceDN w:val="0"/>
        <w:adjustRightInd w:val="0"/>
        <w:spacing w:after="0" w:line="240" w:lineRule="auto"/>
        <w:rPr>
          <w:rFonts w:ascii="Calibri" w:hAnsi="Calibri" w:cs="Calibri"/>
          <w:color w:val="000000"/>
          <w:sz w:val="10"/>
          <w:szCs w:val="10"/>
        </w:rPr>
      </w:pPr>
    </w:p>
    <w:p w14:paraId="5EACA406" w14:textId="77777777" w:rsidR="000262C4" w:rsidRPr="000262C4" w:rsidRDefault="00313199" w:rsidP="00F46965">
      <w:pPr>
        <w:pStyle w:val="Lijstalinea"/>
        <w:numPr>
          <w:ilvl w:val="0"/>
          <w:numId w:val="31"/>
        </w:numPr>
        <w:autoSpaceDE w:val="0"/>
        <w:autoSpaceDN w:val="0"/>
        <w:adjustRightInd w:val="0"/>
        <w:spacing w:after="0" w:line="240" w:lineRule="auto"/>
        <w:rPr>
          <w:rFonts w:ascii="Calibri" w:hAnsi="Calibri" w:cs="Calibri"/>
          <w:color w:val="000000"/>
        </w:rPr>
      </w:pPr>
      <w:r w:rsidRPr="000262C4">
        <w:rPr>
          <w:rFonts w:ascii="Calibri" w:hAnsi="Calibri" w:cs="Calibri"/>
        </w:rPr>
        <w:t xml:space="preserve">Voor iedere leerling vindt </w:t>
      </w:r>
      <w:r w:rsidR="004E6C95" w:rsidRPr="000262C4">
        <w:rPr>
          <w:rFonts w:ascii="Calibri" w:hAnsi="Calibri" w:cs="Calibri"/>
        </w:rPr>
        <w:t>basisondersteuning zo veel mogelijk plaats in de reguliere setting.</w:t>
      </w:r>
    </w:p>
    <w:p w14:paraId="49F9564C" w14:textId="77777777" w:rsidR="000262C4" w:rsidRPr="000262C4" w:rsidRDefault="004E6C95" w:rsidP="00F46965">
      <w:pPr>
        <w:pStyle w:val="Lijstalinea"/>
        <w:numPr>
          <w:ilvl w:val="0"/>
          <w:numId w:val="31"/>
        </w:numPr>
        <w:autoSpaceDE w:val="0"/>
        <w:autoSpaceDN w:val="0"/>
        <w:adjustRightInd w:val="0"/>
        <w:spacing w:after="0" w:line="240" w:lineRule="auto"/>
        <w:rPr>
          <w:rFonts w:ascii="Calibri" w:hAnsi="Calibri" w:cs="Calibri"/>
          <w:color w:val="000000"/>
        </w:rPr>
      </w:pPr>
      <w:r w:rsidRPr="000262C4">
        <w:rPr>
          <w:rFonts w:ascii="Calibri" w:hAnsi="Calibri" w:cs="Calibri"/>
        </w:rPr>
        <w:t>Extra ondersteuning zijn voorzieningen</w:t>
      </w:r>
      <w:r w:rsidR="00F46965" w:rsidRPr="000262C4">
        <w:rPr>
          <w:rFonts w:ascii="Calibri" w:hAnsi="Calibri" w:cs="Calibri"/>
        </w:rPr>
        <w:t xml:space="preserve"> </w:t>
      </w:r>
      <w:r w:rsidRPr="000262C4">
        <w:rPr>
          <w:rFonts w:ascii="Calibri" w:hAnsi="Calibri" w:cs="Calibri"/>
        </w:rPr>
        <w:t xml:space="preserve">die ingezet worden binnen de infrastructuur van de school. </w:t>
      </w:r>
    </w:p>
    <w:p w14:paraId="184C1D57" w14:textId="07365BC6" w:rsidR="004E6C95" w:rsidRPr="004460C8" w:rsidRDefault="000262C4" w:rsidP="004460C8">
      <w:pPr>
        <w:autoSpaceDE w:val="0"/>
        <w:autoSpaceDN w:val="0"/>
        <w:adjustRightInd w:val="0"/>
        <w:spacing w:after="0" w:line="240" w:lineRule="auto"/>
        <w:rPr>
          <w:rFonts w:ascii="Calibri" w:hAnsi="Calibri" w:cs="Calibri"/>
          <w:color w:val="000000"/>
        </w:rPr>
      </w:pPr>
      <w:r>
        <w:br/>
      </w:r>
      <w:r w:rsidR="004E6C95">
        <w:t xml:space="preserve">Op basis van deze visie is een ondersteuningsroute geschreven. Met deze nota beoogt de scholengroep de ondersteuning van de leerling zoveel mogelijk binnen de eigen klas van de leerling  en binnen het eigen team van docenten te bieden. </w:t>
      </w:r>
      <w:r w:rsidR="004460C8" w:rsidRPr="00C969B5">
        <w:rPr>
          <w:rFonts w:ascii="Calibri" w:hAnsi="Calibri" w:cs="Calibri"/>
          <w:color w:val="000000"/>
        </w:rPr>
        <w:t>Ondersteuning aan en extra begeleiding van leerlingen is onderdeel van het pedagogisch, didactisch en agogisch handelen van iedere docent</w:t>
      </w:r>
      <w:r w:rsidR="00224EF0">
        <w:rPr>
          <w:rFonts w:ascii="Calibri" w:hAnsi="Calibri" w:cs="Calibri"/>
          <w:color w:val="000000"/>
        </w:rPr>
        <w:t xml:space="preserve"> en zijn preventief van aard</w:t>
      </w:r>
      <w:r w:rsidR="004460C8" w:rsidRPr="00C969B5">
        <w:rPr>
          <w:rFonts w:ascii="Calibri" w:hAnsi="Calibri" w:cs="Calibri"/>
          <w:color w:val="000000"/>
        </w:rPr>
        <w:t xml:space="preserve">. </w:t>
      </w:r>
      <w:r w:rsidR="004E6C95">
        <w:t>Mentoren en docenten spelen een cruciale rol. De mentor is voor de leerling, dus ook voor de leerling met bijvoorbeeld dyslexie, altijd het eerste aanspreekpunt. Waar nodig kan de leerling met dyslexie, in overleg met zijn mentor, contact zoeken met de dyslexie</w:t>
      </w:r>
      <w:r w:rsidR="006A5436">
        <w:t>-</w:t>
      </w:r>
      <w:r w:rsidR="004E6C95">
        <w:t xml:space="preserve">coördinator. </w:t>
      </w:r>
    </w:p>
    <w:p w14:paraId="66B8F3CD" w14:textId="7B15D8A2" w:rsidR="004E6C95" w:rsidRPr="00F71F33" w:rsidRDefault="000262C4" w:rsidP="004E6C95">
      <w:r>
        <w:rPr>
          <w:rFonts w:ascii="Calibri" w:hAnsi="Calibri" w:cs="Calibri"/>
        </w:rPr>
        <w:br/>
      </w:r>
      <w:r w:rsidR="004E6C95" w:rsidRPr="73693B27">
        <w:rPr>
          <w:rFonts w:ascii="Calibri" w:hAnsi="Calibri" w:cs="Calibri"/>
        </w:rPr>
        <w:t>Elke locatie heeft, ten behoeve van de coördinatie van zaken die betrekking hebben op de begeleiding</w:t>
      </w:r>
      <w:r w:rsidR="004E6C95" w:rsidRPr="73693B27">
        <w:rPr>
          <w:rFonts w:cs="Tahoma"/>
        </w:rPr>
        <w:t xml:space="preserve"> van leerlingen met dyslexie, vervolgens een dyslexie-coördinator. De dyslexie-coördinator </w:t>
      </w:r>
      <w:r w:rsidR="004E6C95">
        <w:t>draagt er onder meer zorg voor dat de leerlingen met dyslexie een goede start kunnen maken in het nieuwe schooljaar. Hij zorgt er voor dat docenten op de hoogte zijn welke leerlingen dyslexie hebben, hij stelt dyslexiepassen op</w:t>
      </w:r>
      <w:r w:rsidR="003D7B1B">
        <w:t xml:space="preserve">, </w:t>
      </w:r>
      <w:r w:rsidR="004E6C95">
        <w:t xml:space="preserve">verstrekt deze en bespreekt deze met de leerlingen. Ander zaken die op het terrein van de </w:t>
      </w:r>
      <w:r w:rsidR="003D7B1B">
        <w:t>dyslexie-</w:t>
      </w:r>
      <w:r w:rsidR="004E6C95">
        <w:t>coördinator liggen zijn o.a.:</w:t>
      </w:r>
    </w:p>
    <w:p w14:paraId="5FF00232" w14:textId="4934DC25" w:rsidR="004E6C95" w:rsidRPr="00F71F33" w:rsidRDefault="004E6C95" w:rsidP="004E6C95">
      <w:pPr>
        <w:pStyle w:val="Geenafstand"/>
        <w:numPr>
          <w:ilvl w:val="0"/>
          <w:numId w:val="25"/>
        </w:numPr>
      </w:pPr>
      <w:r>
        <w:t>Regelmatig informeren van docenten over beoordeling / begeleiding.</w:t>
      </w:r>
    </w:p>
    <w:p w14:paraId="4308F2F6" w14:textId="77777777" w:rsidR="004E6C95" w:rsidRPr="00F71F33" w:rsidRDefault="004E6C95" w:rsidP="004E6C95">
      <w:pPr>
        <w:pStyle w:val="Geenafstand"/>
        <w:numPr>
          <w:ilvl w:val="0"/>
          <w:numId w:val="25"/>
        </w:numPr>
      </w:pPr>
      <w:r>
        <w:t>Informeren van ouders</w:t>
      </w:r>
    </w:p>
    <w:p w14:paraId="34ABA03B" w14:textId="4CF8FF0D" w:rsidR="004E6C95" w:rsidRPr="00F71F33" w:rsidRDefault="004E6C95" w:rsidP="004E6C95">
      <w:pPr>
        <w:pStyle w:val="Geenafstand"/>
        <w:numPr>
          <w:ilvl w:val="0"/>
          <w:numId w:val="25"/>
        </w:numPr>
      </w:pPr>
      <w:r>
        <w:t xml:space="preserve">Voeren van begeleidingsgesprekken met </w:t>
      </w:r>
      <w:r w:rsidR="559E1EC4">
        <w:t>ondersteuningscoördinatoren</w:t>
      </w:r>
      <w:r>
        <w:t>-coördinatoren.</w:t>
      </w:r>
    </w:p>
    <w:p w14:paraId="3DE60FB5" w14:textId="77777777" w:rsidR="004E6C95" w:rsidRPr="00F71F33" w:rsidRDefault="004E6C95" w:rsidP="004E6C95">
      <w:pPr>
        <w:pStyle w:val="Geenafstand"/>
        <w:numPr>
          <w:ilvl w:val="0"/>
          <w:numId w:val="25"/>
        </w:numPr>
      </w:pPr>
      <w:r>
        <w:t xml:space="preserve">Coördineren van signaleringsonderzoek </w:t>
      </w:r>
    </w:p>
    <w:p w14:paraId="28AAF61E" w14:textId="248AB78D" w:rsidR="004E6C95" w:rsidRDefault="004E6C95" w:rsidP="004E6C95">
      <w:pPr>
        <w:pStyle w:val="Geenafstand"/>
        <w:numPr>
          <w:ilvl w:val="0"/>
          <w:numId w:val="25"/>
        </w:numPr>
      </w:pPr>
      <w:r>
        <w:t>Aanleveren van materiaal t</w:t>
      </w:r>
      <w:r w:rsidR="6E502D55">
        <w:t>.</w:t>
      </w:r>
      <w:r>
        <w:t>b</w:t>
      </w:r>
      <w:r w:rsidR="53000315">
        <w:t>.</w:t>
      </w:r>
      <w:r>
        <w:t>v</w:t>
      </w:r>
      <w:r w:rsidR="5BCE49C6">
        <w:t>.</w:t>
      </w:r>
      <w:r>
        <w:t xml:space="preserve"> toetsing (digitaal toetsen)</w:t>
      </w:r>
    </w:p>
    <w:p w14:paraId="0024F791" w14:textId="5479D086" w:rsidR="004E6C95" w:rsidRPr="00F71F33" w:rsidRDefault="004E6C95" w:rsidP="004E6C95">
      <w:pPr>
        <w:pStyle w:val="Geenafstand"/>
        <w:numPr>
          <w:ilvl w:val="0"/>
          <w:numId w:val="25"/>
        </w:numPr>
      </w:pPr>
      <w:r>
        <w:t>Opstellen en controleren van organisatie en regels bij toetsen</w:t>
      </w:r>
    </w:p>
    <w:p w14:paraId="39DD3245" w14:textId="7B6CF379" w:rsidR="004E6C95" w:rsidRPr="00F71F33" w:rsidRDefault="004E6C95" w:rsidP="004E6C95">
      <w:pPr>
        <w:pStyle w:val="Geenafstand"/>
        <w:numPr>
          <w:ilvl w:val="0"/>
          <w:numId w:val="25"/>
        </w:numPr>
      </w:pPr>
      <w:r>
        <w:t>Gegevens bijwerken in het digitale leerlingvolgsysteem (SOM)</w:t>
      </w:r>
    </w:p>
    <w:p w14:paraId="0F125B34" w14:textId="77777777" w:rsidR="004E6C95" w:rsidRPr="00F71F33" w:rsidRDefault="004E6C95" w:rsidP="004E6C95">
      <w:pPr>
        <w:pStyle w:val="Geenafstand"/>
        <w:numPr>
          <w:ilvl w:val="0"/>
          <w:numId w:val="25"/>
        </w:numPr>
      </w:pPr>
      <w:r>
        <w:t>Inventariseren van de noodzaak van auditieve ondersteuning tijdens toetsen en proefwerken</w:t>
      </w:r>
    </w:p>
    <w:p w14:paraId="64BED447" w14:textId="77777777" w:rsidR="004E6C95" w:rsidRDefault="004E6C95" w:rsidP="004E6C95">
      <w:pPr>
        <w:pStyle w:val="Geenafstand"/>
        <w:numPr>
          <w:ilvl w:val="0"/>
          <w:numId w:val="25"/>
        </w:numPr>
      </w:pPr>
      <w:r>
        <w:t>Leerlingen instrueren over digitale ondersteuning</w:t>
      </w:r>
    </w:p>
    <w:p w14:paraId="025E63BD" w14:textId="77777777" w:rsidR="004E6C95" w:rsidRDefault="004E6C95" w:rsidP="004E6C95">
      <w:pPr>
        <w:pStyle w:val="Geenafstand"/>
        <w:numPr>
          <w:ilvl w:val="0"/>
          <w:numId w:val="25"/>
        </w:numPr>
      </w:pPr>
      <w:r>
        <w:t>Beantwoorden van vragen van leerlingen</w:t>
      </w:r>
    </w:p>
    <w:p w14:paraId="43E3245D" w14:textId="31AA5D3D" w:rsidR="004E6C95" w:rsidRDefault="004E6C95" w:rsidP="004E6C95">
      <w:pPr>
        <w:pStyle w:val="Geenafstand"/>
        <w:numPr>
          <w:ilvl w:val="0"/>
          <w:numId w:val="25"/>
        </w:numPr>
      </w:pPr>
      <w:r>
        <w:t>Het in beeld houden van dyslexie bij team en directie</w:t>
      </w:r>
    </w:p>
    <w:p w14:paraId="424D4C94" w14:textId="0248EE86" w:rsidR="1E369E69" w:rsidRDefault="1E369E69" w:rsidP="1E369E69">
      <w:pPr>
        <w:pStyle w:val="Geenafstand"/>
      </w:pPr>
    </w:p>
    <w:p w14:paraId="416294E9" w14:textId="654898AC" w:rsidR="315724D4" w:rsidRDefault="315724D4" w:rsidP="1E369E69">
      <w:pPr>
        <w:pStyle w:val="Geenafstand"/>
      </w:pPr>
      <w:r>
        <w:t xml:space="preserve">Meer informatie over de taken van de dyslexie-coördinator zijn te vinden in de bijlage. </w:t>
      </w:r>
    </w:p>
    <w:p w14:paraId="769D0D3C" w14:textId="77777777" w:rsidR="004E6C95" w:rsidRDefault="004E6C95" w:rsidP="004E6C95">
      <w:pPr>
        <w:pStyle w:val="Geenafstand"/>
        <w:ind w:left="720"/>
      </w:pPr>
    </w:p>
    <w:p w14:paraId="1B388991" w14:textId="7A94865B" w:rsidR="004E6C95" w:rsidRPr="004C5148" w:rsidRDefault="004E6C95" w:rsidP="5FA52294">
      <w:pPr>
        <w:rPr>
          <w:b/>
          <w:bCs/>
        </w:rPr>
      </w:pPr>
      <w:r w:rsidRPr="5FA52294">
        <w:rPr>
          <w:b/>
          <w:bCs/>
        </w:rPr>
        <w:t>Werkgroep Dyslexie van de Scholengroep Carmel Hengelo</w:t>
      </w:r>
      <w:r>
        <w:br/>
        <w:t xml:space="preserve">De dyslexie-coördinatoren komen gemiddeld eens in de zes weken bij elkaar in de Werkgroep Dyslexie voor nader overleg over lopende zaken, het bijstellen van het protocol, kennisoverdracht en </w:t>
      </w:r>
      <w:r w:rsidR="00145BE1">
        <w:t xml:space="preserve">onderlinge </w:t>
      </w:r>
      <w:r>
        <w:t>consultatie.</w:t>
      </w:r>
    </w:p>
    <w:p w14:paraId="68E1BDC1" w14:textId="25DC794C" w:rsidR="004E6C95" w:rsidRPr="004C5148" w:rsidRDefault="004E6C95" w:rsidP="004E6C95">
      <w:r>
        <w:t>De werkgroep bestaat uit de dyslexie</w:t>
      </w:r>
      <w:r w:rsidR="16F6E9E4">
        <w:t>-</w:t>
      </w:r>
      <w:r>
        <w:t xml:space="preserve">coördinatoren van alle locaties van de scholengroep, een ondersteuningsfunctionaris en een orthopedagoog/psycholoog. </w:t>
      </w:r>
    </w:p>
    <w:p w14:paraId="0F3CABC7" w14:textId="77777777" w:rsidR="004E6C95" w:rsidRPr="004C5148" w:rsidRDefault="004E6C95" w:rsidP="004E6C95">
      <w:r w:rsidRPr="004C5148">
        <w:br w:type="page"/>
      </w:r>
    </w:p>
    <w:p w14:paraId="3CC194C7" w14:textId="36C005AC" w:rsidR="004E6C95" w:rsidRPr="008470F7" w:rsidRDefault="004E6C95" w:rsidP="001F17AA">
      <w:pPr>
        <w:pStyle w:val="Kop1"/>
      </w:pPr>
      <w:bookmarkStart w:id="3" w:name="_Toc66360402"/>
      <w:proofErr w:type="spellStart"/>
      <w:r w:rsidRPr="008470F7">
        <w:lastRenderedPageBreak/>
        <w:t>Hfst</w:t>
      </w:r>
      <w:proofErr w:type="spellEnd"/>
      <w:r w:rsidRPr="008470F7">
        <w:t>. 3</w:t>
      </w:r>
      <w:r w:rsidRPr="008470F7">
        <w:tab/>
        <w:t>Signalering en Onderzoek</w:t>
      </w:r>
      <w:bookmarkEnd w:id="3"/>
    </w:p>
    <w:p w14:paraId="6F7F4657" w14:textId="501ABA67" w:rsidR="004E6C95" w:rsidRPr="00865EFF" w:rsidRDefault="004E6C95" w:rsidP="1E369E69">
      <w:pPr>
        <w:rPr>
          <w:rFonts w:ascii="Myriad-Roman" w:hAnsi="Myriad-Roman" w:cs="Myriad-Roman"/>
          <w:sz w:val="20"/>
          <w:szCs w:val="20"/>
        </w:rPr>
      </w:pPr>
      <w:r>
        <w:br/>
      </w:r>
      <w:r w:rsidRPr="1E369E69">
        <w:rPr>
          <w:b/>
          <w:bCs/>
        </w:rPr>
        <w:t>Algemeen</w:t>
      </w:r>
      <w:r>
        <w:br/>
        <w:t>Scholengroep Carmel Hengelo (SCH) en Openbare Scholen Gemeenschap Hengelo</w:t>
      </w:r>
      <w:r w:rsidR="00F5155D">
        <w:t xml:space="preserve"> (OSG)</w:t>
      </w:r>
      <w:r>
        <w:t xml:space="preserve"> hebben met het basisonderwijs in Hengelo e.o. een overeenkomst met betrekking tot het screenen en signaleren van dyslexie en het laten uitvoeren van dyslexieonderzoek.  Een groot aantal geïndiceerde leerlingen in groep 8 krijgt dus een dyslexieonderzoek en, afhankelijk van het onderzoeksresultaat, een dyslexieverklaring.</w:t>
      </w:r>
    </w:p>
    <w:p w14:paraId="3146D413" w14:textId="3AF77DCE" w:rsidR="004E6C95" w:rsidRPr="00865EFF" w:rsidRDefault="004E6C95" w:rsidP="004E6C95">
      <w:pPr>
        <w:pStyle w:val="Geenafstand"/>
      </w:pPr>
      <w:r>
        <w:t>Als gevolg van deze overeenkomst vindt een centraal aangestuurde signaleringsronde (zoals geadviseerd vanuit het masterplan dyslexie) voor alle leerlingen in de eerste klas van het voortgezet onderwijs in Hengelo, Borne en Delden niet (meer) plaats.</w:t>
      </w:r>
    </w:p>
    <w:p w14:paraId="2674ACEC" w14:textId="2C958476" w:rsidR="004E6C95" w:rsidRPr="00865EFF" w:rsidRDefault="004E6C95" w:rsidP="004E6C95">
      <w:pPr>
        <w:pStyle w:val="Geenafstand"/>
      </w:pPr>
      <w:r>
        <w:t>De ervaring leert dat er na verloop van tijd in het voortgezet onderwijs altijd een aantal leerlingen is waarbij lees- en</w:t>
      </w:r>
      <w:r w:rsidR="4985F5D8">
        <w:t>/of</w:t>
      </w:r>
      <w:r>
        <w:t xml:space="preserve"> spellingsproblematiek als gevolg van dyslexie zich alsnog openbaart. Een meer dan gemiddelde intelligentie kan een van de oorzaken zijn.  Docenten, mentoren en zorgspecialisten</w:t>
      </w:r>
    </w:p>
    <w:p w14:paraId="63BC1A67" w14:textId="04955B1B" w:rsidR="004E6C95" w:rsidRDefault="004E6C95" w:rsidP="004E6C95">
      <w:pPr>
        <w:pStyle w:val="Geenafstand"/>
      </w:pPr>
      <w:r>
        <w:t>hebben daarom de taak alert te zijn op leerlingen met deze problemen</w:t>
      </w:r>
      <w:r w:rsidR="2C57F77E">
        <w:t xml:space="preserve">. </w:t>
      </w:r>
      <w:r>
        <w:t>Het is belangrijk dat deze later geïndiceerde leerlingen de ondersteuning krijgen die ze nodig hebben. Onderstaand stappenplan voor screening en signalering geeft daarvoor de eerste aanzet.</w:t>
      </w:r>
    </w:p>
    <w:p w14:paraId="463688BB" w14:textId="339E8143" w:rsidR="004E6C95" w:rsidRPr="00865EFF" w:rsidRDefault="004E6C95" w:rsidP="1E369E69">
      <w:pPr>
        <w:pStyle w:val="Geenafstand"/>
        <w:rPr>
          <w:b/>
          <w:bCs/>
        </w:rPr>
      </w:pPr>
      <w:r>
        <w:br/>
      </w:r>
      <w:r w:rsidRPr="1E369E69">
        <w:rPr>
          <w:b/>
          <w:bCs/>
        </w:rPr>
        <w:t xml:space="preserve">Signalering van lees- en spellingsproblemen in het voortgezet onderwijs </w:t>
      </w:r>
      <w:r>
        <w:br/>
        <w:t xml:space="preserve">SCH stelt in het onderwijsleerproces de rol van de mentor centraal. Dit uitgangspunt is dus ook van belang in het proces rond de signalering van lees- en spellingsproblemen. </w:t>
      </w:r>
    </w:p>
    <w:p w14:paraId="5096F859" w14:textId="43FCAD57" w:rsidR="004E6C95" w:rsidRDefault="004E6C95" w:rsidP="004E6C95">
      <w:pPr>
        <w:pStyle w:val="Geenafstand"/>
      </w:pPr>
      <w:r>
        <w:t>De stappen die gezet moeten worden in het verlenen van zorg voor leerlingen zijn vastgelegd in een aantal ondersteuningsniveaus (zie ondersteuningsroute)</w:t>
      </w:r>
      <w:r w:rsidR="17BC8255">
        <w:t>.</w:t>
      </w:r>
    </w:p>
    <w:p w14:paraId="5023141B" w14:textId="77777777" w:rsidR="004E6C95" w:rsidRPr="00865EFF" w:rsidRDefault="004E6C95" w:rsidP="004E6C95">
      <w:pPr>
        <w:pStyle w:val="Geenafstand"/>
      </w:pPr>
    </w:p>
    <w:p w14:paraId="0D574417" w14:textId="741669B5" w:rsidR="004E6C95" w:rsidRPr="00865EFF" w:rsidRDefault="004E6C95" w:rsidP="004E6C95">
      <w:pPr>
        <w:pStyle w:val="Geenafstand"/>
      </w:pPr>
      <w:r>
        <w:t xml:space="preserve">Signalering en screening van lees- en spellingsproblemen kan plaatsvinden op alle locaties van SCH in alle leerjaren met uitzondering van het examenjaar. In het examenjaar moet voor november van dat jaar duidelijk </w:t>
      </w:r>
      <w:r w:rsidR="5DCB1A30">
        <w:t>z</w:t>
      </w:r>
      <w:r>
        <w:t>ijn of een leerling een dyslexieverklaring heeft.</w:t>
      </w:r>
    </w:p>
    <w:p w14:paraId="1F3B1409" w14:textId="77777777" w:rsidR="004E6C95" w:rsidRPr="00865EFF" w:rsidRDefault="004E6C95" w:rsidP="004E6C95">
      <w:pPr>
        <w:pStyle w:val="Geenafstand"/>
      </w:pPr>
    </w:p>
    <w:p w14:paraId="0BA5D74F" w14:textId="03A84A7A" w:rsidR="004E6C95" w:rsidRDefault="004E6C95" w:rsidP="004E6C95">
      <w:pPr>
        <w:pStyle w:val="Geenafstand"/>
      </w:pPr>
      <w:r>
        <w:t xml:space="preserve">Het stappenplan ten behoeve van de signalering, screening en eventuele doorverwijzing is </w:t>
      </w:r>
      <w:r w:rsidR="7EF05717">
        <w:t xml:space="preserve">te vinden </w:t>
      </w:r>
      <w:r w:rsidR="03A309E0">
        <w:t>i</w:t>
      </w:r>
      <w:r w:rsidR="119FE822">
        <w:t xml:space="preserve">n het dyslexie protocol ‘handboek intern gebruik’ van Scholengroep Carmel Hengelo (SCH). </w:t>
      </w:r>
    </w:p>
    <w:p w14:paraId="23F3B934" w14:textId="1D441FFC" w:rsidR="004E6C95" w:rsidRPr="001110D8" w:rsidRDefault="00523184" w:rsidP="1E369E69">
      <w:pPr>
        <w:pStyle w:val="Geenafstand"/>
        <w:rPr>
          <w:b/>
          <w:bCs/>
        </w:rPr>
      </w:pPr>
      <w:r>
        <w:br/>
      </w:r>
      <w:r w:rsidR="004E6C95" w:rsidRPr="1E369E69">
        <w:rPr>
          <w:b/>
          <w:bCs/>
        </w:rPr>
        <w:t>Onderzoek</w:t>
      </w:r>
      <w:r>
        <w:br/>
        <w:t xml:space="preserve">Binnen de scholengroep Carmel Hengelo vindt geen onderzoek naar dyslexie </w:t>
      </w:r>
      <w:r w:rsidR="00CB0C75">
        <w:t xml:space="preserve">plaats. Het </w:t>
      </w:r>
      <w:r w:rsidR="00787230">
        <w:t xml:space="preserve">al dan niet vaststellen van dyslexie dient bij een extern bureau plaats te vinden. </w:t>
      </w:r>
      <w:r w:rsidR="004E6C95">
        <w:t>Indien de diagnose “dyslexie” is gesteld, voegt een GZ-psycholoog</w:t>
      </w:r>
      <w:r w:rsidR="002E3972">
        <w:t xml:space="preserve"> of een orthopedagoog-generalist</w:t>
      </w:r>
      <w:r w:rsidR="00787230">
        <w:t xml:space="preserve"> </w:t>
      </w:r>
      <w:r w:rsidR="004E6C95">
        <w:t>een dyslexieverklaring toe.</w:t>
      </w:r>
    </w:p>
    <w:p w14:paraId="665B664E" w14:textId="0D338AA1" w:rsidR="004E6C95" w:rsidRDefault="004E6C95" w:rsidP="004E6C95">
      <w:pPr>
        <w:pStyle w:val="Geenafstand"/>
      </w:pPr>
      <w:r>
        <w:t>Deze verklaring is voor de school van belang</w:t>
      </w:r>
      <w:r w:rsidR="00787230">
        <w:t>,</w:t>
      </w:r>
      <w:r>
        <w:t xml:space="preserve"> omdat daarin aanbevelingen worden opgenomen voor aanpassingen ter compensatie en voor mogelijke dispensaties. Eventuele aanbevelingen voor remediering kunnen veelal niet door de school worden opgepakt.</w:t>
      </w:r>
    </w:p>
    <w:p w14:paraId="1BC1392F" w14:textId="4B05D03A" w:rsidR="004E6C95" w:rsidRPr="002E3972" w:rsidRDefault="004E6C95" w:rsidP="004E6C95">
      <w:pPr>
        <w:pStyle w:val="Geenafstand"/>
        <w:rPr>
          <w:b/>
        </w:rPr>
      </w:pPr>
      <w:r w:rsidRPr="002E3972">
        <w:rPr>
          <w:b/>
        </w:rPr>
        <w:t>Een onderzoek</w:t>
      </w:r>
      <w:r w:rsidR="00787230">
        <w:rPr>
          <w:b/>
        </w:rPr>
        <w:t xml:space="preserve"> naar dyslexie</w:t>
      </w:r>
      <w:r w:rsidRPr="002E3972">
        <w:rPr>
          <w:b/>
        </w:rPr>
        <w:t xml:space="preserve"> wordt niet door de school vergoed.</w:t>
      </w:r>
      <w:r w:rsidR="00787230">
        <w:rPr>
          <w:b/>
        </w:rPr>
        <w:br/>
      </w:r>
      <w:r w:rsidR="00787230">
        <w:rPr>
          <w:b/>
        </w:rPr>
        <w:br/>
      </w:r>
      <w:r w:rsidR="00787230">
        <w:rPr>
          <w:b/>
        </w:rPr>
        <w:br/>
      </w:r>
    </w:p>
    <w:p w14:paraId="7DF4E37C" w14:textId="77777777" w:rsidR="004E6C95" w:rsidRPr="00865EFF" w:rsidRDefault="004E6C95" w:rsidP="004E6C95">
      <w:pPr>
        <w:pStyle w:val="Geenafstand"/>
      </w:pPr>
    </w:p>
    <w:p w14:paraId="7B1A6011" w14:textId="0017CD51" w:rsidR="1E369E69" w:rsidRDefault="1E369E69" w:rsidP="1E369E69">
      <w:pPr>
        <w:pStyle w:val="Geenafstand"/>
        <w:rPr>
          <w:b/>
          <w:bCs/>
          <w:sz w:val="28"/>
          <w:szCs w:val="28"/>
        </w:rPr>
      </w:pPr>
    </w:p>
    <w:p w14:paraId="62EB2101" w14:textId="7796E4BC" w:rsidR="1E369E69" w:rsidRDefault="1E369E69" w:rsidP="1E369E69">
      <w:pPr>
        <w:pStyle w:val="Geenafstand"/>
        <w:rPr>
          <w:b/>
          <w:bCs/>
          <w:sz w:val="28"/>
          <w:szCs w:val="28"/>
        </w:rPr>
      </w:pPr>
    </w:p>
    <w:p w14:paraId="1BE4B04D" w14:textId="42CCB09A" w:rsidR="1E369E69" w:rsidRDefault="1E369E69" w:rsidP="1E369E69">
      <w:pPr>
        <w:pStyle w:val="Geenafstand"/>
        <w:rPr>
          <w:b/>
          <w:bCs/>
          <w:sz w:val="28"/>
          <w:szCs w:val="28"/>
        </w:rPr>
      </w:pPr>
    </w:p>
    <w:p w14:paraId="316BE4DE" w14:textId="61934641" w:rsidR="1E369E69" w:rsidRDefault="1E369E69" w:rsidP="1E369E69">
      <w:pPr>
        <w:pStyle w:val="Geenafstand"/>
        <w:rPr>
          <w:b/>
          <w:bCs/>
          <w:sz w:val="28"/>
          <w:szCs w:val="28"/>
        </w:rPr>
      </w:pPr>
    </w:p>
    <w:p w14:paraId="2ED66ACC" w14:textId="5AE00767" w:rsidR="1E369E69" w:rsidRDefault="1E369E69" w:rsidP="1E369E69">
      <w:pPr>
        <w:pStyle w:val="Geenafstand"/>
        <w:rPr>
          <w:b/>
          <w:bCs/>
          <w:sz w:val="28"/>
          <w:szCs w:val="28"/>
        </w:rPr>
      </w:pPr>
    </w:p>
    <w:p w14:paraId="2A82CD77" w14:textId="7FA656A5" w:rsidR="004E6C95" w:rsidRPr="008470F7" w:rsidRDefault="004E6C95" w:rsidP="001F17AA">
      <w:pPr>
        <w:pStyle w:val="Kop1"/>
      </w:pPr>
      <w:bookmarkStart w:id="4" w:name="_Toc66360403"/>
      <w:proofErr w:type="spellStart"/>
      <w:r w:rsidRPr="008470F7">
        <w:lastRenderedPageBreak/>
        <w:t>Hfst</w:t>
      </w:r>
      <w:proofErr w:type="spellEnd"/>
      <w:r w:rsidRPr="008470F7">
        <w:t>.  4</w:t>
      </w:r>
      <w:r w:rsidRPr="008470F7">
        <w:tab/>
        <w:t>Begeleiding en ondersteuning</w:t>
      </w:r>
      <w:bookmarkEnd w:id="4"/>
    </w:p>
    <w:p w14:paraId="44FB30F8" w14:textId="77777777" w:rsidR="004E6C95" w:rsidRDefault="004E6C95" w:rsidP="004E6C95">
      <w:pPr>
        <w:pStyle w:val="Geenafstand"/>
      </w:pPr>
    </w:p>
    <w:p w14:paraId="334BEAC0" w14:textId="77777777" w:rsidR="004E6C95" w:rsidRDefault="004E6C95" w:rsidP="004E6C95">
      <w:pPr>
        <w:pStyle w:val="Default"/>
        <w:rPr>
          <w:sz w:val="22"/>
          <w:szCs w:val="22"/>
        </w:rPr>
      </w:pPr>
      <w:r>
        <w:rPr>
          <w:b/>
          <w:bCs/>
          <w:sz w:val="22"/>
          <w:szCs w:val="22"/>
        </w:rPr>
        <w:t xml:space="preserve">Begeleiding </w:t>
      </w:r>
    </w:p>
    <w:p w14:paraId="628862D9" w14:textId="06763F97" w:rsidR="004E6C95" w:rsidRDefault="004E6C95" w:rsidP="004E6C95">
      <w:pPr>
        <w:pStyle w:val="Default"/>
        <w:rPr>
          <w:sz w:val="22"/>
          <w:szCs w:val="22"/>
        </w:rPr>
      </w:pPr>
      <w:r w:rsidRPr="73693B27">
        <w:rPr>
          <w:sz w:val="22"/>
          <w:szCs w:val="22"/>
        </w:rPr>
        <w:t xml:space="preserve">SCH biedt aan dyslectische leerlingen in beginsel geen individuele begeleiding. Het organiseren van individuele begeleiding is de verantwoordelijkheid van ouders en wordt niet door de school geregeld. </w:t>
      </w:r>
    </w:p>
    <w:p w14:paraId="1DA6542E" w14:textId="77777777" w:rsidR="004E6C95" w:rsidRDefault="004E6C95" w:rsidP="004E6C95">
      <w:pPr>
        <w:pStyle w:val="Default"/>
        <w:rPr>
          <w:sz w:val="22"/>
          <w:szCs w:val="22"/>
        </w:rPr>
      </w:pPr>
    </w:p>
    <w:p w14:paraId="4BAD87BC" w14:textId="51CD1E82" w:rsidR="004E6C95" w:rsidRPr="00A628C0" w:rsidRDefault="004E6C95" w:rsidP="1E369E69">
      <w:pPr>
        <w:rPr>
          <w:b/>
          <w:bCs/>
        </w:rPr>
      </w:pPr>
      <w:r>
        <w:t xml:space="preserve">Locaties van Scholengroep Carmel Hengelo bieden ruimte aan een particuliere praktijk voor logopedie om, waar nodig en tijdens schooltijd, jongeren te helpen bij mankerende taalontwikkeling. Dat houdt in dat sommige leerlingen met specifieke hulpvragen </w:t>
      </w:r>
      <w:r w:rsidR="76C685E2">
        <w:t>-</w:t>
      </w:r>
      <w:r w:rsidR="5C7F8EDF">
        <w:t xml:space="preserve"> </w:t>
      </w:r>
      <w:r>
        <w:t>ook als gevolg van dyslexie</w:t>
      </w:r>
      <w:r w:rsidR="4C7BA8BD">
        <w:t xml:space="preserve"> </w:t>
      </w:r>
      <w:r w:rsidR="5EFCEACF">
        <w:t>-</w:t>
      </w:r>
      <w:r>
        <w:t xml:space="preserve"> tijdens de lesuren van de school extra begeleiding kunnen krijgen.</w:t>
      </w:r>
      <w:r>
        <w:br/>
      </w:r>
      <w:r>
        <w:br/>
      </w:r>
      <w:r w:rsidRPr="1E369E69">
        <w:rPr>
          <w:b/>
          <w:bCs/>
        </w:rPr>
        <w:t>Ondersteuning</w:t>
      </w:r>
      <w:r>
        <w:br/>
        <w:t>Dyslexie kan een grote invloed hebben op de zelfbeleving van de leerlingen. Dyslexie gaat dan ook vaak samen met een lage zelfwaardering, met depressief gedrag en met een negatief zelfbeeld</w:t>
      </w:r>
      <w:r w:rsidR="002E3972">
        <w:t>.</w:t>
      </w:r>
      <w:r>
        <w:t xml:space="preserve"> Deze psychosociale problematiek heeft veelal negatieve gevolgen</w:t>
      </w:r>
      <w:r w:rsidR="57F7BDB5">
        <w:t xml:space="preserve"> op</w:t>
      </w:r>
      <w:r>
        <w:t xml:space="preserve"> onder meer de leerresultaten.    </w:t>
      </w:r>
      <w:r>
        <w:br/>
      </w:r>
      <w:r>
        <w:br/>
        <w:t>Omgevingsfactoren – onder andere de mate waarin de school aan de behoeften van de leerling met dyslexie tegemoet komt – kunnen een positieve invloed hebben op de psychosociale ontwikkeling.</w:t>
      </w:r>
      <w:r>
        <w:br/>
      </w:r>
      <w:r>
        <w:br/>
      </w:r>
      <w:r w:rsidR="12C12641" w:rsidRPr="1E369E69">
        <w:rPr>
          <w:b/>
          <w:bCs/>
        </w:rPr>
        <w:t>Ondersteuning gedurende de les</w:t>
      </w:r>
      <w:r>
        <w:br/>
        <w:t>SCH vindt het dan ook belangrijk dat docenten de leerlingen met dyslexie leren omgaan met de negatieve gevolgen van dyslexie op leerresultaten</w:t>
      </w:r>
      <w:r w:rsidR="447B7104">
        <w:t xml:space="preserve">. Docenten </w:t>
      </w:r>
      <w:r>
        <w:t xml:space="preserve">kunnen de zelfwaardering versterken door ervoor te zorgen dat een leerling aan de drie psychologische basisbehoeften (E. </w:t>
      </w:r>
      <w:proofErr w:type="spellStart"/>
      <w:r>
        <w:t>Deci</w:t>
      </w:r>
      <w:proofErr w:type="spellEnd"/>
      <w:r>
        <w:t xml:space="preserve"> en R.M. Ryan / L. Stevens) kan voldoen</w:t>
      </w:r>
      <w:r w:rsidR="144DE92F">
        <w:t>,</w:t>
      </w:r>
      <w:r>
        <w:t xml:space="preserve"> te weten: </w:t>
      </w:r>
    </w:p>
    <w:p w14:paraId="7A9F48F6" w14:textId="77777777" w:rsidR="004E6C95" w:rsidRPr="00A628C0" w:rsidRDefault="004E6C95" w:rsidP="004E6C95">
      <w:r w:rsidRPr="00A628C0">
        <w:t xml:space="preserve">de behoefte aan relatie, </w:t>
      </w:r>
    </w:p>
    <w:p w14:paraId="6776D2D9" w14:textId="440E33E9" w:rsidR="004E6C95" w:rsidRPr="00A628C0" w:rsidRDefault="004E6C95" w:rsidP="73693B27">
      <w:pPr>
        <w:ind w:left="708"/>
        <w:rPr>
          <w:i/>
          <w:iCs/>
        </w:rPr>
      </w:pPr>
      <w:r w:rsidRPr="73693B27">
        <w:rPr>
          <w:i/>
          <w:iCs/>
        </w:rPr>
        <w:t xml:space="preserve">De behoefte aan relatie verwijst naar het onderhouden van contacten met medeleerlingen en docenten. Leerlingen willen ervaren dat zij erbij horen.  Daarvoor is een veilig leerklimaat nodig.  </w:t>
      </w:r>
    </w:p>
    <w:p w14:paraId="6689833C" w14:textId="77777777" w:rsidR="004E6C95" w:rsidRPr="00A628C0" w:rsidRDefault="004E6C95" w:rsidP="004E6C95">
      <w:r w:rsidRPr="00A628C0">
        <w:t>de behoefte aan competentie,</w:t>
      </w:r>
    </w:p>
    <w:p w14:paraId="0569D146" w14:textId="77777777" w:rsidR="004E6C95" w:rsidRPr="00A628C0" w:rsidRDefault="004E6C95" w:rsidP="004E6C95">
      <w:pPr>
        <w:ind w:left="708"/>
        <w:rPr>
          <w:i/>
        </w:rPr>
      </w:pPr>
      <w:r w:rsidRPr="00A628C0">
        <w:rPr>
          <w:i/>
        </w:rPr>
        <w:t>De behoefte aan competentie verwijst naar de behoefte aan succesvolle leerervaringen. Leerlingen weten dan dat zij iets kunnen. De leerervaringen van dyslectische leerlingen vormen echter vaak een bron van frustratie. Zij ervaren vaak dat zij iets niet kunnen. De negatieve gevoelens die deze faalervaringen oproepen, kunnen tot gevolg hebben dat een leerling zich schaamt en zich terugtrekt van klasgenoten of probleemgedrag gaat vertonen</w:t>
      </w:r>
    </w:p>
    <w:p w14:paraId="0023F170" w14:textId="77777777" w:rsidR="004E6C95" w:rsidRPr="00A628C0" w:rsidRDefault="004E6C95" w:rsidP="004E6C95">
      <w:r w:rsidRPr="00A628C0">
        <w:t xml:space="preserve">de behoefte aan autonomie </w:t>
      </w:r>
    </w:p>
    <w:p w14:paraId="6B5E200A" w14:textId="4B2B4EA2" w:rsidR="004E6C95" w:rsidRPr="00A628C0" w:rsidRDefault="004E6C95" w:rsidP="73693B27">
      <w:pPr>
        <w:ind w:left="708"/>
        <w:rPr>
          <w:i/>
          <w:iCs/>
        </w:rPr>
      </w:pPr>
      <w:r w:rsidRPr="73693B27">
        <w:rPr>
          <w:i/>
          <w:iCs/>
        </w:rPr>
        <w:t>De behoefte aan autonomie verwijst naar de zelfstandigheid van de leerling, naar het gevoel mee te tellen en onafhankelijk te zijn van anderen. Een leerling die zich autonoom voelt, ervaart dat hij zelf sturing kan en mag geven aan zijn ontwikkeling. Door hun handicap kunnen dyslectische leerlingen niet altijd autonoom handelen, zij zijn vaak afhankelijk van anderen. Zij moeten geholpen worden met het correct spellen en lezen, soms moeten teksten voorgelezen worden wanneer er geen ondersteunende technologie aanwezig is. Hun autonomie wordt aangetast en dat leidt bij veel van hen tot frustratie en demotivatie.</w:t>
      </w:r>
    </w:p>
    <w:p w14:paraId="3041E394" w14:textId="77777777" w:rsidR="004E6C95" w:rsidRDefault="004E6C95" w:rsidP="004E6C95">
      <w:pPr>
        <w:pStyle w:val="Geenafstand"/>
      </w:pPr>
    </w:p>
    <w:p w14:paraId="722B00AE" w14:textId="77777777" w:rsidR="004E6C95" w:rsidRDefault="004E6C95">
      <w:pPr>
        <w:rPr>
          <w:rFonts w:ascii="Calibri" w:hAnsi="Calibri"/>
        </w:rPr>
      </w:pPr>
      <w:r>
        <w:rPr>
          <w:rFonts w:ascii="Calibri" w:hAnsi="Calibri"/>
        </w:rPr>
        <w:br w:type="page"/>
      </w:r>
    </w:p>
    <w:p w14:paraId="0C0B926E" w14:textId="79A4A4D5" w:rsidR="004E6C95" w:rsidRDefault="004E6C95" w:rsidP="004E6C95">
      <w:pPr>
        <w:spacing w:after="0" w:line="240" w:lineRule="auto"/>
        <w:rPr>
          <w:rFonts w:ascii="Calibri" w:hAnsi="Calibri"/>
        </w:rPr>
      </w:pPr>
      <w:r w:rsidRPr="1E369E69">
        <w:rPr>
          <w:rFonts w:ascii="Calibri" w:hAnsi="Calibri"/>
        </w:rPr>
        <w:lastRenderedPageBreak/>
        <w:t xml:space="preserve">Scholen zijn verplicht </w:t>
      </w:r>
      <w:r w:rsidR="4AE20768" w:rsidRPr="1E369E69">
        <w:rPr>
          <w:rFonts w:ascii="Calibri" w:hAnsi="Calibri"/>
        </w:rPr>
        <w:t xml:space="preserve">noodzakelijke </w:t>
      </w:r>
      <w:r w:rsidRPr="1E369E69">
        <w:rPr>
          <w:rFonts w:ascii="Calibri" w:hAnsi="Calibri"/>
        </w:rPr>
        <w:t xml:space="preserve">aanpassingen </w:t>
      </w:r>
      <w:r w:rsidR="3F49C631" w:rsidRPr="1E369E69">
        <w:rPr>
          <w:rFonts w:ascii="Calibri" w:hAnsi="Calibri"/>
        </w:rPr>
        <w:t>voor leerlingen met een beperking</w:t>
      </w:r>
      <w:r w:rsidRPr="1E369E69">
        <w:rPr>
          <w:rFonts w:ascii="Calibri" w:hAnsi="Calibri"/>
        </w:rPr>
        <w:t xml:space="preserve"> te realiseren op basis van de wet “Gelijke behandeling op grond van handicap of ziekte”.  Aanpassingen als tijdverlenging, mondeling overhoren en gebruik van ondersteunende technologie hebben niet alleen een positief effect op de leerresultaten, maar bij een aantal leerlingen ook op de vaardigheid technisch lezen, schrijven, zelfwerkzaamheid, motivatie, competentiegevoel en concentratie.</w:t>
      </w:r>
    </w:p>
    <w:p w14:paraId="42C6D796" w14:textId="77777777" w:rsidR="004E6C95" w:rsidRDefault="004E6C95" w:rsidP="004E6C95">
      <w:pPr>
        <w:spacing w:after="0" w:line="240" w:lineRule="auto"/>
        <w:rPr>
          <w:rFonts w:ascii="Calibri" w:hAnsi="Calibri"/>
        </w:rPr>
      </w:pPr>
    </w:p>
    <w:p w14:paraId="146E52B2" w14:textId="45FC510D" w:rsidR="002E3972" w:rsidRDefault="004E6C95" w:rsidP="73693B27">
      <w:pPr>
        <w:pStyle w:val="Default"/>
        <w:rPr>
          <w:rFonts w:asciiTheme="minorHAnsi" w:hAnsiTheme="minorHAnsi" w:cstheme="minorBidi"/>
          <w:color w:val="auto"/>
          <w:sz w:val="22"/>
          <w:szCs w:val="22"/>
        </w:rPr>
      </w:pPr>
      <w:r w:rsidRPr="73693B27">
        <w:rPr>
          <w:rFonts w:asciiTheme="minorHAnsi" w:hAnsiTheme="minorHAnsi"/>
          <w:sz w:val="22"/>
          <w:szCs w:val="22"/>
        </w:rPr>
        <w:t>Naast het creëren van een klimaat waarin aan de drie basisbehoeften kan worden voldaan kunnen docenten pedagogisch-didactische ondersteuning bieden tijdens de les door aandacht te hebben voor en het geven van:</w:t>
      </w:r>
      <w:r>
        <w:tab/>
      </w:r>
      <w:r>
        <w:tab/>
      </w:r>
      <w:r w:rsidRPr="73693B27">
        <w:rPr>
          <w:rFonts w:asciiTheme="minorHAnsi" w:hAnsiTheme="minorHAnsi"/>
          <w:sz w:val="22"/>
          <w:szCs w:val="22"/>
        </w:rPr>
        <w:t xml:space="preserve">handvatten met betrekking tot </w:t>
      </w:r>
      <w:r w:rsidRPr="73693B27">
        <w:rPr>
          <w:rFonts w:asciiTheme="minorHAnsi" w:hAnsiTheme="minorHAnsi" w:cstheme="minorBidi"/>
          <w:color w:val="auto"/>
          <w:sz w:val="22"/>
          <w:szCs w:val="22"/>
        </w:rPr>
        <w:t xml:space="preserve">voorbereiding tijdens de les,   </w:t>
      </w:r>
    </w:p>
    <w:p w14:paraId="69404325" w14:textId="62A659AB" w:rsidR="004E6C95" w:rsidRPr="002E3972" w:rsidRDefault="004E6C95" w:rsidP="73693B27">
      <w:pPr>
        <w:pStyle w:val="Default"/>
        <w:ind w:left="2832" w:firstLine="3"/>
        <w:rPr>
          <w:rFonts w:asciiTheme="minorHAnsi" w:hAnsiTheme="minorHAnsi"/>
          <w:sz w:val="22"/>
          <w:szCs w:val="22"/>
        </w:rPr>
      </w:pPr>
      <w:r w:rsidRPr="73693B27">
        <w:rPr>
          <w:rFonts w:asciiTheme="minorHAnsi" w:hAnsiTheme="minorHAnsi" w:cstheme="minorBidi"/>
          <w:color w:val="auto"/>
          <w:sz w:val="22"/>
          <w:szCs w:val="22"/>
        </w:rPr>
        <w:t>introductie op de les, bespreken van huiswerk en toetsen,  presentatie leerstof, verwerking leerstof/uitvoering taken,   leerlingen laten samenwerken, reflectie op taakaanpak en strategieën, vragen stellen, feedback geven, huiswerk opgeven, toetsen, beoordeling van toetsen, toegankelijkheid van lesmaterialen.</w:t>
      </w:r>
    </w:p>
    <w:p w14:paraId="6E1831B3" w14:textId="77777777" w:rsidR="004E6C95" w:rsidRDefault="004E6C95" w:rsidP="004E6C95">
      <w:pPr>
        <w:pStyle w:val="Default"/>
        <w:rPr>
          <w:rFonts w:asciiTheme="minorHAnsi" w:hAnsiTheme="minorHAnsi" w:cstheme="minorBidi"/>
          <w:color w:val="auto"/>
          <w:sz w:val="22"/>
          <w:szCs w:val="22"/>
        </w:rPr>
      </w:pPr>
    </w:p>
    <w:p w14:paraId="7B221444" w14:textId="5129C679" w:rsidR="004E6C95" w:rsidRDefault="1180F355" w:rsidP="004E6C95">
      <w:pPr>
        <w:pStyle w:val="Geenafstand"/>
        <w:rPr>
          <w:lang w:eastAsia="nl-NL"/>
        </w:rPr>
      </w:pPr>
      <w:r w:rsidRPr="1E369E69">
        <w:rPr>
          <w:b/>
          <w:bCs/>
          <w:lang w:eastAsia="nl-NL"/>
        </w:rPr>
        <w:t xml:space="preserve">Ondersteuning gericht op de individu </w:t>
      </w:r>
      <w:r w:rsidR="004E6C95">
        <w:br/>
      </w:r>
      <w:r w:rsidR="004E6C95" w:rsidRPr="1E369E69">
        <w:rPr>
          <w:lang w:eastAsia="nl-NL"/>
        </w:rPr>
        <w:t>SCH is vooral gericht op het zelfredzaam maken van de leerling. De leerling moet voor zichzelf leren opkomen, zich bewust zijn waarmee hij het meest geholpen is</w:t>
      </w:r>
      <w:r w:rsidR="2A347A01" w:rsidRPr="1E369E69">
        <w:rPr>
          <w:lang w:eastAsia="nl-NL"/>
        </w:rPr>
        <w:t xml:space="preserve"> en</w:t>
      </w:r>
      <w:r w:rsidR="004E6C95" w:rsidRPr="1E369E69">
        <w:rPr>
          <w:lang w:eastAsia="nl-NL"/>
        </w:rPr>
        <w:t xml:space="preserve"> weten welke strategieën, hulpmiddelen en ondersteuning </w:t>
      </w:r>
      <w:r w:rsidR="49E0D382" w:rsidRPr="1E369E69">
        <w:rPr>
          <w:lang w:eastAsia="nl-NL"/>
        </w:rPr>
        <w:t xml:space="preserve">hij nodig heeft. </w:t>
      </w:r>
    </w:p>
    <w:p w14:paraId="54E11D2A" w14:textId="77777777" w:rsidR="004E6C95" w:rsidRPr="00AB4A65" w:rsidRDefault="004E6C95" w:rsidP="004E6C95">
      <w:pPr>
        <w:pStyle w:val="Default"/>
        <w:rPr>
          <w:rFonts w:asciiTheme="minorHAnsi" w:hAnsiTheme="minorHAnsi"/>
          <w:sz w:val="22"/>
          <w:szCs w:val="22"/>
        </w:rPr>
      </w:pPr>
    </w:p>
    <w:p w14:paraId="3C1A01A1" w14:textId="4E8FF148" w:rsidR="004E6C95" w:rsidRDefault="004E6C95" w:rsidP="1E369E69">
      <w:pPr>
        <w:pStyle w:val="Geenafstand"/>
        <w:rPr>
          <w:rFonts w:cs="Calibri"/>
        </w:rPr>
      </w:pPr>
      <w:r>
        <w:t>De leerling kan altijd een afspraak maken met de mentor en vervolgens, in overleg met zijn mentor,  met de dyslexie</w:t>
      </w:r>
      <w:r w:rsidR="30AB5CAE">
        <w:t>-</w:t>
      </w:r>
      <w:r>
        <w:t>coördinator. Deze kan tips geven over onder andere de omgang met huiswerk en toetsen en kan doorsturen naar instituten voor testafname of eventuele extra begeleiding.</w:t>
      </w:r>
      <w:r>
        <w:br/>
      </w:r>
      <w:r>
        <w:br/>
      </w:r>
      <w:r w:rsidR="1CC03F03" w:rsidRPr="1E369E69">
        <w:rPr>
          <w:rFonts w:cs="Calibri"/>
        </w:rPr>
        <w:t>De leerling met dyslexie moet zich ervan bewust worden gemaakt dat hij om hetzelfde resultaat te bereiken meer inspanning zal moeten verrichten dan een niet-dyslectische leerling. Dat is niet eerlijk, maar het is wel een feit. Zeker het leren van de moderne vreemde talen vraagt veel inspanning en voortdurende herhaling. SGC verwacht van de leerling een positieve instelling en een goede werkhouding.</w:t>
      </w:r>
    </w:p>
    <w:p w14:paraId="6A288EF8" w14:textId="77777777" w:rsidR="1E369E69" w:rsidRDefault="1E369E69" w:rsidP="1E369E69">
      <w:pPr>
        <w:pStyle w:val="Geenafstand"/>
        <w:rPr>
          <w:rFonts w:cs="Calibri"/>
        </w:rPr>
      </w:pPr>
    </w:p>
    <w:p w14:paraId="4E5E4F6F" w14:textId="77777777" w:rsidR="1CC03F03" w:rsidRDefault="1CC03F03" w:rsidP="1E369E69">
      <w:pPr>
        <w:pStyle w:val="Geenafstand"/>
        <w:rPr>
          <w:rFonts w:cs="Calibri"/>
          <w:b/>
          <w:bCs/>
        </w:rPr>
      </w:pPr>
      <w:r w:rsidRPr="1E369E69">
        <w:rPr>
          <w:rFonts w:cs="Calibri"/>
          <w:b/>
          <w:bCs/>
        </w:rPr>
        <w:t>Een dyslexiepas is een vangnet en geen hangmat (vrij naar: F. Bolkestein - VVD)</w:t>
      </w:r>
    </w:p>
    <w:p w14:paraId="622BCBDE" w14:textId="72DDB9F3" w:rsidR="004E6C95" w:rsidRPr="007E0D68" w:rsidRDefault="004E6C95" w:rsidP="1E369E69">
      <w:pPr>
        <w:pStyle w:val="Geenafstand"/>
        <w:rPr>
          <w:rFonts w:cs="Calibri"/>
        </w:rPr>
      </w:pPr>
      <w:r>
        <w:br/>
      </w:r>
      <w:r w:rsidR="16DDDAC1" w:rsidRPr="1E369E69">
        <w:rPr>
          <w:rFonts w:cs="Calibri"/>
          <w:b/>
          <w:bCs/>
        </w:rPr>
        <w:t>Ondersteuning door ouders/verzorgers</w:t>
      </w:r>
    </w:p>
    <w:p w14:paraId="36513FAD" w14:textId="220BC4F1" w:rsidR="004E6C95" w:rsidRPr="007E0D68" w:rsidRDefault="16DDDAC1" w:rsidP="1E369E69">
      <w:pPr>
        <w:pStyle w:val="Geenafstand"/>
        <w:rPr>
          <w:rFonts w:cs="Calibri"/>
        </w:rPr>
      </w:pPr>
      <w:r w:rsidRPr="5FA52294">
        <w:rPr>
          <w:rFonts w:cs="Calibri"/>
        </w:rPr>
        <w:t>De ouders/verzorgers worden door de mentor op de hoogte gesteld van het feit dat de betreffende leerlingen van een dyslexiepas gebruik gaat maken.  De ouders/verzorgers ondersteunen de leerling bij zijn extra inspanningen voor o.a. de talen. Als de faciliteiten die de school biedt niet voldoende zijn voor een leerling, zorgen de ouders voor begeleiding buiten school.</w:t>
      </w:r>
    </w:p>
    <w:p w14:paraId="31126E5D" w14:textId="173E3B37" w:rsidR="004E6C95" w:rsidRPr="007E0D68" w:rsidRDefault="004E6C95" w:rsidP="004E6C95">
      <w:pPr>
        <w:spacing w:after="0" w:line="240" w:lineRule="auto"/>
        <w:rPr>
          <w:rFonts w:ascii="Calibri" w:hAnsi="Calibri"/>
        </w:rPr>
      </w:pPr>
    </w:p>
    <w:p w14:paraId="2DE403A5" w14:textId="303AA055" w:rsidR="004E6C95" w:rsidRDefault="65CA9E33" w:rsidP="1E369E69">
      <w:pPr>
        <w:pStyle w:val="Default"/>
        <w:rPr>
          <w:b/>
          <w:bCs/>
          <w:sz w:val="22"/>
          <w:szCs w:val="22"/>
        </w:rPr>
      </w:pPr>
      <w:r w:rsidRPr="1E369E69">
        <w:rPr>
          <w:b/>
          <w:bCs/>
          <w:sz w:val="22"/>
          <w:szCs w:val="22"/>
        </w:rPr>
        <w:t xml:space="preserve">Ondersteuning middels faciliteiten </w:t>
      </w:r>
    </w:p>
    <w:p w14:paraId="30946B1F" w14:textId="6057F0BF" w:rsidR="004E6C95" w:rsidRDefault="004E6C95" w:rsidP="004E6C95">
      <w:pPr>
        <w:pStyle w:val="Default"/>
        <w:rPr>
          <w:sz w:val="22"/>
          <w:szCs w:val="22"/>
        </w:rPr>
      </w:pPr>
      <w:r w:rsidRPr="73693B27">
        <w:rPr>
          <w:sz w:val="22"/>
          <w:szCs w:val="22"/>
        </w:rPr>
        <w:t xml:space="preserve">De leerling is verplicht de dyslexiepas te allen tijde bij zich te hebben en bij toetsen te kunnen overleggen. </w:t>
      </w:r>
    </w:p>
    <w:p w14:paraId="62431CDC" w14:textId="77777777" w:rsidR="004E6C95" w:rsidRPr="00374DE2" w:rsidRDefault="004E6C95" w:rsidP="004E6C95">
      <w:pPr>
        <w:pStyle w:val="Geenafstand"/>
        <w:rPr>
          <w:rFonts w:cs="Calibri"/>
          <w:sz w:val="19"/>
          <w:szCs w:val="19"/>
        </w:rPr>
      </w:pPr>
    </w:p>
    <w:p w14:paraId="5D2316B8" w14:textId="7DDF791A" w:rsidR="004E6C95" w:rsidRPr="00374DE2" w:rsidRDefault="004E6C95" w:rsidP="004E6C95">
      <w:pPr>
        <w:pStyle w:val="Geenafstand"/>
        <w:rPr>
          <w:rFonts w:cs="Calibri"/>
          <w:sz w:val="14"/>
          <w:szCs w:val="14"/>
        </w:rPr>
      </w:pPr>
      <w:r w:rsidRPr="00374DE2">
        <w:rPr>
          <w:rFonts w:cs="Calibri"/>
        </w:rPr>
        <w:t>In</w:t>
      </w:r>
      <w:r w:rsidRPr="00374DE2">
        <w:rPr>
          <w:rFonts w:cs="Calibri"/>
          <w:spacing w:val="-1"/>
        </w:rPr>
        <w:t xml:space="preserve"> </w:t>
      </w:r>
      <w:r w:rsidRPr="00374DE2">
        <w:rPr>
          <w:rFonts w:cs="Calibri"/>
        </w:rPr>
        <w:t>na</w:t>
      </w:r>
      <w:r w:rsidRPr="00374DE2">
        <w:rPr>
          <w:rFonts w:cs="Calibri"/>
          <w:spacing w:val="1"/>
        </w:rPr>
        <w:t>vo</w:t>
      </w:r>
      <w:r w:rsidRPr="00374DE2">
        <w:rPr>
          <w:rFonts w:cs="Calibri"/>
        </w:rPr>
        <w:t>l</w:t>
      </w:r>
      <w:r w:rsidRPr="00374DE2">
        <w:rPr>
          <w:rFonts w:cs="Calibri"/>
          <w:spacing w:val="-1"/>
        </w:rPr>
        <w:t>g</w:t>
      </w:r>
      <w:r w:rsidRPr="00374DE2">
        <w:rPr>
          <w:rFonts w:cs="Calibri"/>
        </w:rPr>
        <w:t>i</w:t>
      </w:r>
      <w:r w:rsidRPr="00374DE2">
        <w:rPr>
          <w:rFonts w:cs="Calibri"/>
          <w:spacing w:val="-1"/>
        </w:rPr>
        <w:t>n</w:t>
      </w:r>
      <w:r w:rsidRPr="00374DE2">
        <w:rPr>
          <w:rFonts w:cs="Calibri"/>
        </w:rPr>
        <w:t>g</w:t>
      </w:r>
      <w:r w:rsidRPr="00374DE2">
        <w:rPr>
          <w:rFonts w:cs="Calibri"/>
          <w:spacing w:val="-3"/>
        </w:rPr>
        <w:t xml:space="preserve"> </w:t>
      </w:r>
      <w:r w:rsidRPr="00374DE2">
        <w:rPr>
          <w:rFonts w:cs="Calibri"/>
          <w:spacing w:val="1"/>
        </w:rPr>
        <w:t>v</w:t>
      </w:r>
      <w:r w:rsidRPr="00374DE2">
        <w:rPr>
          <w:rFonts w:cs="Calibri"/>
        </w:rPr>
        <w:t>an</w:t>
      </w:r>
      <w:r w:rsidRPr="00374DE2">
        <w:rPr>
          <w:rFonts w:cs="Calibri"/>
          <w:spacing w:val="-1"/>
        </w:rPr>
        <w:t xml:space="preserve"> </w:t>
      </w:r>
      <w:r w:rsidRPr="00374DE2">
        <w:rPr>
          <w:rFonts w:cs="Calibri"/>
        </w:rPr>
        <w:t>de</w:t>
      </w:r>
      <w:r w:rsidRPr="00374DE2">
        <w:rPr>
          <w:rFonts w:cs="Calibri"/>
          <w:spacing w:val="-2"/>
        </w:rPr>
        <w:t xml:space="preserve"> </w:t>
      </w:r>
      <w:r w:rsidRPr="00374DE2">
        <w:rPr>
          <w:rFonts w:cs="Calibri"/>
        </w:rPr>
        <w:t>t</w:t>
      </w:r>
      <w:r w:rsidRPr="00374DE2">
        <w:rPr>
          <w:rFonts w:cs="Calibri"/>
          <w:spacing w:val="-1"/>
        </w:rPr>
        <w:t>o</w:t>
      </w:r>
      <w:r w:rsidRPr="00374DE2">
        <w:rPr>
          <w:rFonts w:cs="Calibri"/>
        </w:rPr>
        <w:t>eges</w:t>
      </w:r>
      <w:r w:rsidRPr="00374DE2">
        <w:rPr>
          <w:rFonts w:cs="Calibri"/>
          <w:spacing w:val="-2"/>
        </w:rPr>
        <w:t>t</w:t>
      </w:r>
      <w:r w:rsidRPr="00374DE2">
        <w:rPr>
          <w:rFonts w:cs="Calibri"/>
        </w:rPr>
        <w:t>a</w:t>
      </w:r>
      <w:r w:rsidRPr="00374DE2">
        <w:rPr>
          <w:rFonts w:cs="Calibri"/>
          <w:spacing w:val="-1"/>
        </w:rPr>
        <w:t>n</w:t>
      </w:r>
      <w:r w:rsidRPr="00374DE2">
        <w:rPr>
          <w:rFonts w:cs="Calibri"/>
        </w:rPr>
        <w:t>e</w:t>
      </w:r>
      <w:r w:rsidRPr="00374DE2">
        <w:rPr>
          <w:rFonts w:cs="Calibri"/>
          <w:spacing w:val="1"/>
        </w:rPr>
        <w:t xml:space="preserve"> </w:t>
      </w:r>
      <w:r w:rsidRPr="00374DE2">
        <w:rPr>
          <w:rFonts w:cs="Calibri"/>
          <w:spacing w:val="-1"/>
        </w:rPr>
        <w:t>hu</w:t>
      </w:r>
      <w:r w:rsidRPr="00374DE2">
        <w:rPr>
          <w:rFonts w:cs="Calibri"/>
        </w:rPr>
        <w:t>l</w:t>
      </w:r>
      <w:r w:rsidRPr="00374DE2">
        <w:rPr>
          <w:rFonts w:cs="Calibri"/>
          <w:spacing w:val="-1"/>
        </w:rPr>
        <w:t>p</w:t>
      </w:r>
      <w:r w:rsidRPr="00374DE2">
        <w:rPr>
          <w:rFonts w:cs="Calibri"/>
          <w:spacing w:val="1"/>
        </w:rPr>
        <w:t>m</w:t>
      </w:r>
      <w:r w:rsidRPr="00374DE2">
        <w:rPr>
          <w:rFonts w:cs="Calibri"/>
        </w:rPr>
        <w:t>i</w:t>
      </w:r>
      <w:r w:rsidRPr="00374DE2">
        <w:rPr>
          <w:rFonts w:cs="Calibri"/>
          <w:spacing w:val="-1"/>
        </w:rPr>
        <w:t>dd</w:t>
      </w:r>
      <w:r w:rsidRPr="00374DE2">
        <w:rPr>
          <w:rFonts w:cs="Calibri"/>
        </w:rPr>
        <w:t>elen b</w:t>
      </w:r>
      <w:r w:rsidRPr="00374DE2">
        <w:rPr>
          <w:rFonts w:cs="Calibri"/>
          <w:spacing w:val="-1"/>
        </w:rPr>
        <w:t>i</w:t>
      </w:r>
      <w:r w:rsidRPr="00374DE2">
        <w:rPr>
          <w:rFonts w:cs="Calibri"/>
        </w:rPr>
        <w:t xml:space="preserve">j </w:t>
      </w:r>
      <w:r w:rsidRPr="00374DE2">
        <w:rPr>
          <w:rFonts w:cs="Calibri"/>
          <w:spacing w:val="-3"/>
        </w:rPr>
        <w:t>h</w:t>
      </w:r>
      <w:r w:rsidRPr="00374DE2">
        <w:rPr>
          <w:rFonts w:cs="Calibri"/>
        </w:rPr>
        <w:t>et</w:t>
      </w:r>
      <w:r w:rsidRPr="00374DE2">
        <w:rPr>
          <w:rFonts w:cs="Calibri"/>
          <w:spacing w:val="-1"/>
        </w:rPr>
        <w:t xml:space="preserve"> </w:t>
      </w:r>
      <w:r w:rsidRPr="00374DE2">
        <w:rPr>
          <w:rFonts w:cs="Calibri"/>
        </w:rPr>
        <w:t>e</w:t>
      </w:r>
      <w:r w:rsidRPr="00374DE2">
        <w:rPr>
          <w:rFonts w:cs="Calibri"/>
          <w:spacing w:val="-2"/>
        </w:rPr>
        <w:t>i</w:t>
      </w:r>
      <w:r w:rsidRPr="00374DE2">
        <w:rPr>
          <w:rFonts w:cs="Calibri"/>
          <w:spacing w:val="-1"/>
        </w:rPr>
        <w:t>nd</w:t>
      </w:r>
      <w:r w:rsidRPr="00374DE2">
        <w:rPr>
          <w:rFonts w:cs="Calibri"/>
        </w:rPr>
        <w:t>e</w:t>
      </w:r>
      <w:r w:rsidRPr="00374DE2">
        <w:rPr>
          <w:rFonts w:cs="Calibri"/>
          <w:spacing w:val="1"/>
        </w:rPr>
        <w:t>x</w:t>
      </w:r>
      <w:r w:rsidRPr="00374DE2">
        <w:rPr>
          <w:rFonts w:cs="Calibri"/>
        </w:rPr>
        <w:t>a</w:t>
      </w:r>
      <w:r w:rsidRPr="00374DE2">
        <w:rPr>
          <w:rFonts w:cs="Calibri"/>
          <w:spacing w:val="-1"/>
        </w:rPr>
        <w:t>m</w:t>
      </w:r>
      <w:r w:rsidRPr="00374DE2">
        <w:rPr>
          <w:rFonts w:cs="Calibri"/>
        </w:rPr>
        <w:t>en hee</w:t>
      </w:r>
      <w:r w:rsidRPr="00374DE2">
        <w:rPr>
          <w:rFonts w:cs="Calibri"/>
          <w:spacing w:val="-2"/>
        </w:rPr>
        <w:t>f</w:t>
      </w:r>
      <w:r w:rsidRPr="00374DE2">
        <w:rPr>
          <w:rFonts w:cs="Calibri"/>
        </w:rPr>
        <w:t>t</w:t>
      </w:r>
      <w:r w:rsidRPr="00374DE2">
        <w:rPr>
          <w:rFonts w:cs="Calibri"/>
          <w:spacing w:val="1"/>
        </w:rPr>
        <w:t xml:space="preserve"> </w:t>
      </w:r>
      <w:r w:rsidRPr="00374DE2">
        <w:rPr>
          <w:rFonts w:cs="Calibri"/>
          <w:spacing w:val="-1"/>
        </w:rPr>
        <w:t>d</w:t>
      </w:r>
      <w:r w:rsidRPr="00374DE2">
        <w:rPr>
          <w:rFonts w:cs="Calibri"/>
        </w:rPr>
        <w:t>e</w:t>
      </w:r>
      <w:r w:rsidRPr="00374DE2">
        <w:rPr>
          <w:rFonts w:cs="Calibri"/>
          <w:spacing w:val="1"/>
        </w:rPr>
        <w:t xml:space="preserve"> </w:t>
      </w:r>
      <w:r w:rsidRPr="00374DE2">
        <w:rPr>
          <w:rFonts w:cs="Calibri"/>
          <w:spacing w:val="-3"/>
        </w:rPr>
        <w:t>l</w:t>
      </w:r>
      <w:r w:rsidRPr="00374DE2">
        <w:rPr>
          <w:rFonts w:cs="Calibri"/>
        </w:rPr>
        <w:t>e</w:t>
      </w:r>
      <w:r w:rsidRPr="00374DE2">
        <w:rPr>
          <w:rFonts w:cs="Calibri"/>
          <w:spacing w:val="1"/>
        </w:rPr>
        <w:t>e</w:t>
      </w:r>
      <w:r w:rsidRPr="00374DE2">
        <w:rPr>
          <w:rFonts w:cs="Calibri"/>
        </w:rPr>
        <w:t>rl</w:t>
      </w:r>
      <w:r w:rsidRPr="00374DE2">
        <w:rPr>
          <w:rFonts w:cs="Calibri"/>
          <w:spacing w:val="-1"/>
        </w:rPr>
        <w:t>i</w:t>
      </w:r>
      <w:r w:rsidRPr="00374DE2">
        <w:rPr>
          <w:rFonts w:cs="Calibri"/>
          <w:spacing w:val="-3"/>
        </w:rPr>
        <w:t>n</w:t>
      </w:r>
      <w:r w:rsidRPr="00374DE2">
        <w:rPr>
          <w:rFonts w:cs="Calibri"/>
        </w:rPr>
        <w:t>g</w:t>
      </w:r>
      <w:r w:rsidRPr="00374DE2">
        <w:rPr>
          <w:rFonts w:cs="Calibri"/>
          <w:spacing w:val="-1"/>
        </w:rPr>
        <w:t xml:space="preserve"> </w:t>
      </w:r>
      <w:r w:rsidRPr="00374DE2">
        <w:rPr>
          <w:rFonts w:cs="Calibri"/>
        </w:rPr>
        <w:t>in ie</w:t>
      </w:r>
      <w:r w:rsidRPr="00374DE2">
        <w:rPr>
          <w:rFonts w:cs="Calibri"/>
          <w:spacing w:val="-1"/>
        </w:rPr>
        <w:t>d</w:t>
      </w:r>
      <w:r w:rsidRPr="00374DE2">
        <w:rPr>
          <w:rFonts w:cs="Calibri"/>
        </w:rPr>
        <w:t>er</w:t>
      </w:r>
      <w:r w:rsidRPr="00374DE2">
        <w:rPr>
          <w:rFonts w:cs="Calibri"/>
          <w:spacing w:val="1"/>
        </w:rPr>
        <w:t xml:space="preserve"> </w:t>
      </w:r>
      <w:r w:rsidRPr="00374DE2">
        <w:rPr>
          <w:rFonts w:cs="Calibri"/>
          <w:spacing w:val="-1"/>
        </w:rPr>
        <w:t>g</w:t>
      </w:r>
      <w:r w:rsidRPr="00374DE2">
        <w:rPr>
          <w:rFonts w:cs="Calibri"/>
          <w:spacing w:val="-2"/>
        </w:rPr>
        <w:t>e</w:t>
      </w:r>
      <w:r w:rsidRPr="00374DE2">
        <w:rPr>
          <w:rFonts w:cs="Calibri"/>
          <w:spacing w:val="1"/>
        </w:rPr>
        <w:t>v</w:t>
      </w:r>
      <w:r w:rsidRPr="00374DE2">
        <w:rPr>
          <w:rFonts w:cs="Calibri"/>
        </w:rPr>
        <w:t>al recht</w:t>
      </w:r>
      <w:r w:rsidRPr="00374DE2">
        <w:rPr>
          <w:rFonts w:cs="Calibri"/>
          <w:spacing w:val="-1"/>
        </w:rPr>
        <w:t xml:space="preserve"> </w:t>
      </w:r>
      <w:r w:rsidRPr="00374DE2">
        <w:rPr>
          <w:rFonts w:cs="Calibri"/>
          <w:spacing w:val="1"/>
        </w:rPr>
        <w:t>o</w:t>
      </w:r>
      <w:r w:rsidRPr="00374DE2">
        <w:rPr>
          <w:rFonts w:cs="Calibri"/>
        </w:rPr>
        <w:t>p</w:t>
      </w:r>
      <w:r w:rsidRPr="00374DE2">
        <w:rPr>
          <w:rFonts w:cs="Calibri"/>
          <w:spacing w:val="-1"/>
        </w:rPr>
        <w:t xml:space="preserve"> e</w:t>
      </w:r>
      <w:r w:rsidRPr="00374DE2">
        <w:rPr>
          <w:rFonts w:cs="Calibri"/>
        </w:rPr>
        <w:t>x</w:t>
      </w:r>
      <w:r w:rsidRPr="00374DE2">
        <w:rPr>
          <w:rFonts w:cs="Calibri"/>
          <w:spacing w:val="1"/>
        </w:rPr>
        <w:t>t</w:t>
      </w:r>
      <w:r w:rsidRPr="00374DE2">
        <w:rPr>
          <w:rFonts w:cs="Calibri"/>
        </w:rPr>
        <w:t>ra</w:t>
      </w:r>
      <w:r w:rsidRPr="00374DE2">
        <w:rPr>
          <w:rFonts w:cs="Calibri"/>
          <w:spacing w:val="-2"/>
        </w:rPr>
        <w:t xml:space="preserve"> </w:t>
      </w:r>
      <w:r w:rsidRPr="00374DE2">
        <w:rPr>
          <w:rFonts w:cs="Calibri"/>
        </w:rPr>
        <w:t xml:space="preserve">tijd </w:t>
      </w:r>
      <w:r w:rsidRPr="00374DE2">
        <w:rPr>
          <w:rFonts w:cs="Calibri"/>
          <w:spacing w:val="-1"/>
        </w:rPr>
        <w:t>vo</w:t>
      </w:r>
      <w:r w:rsidRPr="00374DE2">
        <w:rPr>
          <w:rFonts w:cs="Calibri"/>
          <w:spacing w:val="1"/>
        </w:rPr>
        <w:t>o</w:t>
      </w:r>
      <w:r w:rsidRPr="00374DE2">
        <w:rPr>
          <w:rFonts w:cs="Calibri"/>
        </w:rPr>
        <w:t xml:space="preserve">r </w:t>
      </w:r>
      <w:r w:rsidRPr="00374DE2">
        <w:rPr>
          <w:rFonts w:cs="Calibri"/>
          <w:spacing w:val="-2"/>
        </w:rPr>
        <w:t>e</w:t>
      </w:r>
      <w:r w:rsidRPr="00374DE2">
        <w:rPr>
          <w:rFonts w:cs="Calibri"/>
        </w:rPr>
        <w:t xml:space="preserve">en toets. </w:t>
      </w:r>
      <w:r w:rsidRPr="00374DE2">
        <w:rPr>
          <w:rFonts w:cs="Calibri"/>
          <w:spacing w:val="1"/>
        </w:rPr>
        <w:t>A</w:t>
      </w:r>
      <w:r w:rsidRPr="00374DE2">
        <w:rPr>
          <w:rFonts w:cs="Calibri"/>
          <w:spacing w:val="-1"/>
        </w:rPr>
        <w:t>nd</w:t>
      </w:r>
      <w:r w:rsidRPr="00374DE2">
        <w:rPr>
          <w:rFonts w:cs="Calibri"/>
        </w:rPr>
        <w:t>e</w:t>
      </w:r>
      <w:r w:rsidRPr="00374DE2">
        <w:rPr>
          <w:rFonts w:cs="Calibri"/>
          <w:spacing w:val="-2"/>
        </w:rPr>
        <w:t>r</w:t>
      </w:r>
      <w:r w:rsidRPr="00374DE2">
        <w:rPr>
          <w:rFonts w:cs="Calibri"/>
        </w:rPr>
        <w:t>e</w:t>
      </w:r>
      <w:r w:rsidRPr="00374DE2">
        <w:rPr>
          <w:rFonts w:cs="Calibri"/>
          <w:spacing w:val="1"/>
        </w:rPr>
        <w:t xml:space="preserve"> </w:t>
      </w:r>
      <w:r w:rsidRPr="00374DE2">
        <w:rPr>
          <w:rFonts w:cs="Calibri"/>
        </w:rPr>
        <w:t>aa</w:t>
      </w:r>
      <w:r w:rsidRPr="00374DE2">
        <w:rPr>
          <w:rFonts w:cs="Calibri"/>
          <w:spacing w:val="-1"/>
        </w:rPr>
        <w:t>np</w:t>
      </w:r>
      <w:r w:rsidRPr="00374DE2">
        <w:rPr>
          <w:rFonts w:cs="Calibri"/>
        </w:rPr>
        <w:t>assi</w:t>
      </w:r>
      <w:r w:rsidRPr="00374DE2">
        <w:rPr>
          <w:rFonts w:cs="Calibri"/>
          <w:spacing w:val="-1"/>
        </w:rPr>
        <w:t>ng</w:t>
      </w:r>
      <w:r w:rsidRPr="00374DE2">
        <w:rPr>
          <w:rFonts w:cs="Calibri"/>
          <w:spacing w:val="-2"/>
        </w:rPr>
        <w:t>e</w:t>
      </w:r>
      <w:r w:rsidRPr="00374DE2">
        <w:rPr>
          <w:rFonts w:cs="Calibri"/>
        </w:rPr>
        <w:t>n</w:t>
      </w:r>
      <w:r w:rsidRPr="00374DE2">
        <w:rPr>
          <w:rFonts w:cs="Calibri"/>
          <w:spacing w:val="-1"/>
        </w:rPr>
        <w:t xml:space="preserve"> </w:t>
      </w:r>
      <w:r w:rsidRPr="00374DE2">
        <w:rPr>
          <w:rFonts w:cs="Calibri"/>
          <w:spacing w:val="1"/>
        </w:rPr>
        <w:t>k</w:t>
      </w:r>
      <w:r w:rsidRPr="00374DE2">
        <w:rPr>
          <w:rFonts w:cs="Calibri"/>
          <w:spacing w:val="-1"/>
        </w:rPr>
        <w:t>unn</w:t>
      </w:r>
      <w:r w:rsidRPr="00374DE2">
        <w:rPr>
          <w:rFonts w:cs="Calibri"/>
        </w:rPr>
        <w:t xml:space="preserve">en </w:t>
      </w:r>
      <w:r w:rsidRPr="00374DE2">
        <w:rPr>
          <w:rFonts w:cs="Calibri"/>
          <w:spacing w:val="1"/>
        </w:rPr>
        <w:t>o</w:t>
      </w:r>
      <w:r w:rsidRPr="00374DE2">
        <w:rPr>
          <w:rFonts w:cs="Calibri"/>
        </w:rPr>
        <w:t xml:space="preserve">.a. </w:t>
      </w:r>
      <w:r w:rsidRPr="00374DE2">
        <w:rPr>
          <w:rFonts w:cs="Calibri"/>
          <w:spacing w:val="-1"/>
        </w:rPr>
        <w:t>b</w:t>
      </w:r>
      <w:r w:rsidRPr="00374DE2">
        <w:rPr>
          <w:rFonts w:cs="Calibri"/>
          <w:spacing w:val="-2"/>
        </w:rPr>
        <w:t>e</w:t>
      </w:r>
      <w:r w:rsidRPr="00374DE2">
        <w:rPr>
          <w:rFonts w:cs="Calibri"/>
        </w:rPr>
        <w:t xml:space="preserve">staan </w:t>
      </w:r>
      <w:r w:rsidRPr="00374DE2">
        <w:rPr>
          <w:rFonts w:cs="Calibri"/>
          <w:spacing w:val="-1"/>
        </w:rPr>
        <w:t>u</w:t>
      </w:r>
      <w:r w:rsidRPr="00374DE2">
        <w:rPr>
          <w:rFonts w:cs="Calibri"/>
        </w:rPr>
        <w:t>i</w:t>
      </w:r>
      <w:r w:rsidRPr="00374DE2">
        <w:rPr>
          <w:rFonts w:cs="Calibri"/>
          <w:spacing w:val="-2"/>
        </w:rPr>
        <w:t>t</w:t>
      </w:r>
      <w:r w:rsidRPr="00374DE2">
        <w:rPr>
          <w:rFonts w:cs="Calibri"/>
        </w:rPr>
        <w:t>:</w:t>
      </w:r>
      <w:r w:rsidRPr="00374DE2">
        <w:rPr>
          <w:rFonts w:cs="Calibri"/>
          <w:spacing w:val="-1"/>
        </w:rPr>
        <w:t xml:space="preserve"> m</w:t>
      </w:r>
      <w:r w:rsidRPr="00374DE2">
        <w:rPr>
          <w:rFonts w:cs="Calibri"/>
        </w:rPr>
        <w:t>ax</w:t>
      </w:r>
      <w:r w:rsidRPr="00374DE2">
        <w:rPr>
          <w:rFonts w:cs="Calibri"/>
          <w:spacing w:val="-3"/>
        </w:rPr>
        <w:t>i</w:t>
      </w:r>
      <w:r w:rsidRPr="00374DE2">
        <w:rPr>
          <w:rFonts w:cs="Calibri"/>
          <w:spacing w:val="1"/>
        </w:rPr>
        <w:t>m</w:t>
      </w:r>
      <w:r w:rsidRPr="00374DE2">
        <w:rPr>
          <w:rFonts w:cs="Calibri"/>
        </w:rPr>
        <w:t>eri</w:t>
      </w:r>
      <w:r w:rsidRPr="00374DE2">
        <w:rPr>
          <w:rFonts w:cs="Calibri"/>
          <w:spacing w:val="-1"/>
        </w:rPr>
        <w:t>n</w:t>
      </w:r>
      <w:r w:rsidRPr="00374DE2">
        <w:rPr>
          <w:rFonts w:cs="Calibri"/>
        </w:rPr>
        <w:t>g</w:t>
      </w:r>
      <w:r w:rsidRPr="00374DE2">
        <w:rPr>
          <w:rFonts w:cs="Calibri"/>
          <w:spacing w:val="-1"/>
        </w:rPr>
        <w:t xml:space="preserve"> v</w:t>
      </w:r>
      <w:r w:rsidRPr="00374DE2">
        <w:rPr>
          <w:rFonts w:cs="Calibri"/>
        </w:rPr>
        <w:t>an</w:t>
      </w:r>
      <w:r w:rsidRPr="00374DE2">
        <w:rPr>
          <w:rFonts w:cs="Calibri"/>
          <w:spacing w:val="-3"/>
        </w:rPr>
        <w:t xml:space="preserve"> </w:t>
      </w:r>
      <w:r w:rsidRPr="00374DE2">
        <w:rPr>
          <w:rFonts w:cs="Calibri"/>
          <w:spacing w:val="-1"/>
        </w:rPr>
        <w:t>d</w:t>
      </w:r>
      <w:r w:rsidRPr="00374DE2">
        <w:rPr>
          <w:rFonts w:cs="Calibri"/>
        </w:rPr>
        <w:t>e</w:t>
      </w:r>
      <w:r w:rsidRPr="00374DE2">
        <w:rPr>
          <w:rFonts w:cs="Calibri"/>
          <w:spacing w:val="1"/>
        </w:rPr>
        <w:t xml:space="preserve"> </w:t>
      </w:r>
      <w:r w:rsidRPr="00374DE2">
        <w:rPr>
          <w:rFonts w:cs="Calibri"/>
        </w:rPr>
        <w:t>aftr</w:t>
      </w:r>
      <w:r w:rsidRPr="00374DE2">
        <w:rPr>
          <w:rFonts w:cs="Calibri"/>
          <w:spacing w:val="-2"/>
        </w:rPr>
        <w:t>e</w:t>
      </w:r>
      <w:r w:rsidRPr="00374DE2">
        <w:rPr>
          <w:rFonts w:cs="Calibri"/>
        </w:rPr>
        <w:t>k</w:t>
      </w:r>
      <w:r w:rsidRPr="00374DE2">
        <w:rPr>
          <w:rFonts w:cs="Calibri"/>
          <w:spacing w:val="-1"/>
        </w:rPr>
        <w:t xml:space="preserve"> </w:t>
      </w:r>
      <w:r w:rsidRPr="00374DE2">
        <w:rPr>
          <w:rFonts w:cs="Calibri"/>
          <w:spacing w:val="1"/>
        </w:rPr>
        <w:t>v</w:t>
      </w:r>
      <w:r w:rsidRPr="00374DE2">
        <w:rPr>
          <w:rFonts w:cs="Calibri"/>
          <w:spacing w:val="-1"/>
        </w:rPr>
        <w:t>o</w:t>
      </w:r>
      <w:r w:rsidRPr="00374DE2">
        <w:rPr>
          <w:rFonts w:cs="Calibri"/>
          <w:spacing w:val="1"/>
        </w:rPr>
        <w:t>o</w:t>
      </w:r>
      <w:r w:rsidRPr="00374DE2">
        <w:rPr>
          <w:rFonts w:cs="Calibri"/>
        </w:rPr>
        <w:t>r s</w:t>
      </w:r>
      <w:r w:rsidRPr="00374DE2">
        <w:rPr>
          <w:rFonts w:cs="Calibri"/>
          <w:spacing w:val="-3"/>
        </w:rPr>
        <w:t>p</w:t>
      </w:r>
      <w:r w:rsidRPr="00374DE2">
        <w:rPr>
          <w:rFonts w:cs="Calibri"/>
        </w:rPr>
        <w:t>elli</w:t>
      </w:r>
      <w:r w:rsidRPr="00374DE2">
        <w:rPr>
          <w:rFonts w:cs="Calibri"/>
          <w:spacing w:val="-1"/>
        </w:rPr>
        <w:t>ng</w:t>
      </w:r>
      <w:r>
        <w:rPr>
          <w:rFonts w:cs="Calibri"/>
          <w:spacing w:val="-1"/>
        </w:rPr>
        <w:t xml:space="preserve"> / </w:t>
      </w:r>
      <w:r w:rsidR="5D04F810">
        <w:rPr>
          <w:rFonts w:cs="Calibri"/>
          <w:spacing w:val="-1"/>
        </w:rPr>
        <w:t xml:space="preserve">andere </w:t>
      </w:r>
      <w:r>
        <w:rPr>
          <w:rFonts w:cs="Calibri"/>
          <w:spacing w:val="-1"/>
        </w:rPr>
        <w:t>beoordeling spellingfouten</w:t>
      </w:r>
      <w:r w:rsidR="0028030F">
        <w:rPr>
          <w:rFonts w:cs="Calibri"/>
        </w:rPr>
        <w:t xml:space="preserve"> en </w:t>
      </w:r>
      <w:r w:rsidRPr="00374DE2">
        <w:rPr>
          <w:rFonts w:cs="Calibri"/>
        </w:rPr>
        <w:t>ge</w:t>
      </w:r>
      <w:r w:rsidRPr="00374DE2">
        <w:rPr>
          <w:rFonts w:cs="Calibri"/>
          <w:spacing w:val="-3"/>
        </w:rPr>
        <w:t>b</w:t>
      </w:r>
      <w:r w:rsidRPr="00374DE2">
        <w:rPr>
          <w:rFonts w:cs="Calibri"/>
        </w:rPr>
        <w:t>r</w:t>
      </w:r>
      <w:r w:rsidRPr="00374DE2">
        <w:rPr>
          <w:rFonts w:cs="Calibri"/>
          <w:spacing w:val="-1"/>
        </w:rPr>
        <w:t>u</w:t>
      </w:r>
      <w:r w:rsidRPr="00374DE2">
        <w:rPr>
          <w:rFonts w:cs="Calibri"/>
        </w:rPr>
        <w:t xml:space="preserve">ik </w:t>
      </w:r>
      <w:r w:rsidRPr="00374DE2">
        <w:rPr>
          <w:rFonts w:cs="Calibri"/>
          <w:spacing w:val="1"/>
        </w:rPr>
        <w:t>v</w:t>
      </w:r>
      <w:r w:rsidRPr="00374DE2">
        <w:rPr>
          <w:rFonts w:cs="Calibri"/>
        </w:rPr>
        <w:t>an</w:t>
      </w:r>
      <w:r w:rsidRPr="00374DE2">
        <w:rPr>
          <w:rFonts w:cs="Calibri"/>
          <w:spacing w:val="-1"/>
        </w:rPr>
        <w:t xml:space="preserve"> </w:t>
      </w:r>
      <w:r w:rsidRPr="00374DE2">
        <w:rPr>
          <w:rFonts w:cs="Calibri"/>
          <w:spacing w:val="-2"/>
        </w:rPr>
        <w:t>c</w:t>
      </w:r>
      <w:r w:rsidRPr="00374DE2">
        <w:rPr>
          <w:rFonts w:cs="Calibri"/>
          <w:spacing w:val="-1"/>
        </w:rPr>
        <w:t>o</w:t>
      </w:r>
      <w:r w:rsidRPr="00374DE2">
        <w:rPr>
          <w:rFonts w:cs="Calibri"/>
          <w:spacing w:val="1"/>
        </w:rPr>
        <w:t>m</w:t>
      </w:r>
      <w:r w:rsidRPr="00374DE2">
        <w:rPr>
          <w:rFonts w:cs="Calibri"/>
          <w:spacing w:val="-1"/>
        </w:rPr>
        <w:t>pu</w:t>
      </w:r>
      <w:r w:rsidRPr="00374DE2">
        <w:rPr>
          <w:rFonts w:cs="Calibri"/>
          <w:spacing w:val="3"/>
        </w:rPr>
        <w:t>t</w:t>
      </w:r>
      <w:r w:rsidRPr="00374DE2">
        <w:rPr>
          <w:rFonts w:cs="Calibri"/>
        </w:rPr>
        <w:t>er</w:t>
      </w:r>
      <w:r w:rsidRPr="00374DE2">
        <w:rPr>
          <w:rFonts w:cs="Calibri"/>
          <w:spacing w:val="-2"/>
        </w:rPr>
        <w:t xml:space="preserve"> </w:t>
      </w:r>
      <w:r w:rsidRPr="00374DE2">
        <w:rPr>
          <w:rFonts w:cs="Calibri"/>
          <w:spacing w:val="1"/>
        </w:rPr>
        <w:t>o</w:t>
      </w:r>
      <w:r w:rsidRPr="00374DE2">
        <w:rPr>
          <w:rFonts w:cs="Calibri"/>
        </w:rPr>
        <w:t>f</w:t>
      </w:r>
      <w:r w:rsidRPr="00374DE2">
        <w:rPr>
          <w:rFonts w:cs="Calibri"/>
          <w:spacing w:val="-3"/>
        </w:rPr>
        <w:t xml:space="preserve"> </w:t>
      </w:r>
      <w:r w:rsidRPr="00374DE2">
        <w:rPr>
          <w:rFonts w:cs="Calibri"/>
        </w:rPr>
        <w:t>la</w:t>
      </w:r>
      <w:r w:rsidRPr="00374DE2">
        <w:rPr>
          <w:rFonts w:cs="Calibri"/>
          <w:spacing w:val="-1"/>
        </w:rPr>
        <w:t>p</w:t>
      </w:r>
      <w:r w:rsidRPr="00374DE2">
        <w:rPr>
          <w:rFonts w:cs="Calibri"/>
        </w:rPr>
        <w:t>t</w:t>
      </w:r>
      <w:r w:rsidRPr="00374DE2">
        <w:rPr>
          <w:rFonts w:cs="Calibri"/>
          <w:spacing w:val="-1"/>
        </w:rPr>
        <w:t>op</w:t>
      </w:r>
      <w:r>
        <w:rPr>
          <w:rFonts w:cs="Calibri"/>
          <w:spacing w:val="-1"/>
        </w:rPr>
        <w:t xml:space="preserve"> (door ouders aangeschafte)</w:t>
      </w:r>
      <w:r w:rsidRPr="00374DE2">
        <w:rPr>
          <w:rFonts w:cs="Calibri"/>
        </w:rPr>
        <w:t>.</w:t>
      </w:r>
      <w:r w:rsidR="4C81D471" w:rsidRPr="00374DE2">
        <w:rPr>
          <w:rFonts w:cs="Calibri"/>
        </w:rPr>
        <w:t xml:space="preserve"> Voor meer informatie over de beoordeling van toetsen</w:t>
      </w:r>
      <w:r w:rsidR="2E0D7AE3" w:rsidRPr="00374DE2">
        <w:rPr>
          <w:rFonts w:cs="Calibri"/>
        </w:rPr>
        <w:t xml:space="preserve"> en opdrachten</w:t>
      </w:r>
      <w:r w:rsidR="4C81D471" w:rsidRPr="00374DE2">
        <w:rPr>
          <w:rFonts w:cs="Calibri"/>
        </w:rPr>
        <w:t xml:space="preserve"> wordt verwezen naar hoofdstuk 5. </w:t>
      </w:r>
    </w:p>
    <w:p w14:paraId="2895F310" w14:textId="34D9237F" w:rsidR="004E6C95" w:rsidRPr="00374DE2" w:rsidRDefault="004E6C95" w:rsidP="5FA52294">
      <w:pPr>
        <w:pStyle w:val="mnone"/>
        <w:rPr>
          <w:rFonts w:asciiTheme="minorHAnsi" w:hAnsiTheme="minorHAnsi"/>
          <w:sz w:val="22"/>
          <w:szCs w:val="22"/>
        </w:rPr>
      </w:pPr>
      <w:r w:rsidRPr="5FA52294">
        <w:rPr>
          <w:rFonts w:asciiTheme="minorHAnsi" w:eastAsiaTheme="minorEastAsia" w:hAnsiTheme="minorHAnsi" w:cstheme="minorBidi"/>
          <w:spacing w:val="1"/>
          <w:sz w:val="22"/>
          <w:szCs w:val="22"/>
        </w:rPr>
        <w:t>D</w:t>
      </w:r>
      <w:r w:rsidRPr="5FA52294">
        <w:rPr>
          <w:rFonts w:asciiTheme="minorHAnsi" w:eastAsiaTheme="minorEastAsia" w:hAnsiTheme="minorHAnsi" w:cstheme="minorBidi"/>
          <w:sz w:val="22"/>
          <w:szCs w:val="22"/>
        </w:rPr>
        <w:t>e</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pacing w:val="-3"/>
          <w:sz w:val="22"/>
          <w:szCs w:val="22"/>
        </w:rPr>
        <w:t>l</w:t>
      </w:r>
      <w:r w:rsidRPr="5FA52294">
        <w:rPr>
          <w:rFonts w:asciiTheme="minorHAnsi" w:eastAsiaTheme="minorEastAsia" w:hAnsiTheme="minorHAnsi" w:cstheme="minorBidi"/>
          <w:sz w:val="22"/>
          <w:szCs w:val="22"/>
        </w:rPr>
        <w:t>e</w:t>
      </w:r>
      <w:r w:rsidRPr="5FA52294">
        <w:rPr>
          <w:rFonts w:asciiTheme="minorHAnsi" w:eastAsiaTheme="minorEastAsia" w:hAnsiTheme="minorHAnsi" w:cstheme="minorBidi"/>
          <w:spacing w:val="1"/>
          <w:sz w:val="22"/>
          <w:szCs w:val="22"/>
        </w:rPr>
        <w:t>e</w:t>
      </w:r>
      <w:r w:rsidRPr="5FA52294">
        <w:rPr>
          <w:rFonts w:asciiTheme="minorHAnsi" w:eastAsiaTheme="minorEastAsia" w:hAnsiTheme="minorHAnsi" w:cstheme="minorBidi"/>
          <w:sz w:val="22"/>
          <w:szCs w:val="22"/>
        </w:rPr>
        <w:t>rl</w:t>
      </w:r>
      <w:r w:rsidRPr="5FA52294">
        <w:rPr>
          <w:rFonts w:asciiTheme="minorHAnsi" w:eastAsiaTheme="minorEastAsia" w:hAnsiTheme="minorHAnsi" w:cstheme="minorBidi"/>
          <w:spacing w:val="-1"/>
          <w:sz w:val="22"/>
          <w:szCs w:val="22"/>
        </w:rPr>
        <w:t>in</w:t>
      </w:r>
      <w:r w:rsidRPr="5FA52294">
        <w:rPr>
          <w:rFonts w:asciiTheme="minorHAnsi" w:eastAsiaTheme="minorEastAsia" w:hAnsiTheme="minorHAnsi" w:cstheme="minorBidi"/>
          <w:sz w:val="22"/>
          <w:szCs w:val="22"/>
        </w:rPr>
        <w:t>g</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pacing w:val="1"/>
          <w:sz w:val="22"/>
          <w:szCs w:val="22"/>
        </w:rPr>
        <w:t>k</w:t>
      </w:r>
      <w:r w:rsidRPr="5FA52294">
        <w:rPr>
          <w:rFonts w:asciiTheme="minorHAnsi" w:eastAsiaTheme="minorEastAsia" w:hAnsiTheme="minorHAnsi" w:cstheme="minorBidi"/>
          <w:sz w:val="22"/>
          <w:szCs w:val="22"/>
        </w:rPr>
        <w:t>an</w:t>
      </w:r>
      <w:r w:rsidRPr="5FA52294">
        <w:rPr>
          <w:rFonts w:asciiTheme="minorHAnsi" w:eastAsiaTheme="minorEastAsia" w:hAnsiTheme="minorHAnsi" w:cstheme="minorBidi"/>
          <w:spacing w:val="-3"/>
          <w:sz w:val="22"/>
          <w:szCs w:val="22"/>
        </w:rPr>
        <w:t xml:space="preserve"> </w:t>
      </w:r>
      <w:r w:rsidRPr="5FA52294">
        <w:rPr>
          <w:rFonts w:asciiTheme="minorHAnsi" w:eastAsiaTheme="minorEastAsia" w:hAnsiTheme="minorHAnsi" w:cstheme="minorBidi"/>
          <w:spacing w:val="1"/>
          <w:sz w:val="22"/>
          <w:szCs w:val="22"/>
        </w:rPr>
        <w:t>v</w:t>
      </w:r>
      <w:r w:rsidRPr="5FA52294">
        <w:rPr>
          <w:rFonts w:asciiTheme="minorHAnsi" w:eastAsiaTheme="minorEastAsia" w:hAnsiTheme="minorHAnsi" w:cstheme="minorBidi"/>
          <w:sz w:val="22"/>
          <w:szCs w:val="22"/>
        </w:rPr>
        <w:t>an</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z w:val="22"/>
          <w:szCs w:val="22"/>
        </w:rPr>
        <w:t>de</w:t>
      </w:r>
      <w:r w:rsidRPr="5FA52294">
        <w:rPr>
          <w:rFonts w:asciiTheme="minorHAnsi" w:eastAsiaTheme="minorEastAsia" w:hAnsiTheme="minorHAnsi" w:cstheme="minorBidi"/>
          <w:spacing w:val="-2"/>
          <w:sz w:val="22"/>
          <w:szCs w:val="22"/>
        </w:rPr>
        <w:t xml:space="preserve"> </w:t>
      </w:r>
      <w:r w:rsidRPr="5FA52294">
        <w:rPr>
          <w:rFonts w:asciiTheme="minorHAnsi" w:eastAsiaTheme="minorEastAsia" w:hAnsiTheme="minorHAnsi" w:cstheme="minorBidi"/>
          <w:sz w:val="22"/>
          <w:szCs w:val="22"/>
        </w:rPr>
        <w:t>facil</w:t>
      </w:r>
      <w:r w:rsidRPr="5FA52294">
        <w:rPr>
          <w:rFonts w:asciiTheme="minorHAnsi" w:eastAsiaTheme="minorEastAsia" w:hAnsiTheme="minorHAnsi" w:cstheme="minorBidi"/>
          <w:spacing w:val="-3"/>
          <w:sz w:val="22"/>
          <w:szCs w:val="22"/>
        </w:rPr>
        <w:t>i</w:t>
      </w:r>
      <w:r w:rsidRPr="5FA52294">
        <w:rPr>
          <w:rFonts w:asciiTheme="minorHAnsi" w:eastAsiaTheme="minorEastAsia" w:hAnsiTheme="minorHAnsi" w:cstheme="minorBidi"/>
          <w:sz w:val="22"/>
          <w:szCs w:val="22"/>
        </w:rPr>
        <w:t>t</w:t>
      </w:r>
      <w:r w:rsidRPr="5FA52294">
        <w:rPr>
          <w:rFonts w:asciiTheme="minorHAnsi" w:eastAsiaTheme="minorEastAsia" w:hAnsiTheme="minorHAnsi" w:cstheme="minorBidi"/>
          <w:spacing w:val="1"/>
          <w:sz w:val="22"/>
          <w:szCs w:val="22"/>
        </w:rPr>
        <w:t>e</w:t>
      </w:r>
      <w:r w:rsidRPr="5FA52294">
        <w:rPr>
          <w:rFonts w:asciiTheme="minorHAnsi" w:eastAsiaTheme="minorEastAsia" w:hAnsiTheme="minorHAnsi" w:cstheme="minorBidi"/>
          <w:sz w:val="22"/>
          <w:szCs w:val="22"/>
        </w:rPr>
        <w:t xml:space="preserve">iten </w:t>
      </w:r>
      <w:r w:rsidRPr="5FA52294">
        <w:rPr>
          <w:rFonts w:asciiTheme="minorHAnsi" w:eastAsiaTheme="minorEastAsia" w:hAnsiTheme="minorHAnsi" w:cstheme="minorBidi"/>
          <w:spacing w:val="-3"/>
          <w:sz w:val="22"/>
          <w:szCs w:val="22"/>
        </w:rPr>
        <w:t>g</w:t>
      </w:r>
      <w:r w:rsidRPr="5FA52294">
        <w:rPr>
          <w:rFonts w:asciiTheme="minorHAnsi" w:eastAsiaTheme="minorEastAsia" w:hAnsiTheme="minorHAnsi" w:cstheme="minorBidi"/>
          <w:sz w:val="22"/>
          <w:szCs w:val="22"/>
        </w:rPr>
        <w:t>ebr</w:t>
      </w:r>
      <w:r w:rsidRPr="5FA52294">
        <w:rPr>
          <w:rFonts w:asciiTheme="minorHAnsi" w:eastAsiaTheme="minorEastAsia" w:hAnsiTheme="minorHAnsi" w:cstheme="minorBidi"/>
          <w:spacing w:val="-1"/>
          <w:sz w:val="22"/>
          <w:szCs w:val="22"/>
        </w:rPr>
        <w:t>u</w:t>
      </w:r>
      <w:r w:rsidRPr="5FA52294">
        <w:rPr>
          <w:rFonts w:asciiTheme="minorHAnsi" w:eastAsiaTheme="minorEastAsia" w:hAnsiTheme="minorHAnsi" w:cstheme="minorBidi"/>
          <w:sz w:val="22"/>
          <w:szCs w:val="22"/>
        </w:rPr>
        <w:t>ik</w:t>
      </w:r>
      <w:r w:rsidRPr="5FA52294">
        <w:rPr>
          <w:rFonts w:asciiTheme="minorHAnsi" w:eastAsiaTheme="minorEastAsia" w:hAnsiTheme="minorHAnsi" w:cstheme="minorBidi"/>
          <w:spacing w:val="-1"/>
          <w:sz w:val="22"/>
          <w:szCs w:val="22"/>
        </w:rPr>
        <w:t>m</w:t>
      </w:r>
      <w:r w:rsidRPr="5FA52294">
        <w:rPr>
          <w:rFonts w:asciiTheme="minorHAnsi" w:eastAsiaTheme="minorEastAsia" w:hAnsiTheme="minorHAnsi" w:cstheme="minorBidi"/>
          <w:sz w:val="22"/>
          <w:szCs w:val="22"/>
        </w:rPr>
        <w:t>aken a</w:t>
      </w:r>
      <w:r w:rsidRPr="5FA52294">
        <w:rPr>
          <w:rFonts w:asciiTheme="minorHAnsi" w:eastAsiaTheme="minorEastAsia" w:hAnsiTheme="minorHAnsi" w:cstheme="minorBidi"/>
          <w:spacing w:val="-3"/>
          <w:sz w:val="22"/>
          <w:szCs w:val="22"/>
        </w:rPr>
        <w:t>l</w:t>
      </w:r>
      <w:r w:rsidRPr="5FA52294">
        <w:rPr>
          <w:rFonts w:asciiTheme="minorHAnsi" w:eastAsiaTheme="minorEastAsia" w:hAnsiTheme="minorHAnsi" w:cstheme="minorBidi"/>
          <w:sz w:val="22"/>
          <w:szCs w:val="22"/>
        </w:rPr>
        <w:t>s de</w:t>
      </w:r>
      <w:r w:rsidRPr="5FA52294">
        <w:rPr>
          <w:rFonts w:asciiTheme="minorHAnsi" w:eastAsiaTheme="minorEastAsia" w:hAnsiTheme="minorHAnsi" w:cstheme="minorBidi"/>
          <w:spacing w:val="-2"/>
          <w:sz w:val="22"/>
          <w:szCs w:val="22"/>
        </w:rPr>
        <w:t xml:space="preserve"> </w:t>
      </w:r>
      <w:r w:rsidRPr="5FA52294">
        <w:rPr>
          <w:rFonts w:asciiTheme="minorHAnsi" w:eastAsiaTheme="minorEastAsia" w:hAnsiTheme="minorHAnsi" w:cstheme="minorBidi"/>
          <w:sz w:val="22"/>
          <w:szCs w:val="22"/>
        </w:rPr>
        <w:t>gege</w:t>
      </w:r>
      <w:r w:rsidRPr="5FA52294">
        <w:rPr>
          <w:rFonts w:asciiTheme="minorHAnsi" w:eastAsiaTheme="minorEastAsia" w:hAnsiTheme="minorHAnsi" w:cstheme="minorBidi"/>
          <w:spacing w:val="-1"/>
          <w:sz w:val="22"/>
          <w:szCs w:val="22"/>
        </w:rPr>
        <w:t>v</w:t>
      </w:r>
      <w:r w:rsidRPr="5FA52294">
        <w:rPr>
          <w:rFonts w:asciiTheme="minorHAnsi" w:eastAsiaTheme="minorEastAsia" w:hAnsiTheme="minorHAnsi" w:cstheme="minorBidi"/>
          <w:sz w:val="22"/>
          <w:szCs w:val="22"/>
        </w:rPr>
        <w:t>ens</w:t>
      </w:r>
      <w:r w:rsidRPr="5FA52294">
        <w:rPr>
          <w:rFonts w:asciiTheme="minorHAnsi" w:eastAsiaTheme="minorEastAsia" w:hAnsiTheme="minorHAnsi" w:cstheme="minorBidi"/>
          <w:spacing w:val="-2"/>
          <w:sz w:val="22"/>
          <w:szCs w:val="22"/>
        </w:rPr>
        <w:t xml:space="preserve"> met betrekking tot de diagnose dyslexie </w:t>
      </w:r>
      <w:r w:rsidRPr="5FA52294">
        <w:rPr>
          <w:rFonts w:asciiTheme="minorHAnsi" w:eastAsiaTheme="minorEastAsia" w:hAnsiTheme="minorHAnsi" w:cstheme="minorBidi"/>
          <w:spacing w:val="1"/>
          <w:sz w:val="22"/>
          <w:szCs w:val="22"/>
        </w:rPr>
        <w:t>m</w:t>
      </w:r>
      <w:r w:rsidRPr="5FA52294">
        <w:rPr>
          <w:rFonts w:asciiTheme="minorHAnsi" w:eastAsiaTheme="minorEastAsia" w:hAnsiTheme="minorHAnsi" w:cstheme="minorBidi"/>
          <w:sz w:val="22"/>
          <w:szCs w:val="22"/>
        </w:rPr>
        <w:t>i</w:t>
      </w:r>
      <w:r w:rsidRPr="5FA52294">
        <w:rPr>
          <w:rFonts w:asciiTheme="minorHAnsi" w:eastAsiaTheme="minorEastAsia" w:hAnsiTheme="minorHAnsi" w:cstheme="minorBidi"/>
          <w:spacing w:val="-1"/>
          <w:sz w:val="22"/>
          <w:szCs w:val="22"/>
        </w:rPr>
        <w:t>n</w:t>
      </w:r>
      <w:r w:rsidRPr="5FA52294">
        <w:rPr>
          <w:rFonts w:asciiTheme="minorHAnsi" w:eastAsiaTheme="minorEastAsia" w:hAnsiTheme="minorHAnsi" w:cstheme="minorBidi"/>
          <w:sz w:val="22"/>
          <w:szCs w:val="22"/>
        </w:rPr>
        <w:t>i</w:t>
      </w:r>
      <w:r w:rsidRPr="5FA52294">
        <w:rPr>
          <w:rFonts w:asciiTheme="minorHAnsi" w:eastAsiaTheme="minorEastAsia" w:hAnsiTheme="minorHAnsi" w:cstheme="minorBidi"/>
          <w:spacing w:val="1"/>
          <w:sz w:val="22"/>
          <w:szCs w:val="22"/>
        </w:rPr>
        <w:t>m</w:t>
      </w:r>
      <w:r w:rsidRPr="5FA52294">
        <w:rPr>
          <w:rFonts w:asciiTheme="minorHAnsi" w:eastAsiaTheme="minorEastAsia" w:hAnsiTheme="minorHAnsi" w:cstheme="minorBidi"/>
          <w:sz w:val="22"/>
          <w:szCs w:val="22"/>
        </w:rPr>
        <w:t>aal</w:t>
      </w:r>
      <w:r w:rsidRPr="5FA52294">
        <w:rPr>
          <w:rFonts w:asciiTheme="minorHAnsi" w:eastAsiaTheme="minorEastAsia" w:hAnsiTheme="minorHAnsi" w:cstheme="minorBidi"/>
          <w:spacing w:val="-3"/>
          <w:sz w:val="22"/>
          <w:szCs w:val="22"/>
        </w:rPr>
        <w:t xml:space="preserve"> </w:t>
      </w:r>
      <w:r w:rsidRPr="5FA52294">
        <w:rPr>
          <w:rFonts w:asciiTheme="minorHAnsi" w:eastAsiaTheme="minorEastAsia" w:hAnsiTheme="minorHAnsi" w:cstheme="minorBidi"/>
          <w:spacing w:val="1"/>
          <w:sz w:val="22"/>
          <w:szCs w:val="22"/>
        </w:rPr>
        <w:t>t</w:t>
      </w:r>
      <w:r w:rsidRPr="5FA52294">
        <w:rPr>
          <w:rFonts w:asciiTheme="minorHAnsi" w:eastAsiaTheme="minorEastAsia" w:hAnsiTheme="minorHAnsi" w:cstheme="minorBidi"/>
          <w:spacing w:val="-2"/>
          <w:sz w:val="22"/>
          <w:szCs w:val="22"/>
        </w:rPr>
        <w:t>w</w:t>
      </w:r>
      <w:r w:rsidRPr="5FA52294">
        <w:rPr>
          <w:rFonts w:asciiTheme="minorHAnsi" w:eastAsiaTheme="minorEastAsia" w:hAnsiTheme="minorHAnsi" w:cstheme="minorBidi"/>
          <w:sz w:val="22"/>
          <w:szCs w:val="22"/>
        </w:rPr>
        <w:t>ee</w:t>
      </w:r>
      <w:r w:rsidRPr="5FA52294">
        <w:rPr>
          <w:rFonts w:asciiTheme="minorHAnsi" w:eastAsiaTheme="minorEastAsia" w:hAnsiTheme="minorHAnsi" w:cstheme="minorBidi"/>
          <w:spacing w:val="-3"/>
          <w:sz w:val="22"/>
          <w:szCs w:val="22"/>
        </w:rPr>
        <w:t xml:space="preserve"> </w:t>
      </w:r>
      <w:r w:rsidRPr="5FA52294">
        <w:rPr>
          <w:rFonts w:asciiTheme="minorHAnsi" w:eastAsiaTheme="minorEastAsia" w:hAnsiTheme="minorHAnsi" w:cstheme="minorBidi"/>
          <w:sz w:val="22"/>
          <w:szCs w:val="22"/>
        </w:rPr>
        <w:t>w</w:t>
      </w:r>
      <w:r w:rsidRPr="5FA52294">
        <w:rPr>
          <w:rFonts w:asciiTheme="minorHAnsi" w:eastAsiaTheme="minorEastAsia" w:hAnsiTheme="minorHAnsi" w:cstheme="minorBidi"/>
          <w:spacing w:val="1"/>
          <w:sz w:val="22"/>
          <w:szCs w:val="22"/>
        </w:rPr>
        <w:t>e</w:t>
      </w:r>
      <w:r w:rsidRPr="5FA52294">
        <w:rPr>
          <w:rFonts w:asciiTheme="minorHAnsi" w:eastAsiaTheme="minorEastAsia" w:hAnsiTheme="minorHAnsi" w:cstheme="minorBidi"/>
          <w:spacing w:val="-2"/>
          <w:sz w:val="22"/>
          <w:szCs w:val="22"/>
        </w:rPr>
        <w:t>k</w:t>
      </w:r>
      <w:r w:rsidRPr="5FA52294">
        <w:rPr>
          <w:rFonts w:asciiTheme="minorHAnsi" w:eastAsiaTheme="minorEastAsia" w:hAnsiTheme="minorHAnsi" w:cstheme="minorBidi"/>
          <w:sz w:val="22"/>
          <w:szCs w:val="22"/>
        </w:rPr>
        <w:t xml:space="preserve">en </w:t>
      </w:r>
      <w:r w:rsidRPr="5FA52294">
        <w:rPr>
          <w:rFonts w:asciiTheme="minorHAnsi" w:eastAsiaTheme="minorEastAsia" w:hAnsiTheme="minorHAnsi" w:cstheme="minorBidi"/>
          <w:spacing w:val="-1"/>
          <w:sz w:val="22"/>
          <w:szCs w:val="22"/>
        </w:rPr>
        <w:t>vo</w:t>
      </w:r>
      <w:r w:rsidRPr="5FA52294">
        <w:rPr>
          <w:rFonts w:asciiTheme="minorHAnsi" w:eastAsiaTheme="minorEastAsia" w:hAnsiTheme="minorHAnsi" w:cstheme="minorBidi"/>
          <w:spacing w:val="1"/>
          <w:sz w:val="22"/>
          <w:szCs w:val="22"/>
        </w:rPr>
        <w:t>o</w:t>
      </w:r>
      <w:r w:rsidRPr="5FA52294">
        <w:rPr>
          <w:rFonts w:asciiTheme="minorHAnsi" w:eastAsiaTheme="minorEastAsia" w:hAnsiTheme="minorHAnsi" w:cstheme="minorBidi"/>
          <w:sz w:val="22"/>
          <w:szCs w:val="22"/>
        </w:rPr>
        <w:t>r</w:t>
      </w:r>
      <w:r w:rsidRPr="5FA52294">
        <w:rPr>
          <w:rFonts w:asciiTheme="minorHAnsi" w:eastAsiaTheme="minorEastAsia" w:hAnsiTheme="minorHAnsi" w:cstheme="minorBidi"/>
          <w:spacing w:val="-1"/>
          <w:sz w:val="22"/>
          <w:szCs w:val="22"/>
        </w:rPr>
        <w:t>d</w:t>
      </w:r>
      <w:r w:rsidRPr="5FA52294">
        <w:rPr>
          <w:rFonts w:asciiTheme="minorHAnsi" w:eastAsiaTheme="minorEastAsia" w:hAnsiTheme="minorHAnsi" w:cstheme="minorBidi"/>
          <w:sz w:val="22"/>
          <w:szCs w:val="22"/>
        </w:rPr>
        <w:t>at</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z w:val="22"/>
          <w:szCs w:val="22"/>
        </w:rPr>
        <w:t>e</w:t>
      </w:r>
      <w:r w:rsidRPr="5FA52294">
        <w:rPr>
          <w:rFonts w:asciiTheme="minorHAnsi" w:eastAsiaTheme="minorEastAsia" w:hAnsiTheme="minorHAnsi" w:cstheme="minorBidi"/>
          <w:spacing w:val="1"/>
          <w:sz w:val="22"/>
          <w:szCs w:val="22"/>
        </w:rPr>
        <w:t>e</w:t>
      </w:r>
      <w:r w:rsidRPr="5FA52294">
        <w:rPr>
          <w:rFonts w:asciiTheme="minorHAnsi" w:eastAsiaTheme="minorEastAsia" w:hAnsiTheme="minorHAnsi" w:cstheme="minorBidi"/>
          <w:sz w:val="22"/>
          <w:szCs w:val="22"/>
        </w:rPr>
        <w:t>n t</w:t>
      </w:r>
      <w:r w:rsidRPr="5FA52294">
        <w:rPr>
          <w:rFonts w:asciiTheme="minorHAnsi" w:eastAsiaTheme="minorEastAsia" w:hAnsiTheme="minorHAnsi" w:cstheme="minorBidi"/>
          <w:spacing w:val="1"/>
          <w:sz w:val="22"/>
          <w:szCs w:val="22"/>
        </w:rPr>
        <w:t>o</w:t>
      </w:r>
      <w:r w:rsidRPr="5FA52294">
        <w:rPr>
          <w:rFonts w:asciiTheme="minorHAnsi" w:eastAsiaTheme="minorEastAsia" w:hAnsiTheme="minorHAnsi" w:cstheme="minorBidi"/>
          <w:spacing w:val="-2"/>
          <w:sz w:val="22"/>
          <w:szCs w:val="22"/>
        </w:rPr>
        <w:t>e</w:t>
      </w:r>
      <w:r w:rsidRPr="5FA52294">
        <w:rPr>
          <w:rFonts w:asciiTheme="minorHAnsi" w:eastAsiaTheme="minorEastAsia" w:hAnsiTheme="minorHAnsi" w:cstheme="minorBidi"/>
          <w:sz w:val="22"/>
          <w:szCs w:val="22"/>
        </w:rPr>
        <w:t>ts</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z w:val="22"/>
          <w:szCs w:val="22"/>
        </w:rPr>
        <w:t>w</w:t>
      </w:r>
      <w:r w:rsidRPr="5FA52294">
        <w:rPr>
          <w:rFonts w:asciiTheme="minorHAnsi" w:eastAsiaTheme="minorEastAsia" w:hAnsiTheme="minorHAnsi" w:cstheme="minorBidi"/>
          <w:spacing w:val="2"/>
          <w:sz w:val="22"/>
          <w:szCs w:val="22"/>
        </w:rPr>
        <w:t>o</w:t>
      </w:r>
      <w:r w:rsidRPr="5FA52294">
        <w:rPr>
          <w:rFonts w:asciiTheme="minorHAnsi" w:eastAsiaTheme="minorEastAsia" w:hAnsiTheme="minorHAnsi" w:cstheme="minorBidi"/>
          <w:sz w:val="22"/>
          <w:szCs w:val="22"/>
        </w:rPr>
        <w:t>r</w:t>
      </w:r>
      <w:r w:rsidRPr="5FA52294">
        <w:rPr>
          <w:rFonts w:asciiTheme="minorHAnsi" w:eastAsiaTheme="minorEastAsia" w:hAnsiTheme="minorHAnsi" w:cstheme="minorBidi"/>
          <w:spacing w:val="-1"/>
          <w:sz w:val="22"/>
          <w:szCs w:val="22"/>
        </w:rPr>
        <w:t>d</w:t>
      </w:r>
      <w:r w:rsidRPr="5FA52294">
        <w:rPr>
          <w:rFonts w:asciiTheme="minorHAnsi" w:eastAsiaTheme="minorEastAsia" w:hAnsiTheme="minorHAnsi" w:cstheme="minorBidi"/>
          <w:sz w:val="22"/>
          <w:szCs w:val="22"/>
        </w:rPr>
        <w:t>t</w:t>
      </w:r>
      <w:r w:rsidRPr="5FA52294">
        <w:rPr>
          <w:rFonts w:asciiTheme="minorHAnsi" w:eastAsiaTheme="minorEastAsia" w:hAnsiTheme="minorHAnsi" w:cstheme="minorBidi"/>
          <w:spacing w:val="-2"/>
          <w:sz w:val="22"/>
          <w:szCs w:val="22"/>
        </w:rPr>
        <w:t xml:space="preserve"> </w:t>
      </w:r>
      <w:r w:rsidRPr="5FA52294">
        <w:rPr>
          <w:rFonts w:asciiTheme="minorHAnsi" w:eastAsiaTheme="minorEastAsia" w:hAnsiTheme="minorHAnsi" w:cstheme="minorBidi"/>
          <w:sz w:val="22"/>
          <w:szCs w:val="22"/>
        </w:rPr>
        <w:t>afge</w:t>
      </w:r>
      <w:r w:rsidRPr="5FA52294">
        <w:rPr>
          <w:rFonts w:asciiTheme="minorHAnsi" w:eastAsiaTheme="minorEastAsia" w:hAnsiTheme="minorHAnsi" w:cstheme="minorBidi"/>
          <w:spacing w:val="-1"/>
          <w:sz w:val="22"/>
          <w:szCs w:val="22"/>
        </w:rPr>
        <w:t>nom</w:t>
      </w:r>
      <w:r w:rsidRPr="5FA52294">
        <w:rPr>
          <w:rFonts w:asciiTheme="minorHAnsi" w:eastAsiaTheme="minorEastAsia" w:hAnsiTheme="minorHAnsi" w:cstheme="minorBidi"/>
          <w:sz w:val="22"/>
          <w:szCs w:val="22"/>
        </w:rPr>
        <w:t>en, b</w:t>
      </w:r>
      <w:r w:rsidRPr="5FA52294">
        <w:rPr>
          <w:rFonts w:asciiTheme="minorHAnsi" w:eastAsiaTheme="minorEastAsia" w:hAnsiTheme="minorHAnsi" w:cstheme="minorBidi"/>
          <w:spacing w:val="-2"/>
          <w:sz w:val="22"/>
          <w:szCs w:val="22"/>
        </w:rPr>
        <w:t>e</w:t>
      </w:r>
      <w:r w:rsidRPr="5FA52294">
        <w:rPr>
          <w:rFonts w:asciiTheme="minorHAnsi" w:eastAsiaTheme="minorEastAsia" w:hAnsiTheme="minorHAnsi" w:cstheme="minorBidi"/>
          <w:sz w:val="22"/>
          <w:szCs w:val="22"/>
        </w:rPr>
        <w:t>k</w:t>
      </w:r>
      <w:r w:rsidRPr="5FA52294">
        <w:rPr>
          <w:rFonts w:asciiTheme="minorHAnsi" w:eastAsiaTheme="minorEastAsia" w:hAnsiTheme="minorHAnsi" w:cstheme="minorBidi"/>
          <w:spacing w:val="1"/>
          <w:sz w:val="22"/>
          <w:szCs w:val="22"/>
        </w:rPr>
        <w:t>e</w:t>
      </w:r>
      <w:r w:rsidRPr="5FA52294">
        <w:rPr>
          <w:rFonts w:asciiTheme="minorHAnsi" w:eastAsiaTheme="minorEastAsia" w:hAnsiTheme="minorHAnsi" w:cstheme="minorBidi"/>
          <w:spacing w:val="-1"/>
          <w:sz w:val="22"/>
          <w:szCs w:val="22"/>
        </w:rPr>
        <w:t>n</w:t>
      </w:r>
      <w:r w:rsidRPr="5FA52294">
        <w:rPr>
          <w:rFonts w:asciiTheme="minorHAnsi" w:eastAsiaTheme="minorEastAsia" w:hAnsiTheme="minorHAnsi" w:cstheme="minorBidi"/>
          <w:sz w:val="22"/>
          <w:szCs w:val="22"/>
        </w:rPr>
        <w:t>d</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z w:val="22"/>
          <w:szCs w:val="22"/>
        </w:rPr>
        <w:t>z</w:t>
      </w:r>
      <w:r w:rsidRPr="5FA52294">
        <w:rPr>
          <w:rFonts w:asciiTheme="minorHAnsi" w:eastAsiaTheme="minorEastAsia" w:hAnsiTheme="minorHAnsi" w:cstheme="minorBidi"/>
          <w:spacing w:val="-1"/>
          <w:sz w:val="22"/>
          <w:szCs w:val="22"/>
        </w:rPr>
        <w:t>i</w:t>
      </w:r>
      <w:r w:rsidRPr="5FA52294">
        <w:rPr>
          <w:rFonts w:asciiTheme="minorHAnsi" w:eastAsiaTheme="minorEastAsia" w:hAnsiTheme="minorHAnsi" w:cstheme="minorBidi"/>
          <w:sz w:val="22"/>
          <w:szCs w:val="22"/>
        </w:rPr>
        <w:t>jn</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z w:val="22"/>
          <w:szCs w:val="22"/>
        </w:rPr>
        <w:t xml:space="preserve">bij </w:t>
      </w:r>
      <w:r w:rsidRPr="5FA52294">
        <w:rPr>
          <w:rFonts w:asciiTheme="minorHAnsi" w:eastAsiaTheme="minorEastAsia" w:hAnsiTheme="minorHAnsi" w:cstheme="minorBidi"/>
          <w:spacing w:val="-1"/>
          <w:sz w:val="22"/>
          <w:szCs w:val="22"/>
        </w:rPr>
        <w:t>d</w:t>
      </w:r>
      <w:r w:rsidRPr="5FA52294">
        <w:rPr>
          <w:rFonts w:asciiTheme="minorHAnsi" w:eastAsiaTheme="minorEastAsia" w:hAnsiTheme="minorHAnsi" w:cstheme="minorBidi"/>
          <w:sz w:val="22"/>
          <w:szCs w:val="22"/>
        </w:rPr>
        <w:t>e</w:t>
      </w:r>
      <w:r w:rsidRPr="5FA52294">
        <w:rPr>
          <w:rFonts w:asciiTheme="minorHAnsi" w:eastAsiaTheme="minorEastAsia" w:hAnsiTheme="minorHAnsi" w:cstheme="minorBidi"/>
          <w:spacing w:val="1"/>
          <w:sz w:val="22"/>
          <w:szCs w:val="22"/>
        </w:rPr>
        <w:t xml:space="preserve"> </w:t>
      </w:r>
      <w:r w:rsidRPr="5FA52294">
        <w:rPr>
          <w:rFonts w:asciiTheme="minorHAnsi" w:eastAsiaTheme="minorEastAsia" w:hAnsiTheme="minorHAnsi" w:cstheme="minorBidi"/>
          <w:spacing w:val="-3"/>
          <w:sz w:val="22"/>
          <w:szCs w:val="22"/>
        </w:rPr>
        <w:t>d</w:t>
      </w:r>
      <w:r w:rsidRPr="5FA52294">
        <w:rPr>
          <w:rFonts w:asciiTheme="minorHAnsi" w:eastAsiaTheme="minorEastAsia" w:hAnsiTheme="minorHAnsi" w:cstheme="minorBidi"/>
          <w:spacing w:val="1"/>
          <w:sz w:val="22"/>
          <w:szCs w:val="22"/>
        </w:rPr>
        <w:t>y</w:t>
      </w:r>
      <w:r w:rsidRPr="5FA52294">
        <w:rPr>
          <w:rFonts w:asciiTheme="minorHAnsi" w:eastAsiaTheme="minorEastAsia" w:hAnsiTheme="minorHAnsi" w:cstheme="minorBidi"/>
          <w:sz w:val="22"/>
          <w:szCs w:val="22"/>
        </w:rPr>
        <w:t>slex</w:t>
      </w:r>
      <w:r w:rsidRPr="5FA52294">
        <w:rPr>
          <w:rFonts w:asciiTheme="minorHAnsi" w:eastAsiaTheme="minorEastAsia" w:hAnsiTheme="minorHAnsi" w:cstheme="minorBidi"/>
          <w:spacing w:val="-2"/>
          <w:sz w:val="22"/>
          <w:szCs w:val="22"/>
        </w:rPr>
        <w:t>i</w:t>
      </w:r>
      <w:r w:rsidRPr="5FA52294">
        <w:rPr>
          <w:rFonts w:asciiTheme="minorHAnsi" w:eastAsiaTheme="minorEastAsia" w:hAnsiTheme="minorHAnsi" w:cstheme="minorBidi"/>
          <w:sz w:val="22"/>
          <w:szCs w:val="22"/>
        </w:rPr>
        <w:t>e</w:t>
      </w:r>
      <w:r w:rsidRPr="5FA52294">
        <w:rPr>
          <w:rFonts w:asciiTheme="minorHAnsi" w:eastAsiaTheme="minorEastAsia" w:hAnsiTheme="minorHAnsi" w:cstheme="minorBidi"/>
          <w:spacing w:val="-2"/>
          <w:sz w:val="22"/>
          <w:szCs w:val="22"/>
        </w:rPr>
        <w:t>-coördinator</w:t>
      </w:r>
      <w:r w:rsidRPr="5FA52294">
        <w:rPr>
          <w:rFonts w:asciiTheme="minorHAnsi" w:eastAsiaTheme="minorEastAsia" w:hAnsiTheme="minorHAnsi" w:cstheme="minorBidi"/>
          <w:sz w:val="22"/>
          <w:szCs w:val="22"/>
        </w:rPr>
        <w:t>.</w:t>
      </w:r>
      <w:r>
        <w:br/>
      </w:r>
      <w:r w:rsidR="34376665" w:rsidRPr="5FA52294">
        <w:rPr>
          <w:rFonts w:asciiTheme="minorHAnsi" w:hAnsiTheme="minorHAnsi"/>
          <w:sz w:val="22"/>
          <w:szCs w:val="22"/>
        </w:rPr>
        <w:lastRenderedPageBreak/>
        <w:t>Sinds 2012 publiceert het College voor Toetsen en Examens (</w:t>
      </w:r>
      <w:proofErr w:type="spellStart"/>
      <w:r w:rsidR="34376665" w:rsidRPr="5FA52294">
        <w:rPr>
          <w:rFonts w:asciiTheme="minorHAnsi" w:hAnsiTheme="minorHAnsi"/>
          <w:sz w:val="22"/>
          <w:szCs w:val="22"/>
        </w:rPr>
        <w:t>CvTE</w:t>
      </w:r>
      <w:proofErr w:type="spellEnd"/>
      <w:r w:rsidR="34376665" w:rsidRPr="5FA52294">
        <w:rPr>
          <w:rFonts w:asciiTheme="minorHAnsi" w:hAnsiTheme="minorHAnsi"/>
          <w:sz w:val="22"/>
          <w:szCs w:val="22"/>
        </w:rPr>
        <w:t>) jaarlijks een brochure over de mogelijkheden voor kandidaten met een beperking bij centrale examens en bij de rekentoets in het voortgezet onderwijs. De brochure verschijnt in september en is geldig voor de centrale examinering direct daaropvolgend.</w:t>
      </w:r>
    </w:p>
    <w:p w14:paraId="569656EA" w14:textId="77777777" w:rsidR="004E6C95" w:rsidRPr="00374DE2" w:rsidRDefault="34376665" w:rsidP="1E369E69">
      <w:pPr>
        <w:pStyle w:val="mtop"/>
        <w:rPr>
          <w:rFonts w:asciiTheme="minorHAnsi" w:hAnsiTheme="minorHAnsi"/>
          <w:sz w:val="22"/>
          <w:szCs w:val="22"/>
        </w:rPr>
      </w:pPr>
      <w:r w:rsidRPr="1E369E69">
        <w:rPr>
          <w:rFonts w:asciiTheme="minorHAnsi" w:hAnsiTheme="minorHAnsi"/>
          <w:sz w:val="22"/>
          <w:szCs w:val="22"/>
        </w:rPr>
        <w:t>De hoofdlijnen en uitgangspunten van deze brochure hebben een langere geldigheid. De brochure is daarom ook bruikbaar bij het overwegen van mogelijkheden voor leerlingen met een beperking bij de start van de bovenbouw of soms zelfs bij de aanvang van het voortgezet onderwijs.</w:t>
      </w:r>
    </w:p>
    <w:p w14:paraId="0F6AB5D8" w14:textId="77777777" w:rsidR="004E6C95" w:rsidRPr="00374DE2" w:rsidRDefault="00C5382F" w:rsidP="1E369E69">
      <w:pPr>
        <w:pStyle w:val="mtop"/>
        <w:rPr>
          <w:rFonts w:asciiTheme="minorHAnsi" w:hAnsiTheme="minorHAnsi"/>
          <w:sz w:val="22"/>
          <w:szCs w:val="22"/>
        </w:rPr>
      </w:pPr>
      <w:hyperlink r:id="rId9">
        <w:r w:rsidR="34376665" w:rsidRPr="1E369E69">
          <w:rPr>
            <w:rStyle w:val="Hyperlink"/>
            <w:rFonts w:asciiTheme="minorHAnsi" w:hAnsiTheme="minorHAnsi"/>
            <w:sz w:val="22"/>
            <w:szCs w:val="22"/>
          </w:rPr>
          <w:t>https://www.examenblad.nl/onderwerp/kandidaten-met-een-beperking/2017</w:t>
        </w:r>
      </w:hyperlink>
    </w:p>
    <w:p w14:paraId="32BBA3D4" w14:textId="0CB0DD20" w:rsidR="004E6C95" w:rsidRPr="00374DE2" w:rsidRDefault="004E6C95" w:rsidP="004E6C95">
      <w:pPr>
        <w:pStyle w:val="Geenafstand"/>
        <w:rPr>
          <w:rFonts w:cs="Calibri"/>
        </w:rPr>
      </w:pPr>
    </w:p>
    <w:p w14:paraId="13CB595B" w14:textId="43DD028C" w:rsidR="004E6C95" w:rsidRDefault="3CF0CAA6" w:rsidP="1E369E69">
      <w:pPr>
        <w:pStyle w:val="Geenafstand"/>
        <w:rPr>
          <w:lang w:eastAsia="nl-NL"/>
        </w:rPr>
      </w:pPr>
      <w:r w:rsidRPr="1E369E69">
        <w:rPr>
          <w:b/>
          <w:bCs/>
          <w:lang w:eastAsia="nl-NL"/>
        </w:rPr>
        <w:t>Ondersteuning</w:t>
      </w:r>
      <w:r w:rsidR="4BF72B47" w:rsidRPr="1E369E69">
        <w:rPr>
          <w:b/>
          <w:bCs/>
          <w:lang w:eastAsia="nl-NL"/>
        </w:rPr>
        <w:t xml:space="preserve"> middels</w:t>
      </w:r>
      <w:r w:rsidRPr="1E369E69">
        <w:rPr>
          <w:b/>
          <w:bCs/>
          <w:lang w:eastAsia="nl-NL"/>
        </w:rPr>
        <w:t xml:space="preserve"> vrijstellingen</w:t>
      </w:r>
      <w:r w:rsidR="004E6C95">
        <w:br/>
      </w:r>
      <w:r w:rsidR="6C785B8A" w:rsidRPr="1E369E69">
        <w:rPr>
          <w:lang w:eastAsia="nl-NL"/>
        </w:rPr>
        <w:t xml:space="preserve">Meer informatie over ondersteuning door vrijstellingen is te vinden in hoofdstuk 5. </w:t>
      </w:r>
      <w:r w:rsidR="004E6C95">
        <w:br/>
      </w:r>
    </w:p>
    <w:p w14:paraId="6D9C8D39" w14:textId="77777777" w:rsidR="004E6C95" w:rsidRDefault="004E6C95" w:rsidP="004E6C95">
      <w:pPr>
        <w:rPr>
          <w:b/>
        </w:rPr>
      </w:pPr>
      <w:r>
        <w:rPr>
          <w:b/>
        </w:rPr>
        <w:br w:type="page"/>
      </w:r>
    </w:p>
    <w:p w14:paraId="068AB5C2" w14:textId="2B56FCDE" w:rsidR="004E6C95" w:rsidRPr="008470F7" w:rsidRDefault="004E6C95" w:rsidP="0043123D">
      <w:pPr>
        <w:pStyle w:val="Kop1"/>
      </w:pPr>
      <w:bookmarkStart w:id="5" w:name="_Toc66360404"/>
      <w:proofErr w:type="spellStart"/>
      <w:r w:rsidRPr="008470F7">
        <w:lastRenderedPageBreak/>
        <w:t>Hfst</w:t>
      </w:r>
      <w:proofErr w:type="spellEnd"/>
      <w:r w:rsidRPr="008470F7">
        <w:t>. 5</w:t>
      </w:r>
      <w:r w:rsidRPr="008470F7">
        <w:tab/>
        <w:t>Beoordeling en vrijstellingen</w:t>
      </w:r>
      <w:bookmarkEnd w:id="5"/>
    </w:p>
    <w:p w14:paraId="675E05EE" w14:textId="77777777" w:rsidR="004E6C95" w:rsidRDefault="004E6C95" w:rsidP="004E6C95">
      <w:pPr>
        <w:pStyle w:val="Geenafstand"/>
        <w:rPr>
          <w:rFonts w:cs="Myriad-Roman"/>
        </w:rPr>
      </w:pPr>
    </w:p>
    <w:p w14:paraId="00745B89" w14:textId="77777777" w:rsidR="004E6C95" w:rsidRDefault="004E6C95" w:rsidP="004E6C95">
      <w:pPr>
        <w:spacing w:after="0" w:line="240" w:lineRule="auto"/>
        <w:rPr>
          <w:b/>
        </w:rPr>
      </w:pPr>
      <w:r w:rsidRPr="001A3705">
        <w:rPr>
          <w:b/>
        </w:rPr>
        <w:t>Beoordeling</w:t>
      </w:r>
    </w:p>
    <w:p w14:paraId="64468241" w14:textId="16FEEB32" w:rsidR="004E6C95" w:rsidRDefault="2734CAE1" w:rsidP="1E369E69">
      <w:pPr>
        <w:spacing w:after="0" w:line="240" w:lineRule="auto"/>
        <w:rPr>
          <w:b/>
          <w:bCs/>
        </w:rPr>
      </w:pPr>
      <w:r>
        <w:t>B</w:t>
      </w:r>
      <w:r w:rsidR="004E6C95">
        <w:t>ij het beoordelen van toetsen en opdrachten is een aantal specifieke zaken van belang naast de regels die gelden bij aanpassing van onderwijs en voor het examen. Vaksecties zullen hierover uitspraken moeten doen en deze, voorafgaand aan toetsing van de leerstof, aan de leerlingen met dyslexie duidelijk moeten maken.</w:t>
      </w:r>
    </w:p>
    <w:p w14:paraId="32A80CFD" w14:textId="35E03B4F" w:rsidR="004E6C95" w:rsidRPr="00FD6361" w:rsidRDefault="004E6C95" w:rsidP="004E6C95">
      <w:pPr>
        <w:spacing w:after="0" w:line="240" w:lineRule="auto"/>
      </w:pPr>
      <w:r>
        <w:t>Goed om te weten is dat docenten veel schriftelijk toetsen</w:t>
      </w:r>
      <w:r w:rsidR="36AD4520">
        <w:t>. Dit heeft alles</w:t>
      </w:r>
      <w:r>
        <w:t xml:space="preserve"> te maken </w:t>
      </w:r>
      <w:r w:rsidR="6423F29C">
        <w:t>m</w:t>
      </w:r>
      <w:r>
        <w:t>et het gegeven dat het in de beschikbare tijd onmogelijk is om een hele klas mondeling te toetsen. Voor de meeste leerstof is schriftelijke toetsing in wezen niet noodzakelijk. Bij de beoordeling moeten docenten zich hiervan bewust zijn.</w:t>
      </w:r>
      <w:r>
        <w:br/>
      </w:r>
      <w:r>
        <w:br/>
        <w:t>Een belangrijk onderdeel van het wettelijk kader vormt artikel 55 van het Examenbesluit.</w:t>
      </w:r>
    </w:p>
    <w:p w14:paraId="10B349AD" w14:textId="77777777" w:rsidR="004E6C95" w:rsidRPr="00FD6361" w:rsidRDefault="004E6C95" w:rsidP="004E6C95">
      <w:pPr>
        <w:spacing w:after="0" w:line="240" w:lineRule="auto"/>
      </w:pPr>
      <w:r w:rsidRPr="00FD6361">
        <w:t>Lid 1 van dit artikel luidt als volgt:</w:t>
      </w:r>
    </w:p>
    <w:p w14:paraId="5AE48A43" w14:textId="77777777" w:rsidR="004E6C95" w:rsidRPr="001A3705" w:rsidRDefault="004E6C95" w:rsidP="004E6C95">
      <w:pPr>
        <w:spacing w:after="0" w:line="240" w:lineRule="auto"/>
        <w:rPr>
          <w:sz w:val="10"/>
          <w:szCs w:val="10"/>
        </w:rPr>
      </w:pPr>
    </w:p>
    <w:tbl>
      <w:tblPr>
        <w:tblStyle w:val="Tabelraster1"/>
        <w:tblW w:w="0" w:type="auto"/>
        <w:tblLook w:val="04A0" w:firstRow="1" w:lastRow="0" w:firstColumn="1" w:lastColumn="0" w:noHBand="0" w:noVBand="1"/>
      </w:tblPr>
      <w:tblGrid>
        <w:gridCol w:w="9062"/>
      </w:tblGrid>
      <w:tr w:rsidR="004E6C95" w:rsidRPr="00FD6361" w14:paraId="0DF02DAE" w14:textId="77777777" w:rsidTr="73693B27">
        <w:trPr>
          <w:trHeight w:val="1292"/>
        </w:trPr>
        <w:tc>
          <w:tcPr>
            <w:tcW w:w="9062" w:type="dxa"/>
          </w:tcPr>
          <w:p w14:paraId="029C6688" w14:textId="4F8D9A27" w:rsidR="004E6C95" w:rsidRPr="00FD6361" w:rsidRDefault="004E6C95" w:rsidP="009C02CC">
            <w:r>
              <w:t>De directeur kan toestaan dat een gehandicapte kandidaat* het examen geheel of gedeeltelijk aflegt op een wijze die is aangepast aan de mogelijkheden van die kandidaat. In dat geval bepaalt de directeur de wijze waarop het examen zal worden afgelegd, met dien verstande dat aan de overige bepalingen in dit besluit wordt voldaan. Hij doet hiervan zo spoedig mogelijk mededeling aan de inspectie.</w:t>
            </w:r>
          </w:p>
        </w:tc>
      </w:tr>
    </w:tbl>
    <w:p w14:paraId="50F40DEB" w14:textId="77777777" w:rsidR="004E6C95" w:rsidRPr="00FD6361" w:rsidRDefault="004E6C95" w:rsidP="004E6C95">
      <w:pPr>
        <w:spacing w:after="0" w:line="240" w:lineRule="auto"/>
        <w:rPr>
          <w:sz w:val="8"/>
          <w:szCs w:val="8"/>
        </w:rPr>
      </w:pPr>
    </w:p>
    <w:p w14:paraId="77A52294" w14:textId="77777777" w:rsidR="004E6C95" w:rsidRPr="001A3705" w:rsidRDefault="004E6C95" w:rsidP="004E6C95">
      <w:pPr>
        <w:spacing w:after="0" w:line="240" w:lineRule="auto"/>
        <w:rPr>
          <w:sz w:val="10"/>
          <w:szCs w:val="10"/>
        </w:rPr>
      </w:pPr>
    </w:p>
    <w:p w14:paraId="3520D154" w14:textId="3D86BADE" w:rsidR="002E3972" w:rsidRDefault="004E6C95" w:rsidP="1E369E69">
      <w:pPr>
        <w:spacing w:after="0" w:line="240" w:lineRule="auto"/>
        <w:rPr>
          <w:b/>
          <w:bCs/>
        </w:rPr>
      </w:pPr>
      <w:r>
        <w:t xml:space="preserve">Op basis van artikel 55 kan de directeur van de school de examencondities aanpassen voor </w:t>
      </w:r>
      <w:r w:rsidRPr="1E369E69">
        <w:rPr>
          <w:i/>
          <w:iCs/>
          <w:u w:val="single"/>
        </w:rPr>
        <w:t>onder andere</w:t>
      </w:r>
      <w:r>
        <w:t xml:space="preserve"> leerlingen met dyslexie. Het artikel spreekt over de wijze van examinering, niet over de exameneisen of de inhoud van het examen zelf. Uitgangspunt van het Nederlandse examensysteem is dat een gelijk cijfer voor bijvoorbeeld Engels tot stand is gekomen op basis van eenzelfde prestatie. Dat geldt zowel voor het centraal examen voor geheel Nederland als voor het schoolexamen per school. De school kan aanpassingen voor leerlingen met een beperking zoeken in het toestaan van hulpmiddelen die effectief zijn, en/of in aanpassingen van de toets- of examenvorm met inachtneming van de toets- en exameneis.</w:t>
      </w:r>
      <w:r>
        <w:br/>
      </w:r>
      <w:r>
        <w:br/>
        <w:t>De exameneisen zijn voor</w:t>
      </w:r>
      <w:r w:rsidRPr="1E369E69">
        <w:rPr>
          <w:u w:val="single"/>
        </w:rPr>
        <w:t xml:space="preserve"> alle</w:t>
      </w:r>
      <w:r>
        <w:t xml:space="preserve"> leerlingen hetzelfde. </w:t>
      </w:r>
      <w:r w:rsidRPr="1E369E69">
        <w:rPr>
          <w:u w:val="single"/>
        </w:rPr>
        <w:t>Dit geldt ook voor de correctievoorschriften voor spelling.</w:t>
      </w:r>
      <w:r>
        <w:t xml:space="preserve"> Bij het schoolexamen bepaalt de school zelf in welke mate spelling meeweegt bij de correctie. De school mag daarbij </w:t>
      </w:r>
      <w:r w:rsidRPr="1E369E69">
        <w:rPr>
          <w:u w:val="single"/>
        </w:rPr>
        <w:t>géén</w:t>
      </w:r>
      <w:r>
        <w:t xml:space="preserve"> uitzondering maken voor dyslectische leerlingen: de correctievoorschriften gelden voor álle leerlingen. Spelling wordt bij de centrale examens streng beoordeeld. Maakt een leerling twee keer dezelfde fout, dan wordt deze twee keer fout gerekend. Toch weegt spelling nooit zwaarder dan ongeveer een tiende van het totaal aantal te behalen punten voor het examen. Een (dyslectische) leerling kan nooit meer dan één punt aftrek krijgen voor spelling en kan deze compenseren door tekstbegrip en andere essentiële taalvaardigheden. </w:t>
      </w:r>
      <w:r w:rsidRPr="1E369E69">
        <w:rPr>
          <w:i/>
          <w:iCs/>
        </w:rPr>
        <w:t xml:space="preserve">Waar in het schoolexamen, zoals bij Nederlands en de moderne vreemde talen, spelling wordt beoordeeld, doet een school er goed aan om hetzelfde uitgangspunt te hanteren: niet meer dan één punt aftrek voor spelling op het totaal. </w:t>
      </w:r>
      <w:r w:rsidRPr="1E369E69">
        <w:rPr>
          <w:b/>
          <w:bCs/>
        </w:rPr>
        <w:t xml:space="preserve">  </w:t>
      </w:r>
    </w:p>
    <w:p w14:paraId="453A6070" w14:textId="77777777" w:rsidR="004E6C95" w:rsidRPr="002E3972" w:rsidRDefault="002E3972" w:rsidP="004E6C95">
      <w:pPr>
        <w:rPr>
          <w:b/>
          <w:color w:val="000000" w:themeColor="text1"/>
        </w:rPr>
      </w:pPr>
      <w:r w:rsidRPr="002E3972">
        <w:rPr>
          <w:b/>
          <w:color w:val="000000" w:themeColor="text1"/>
        </w:rPr>
        <w:t>Dit onderdeel is verder uitgewerkt in de voor intern gebruik opgestelde documenten</w:t>
      </w:r>
      <w:r w:rsidR="004E6C95" w:rsidRPr="002E3972">
        <w:rPr>
          <w:b/>
          <w:color w:val="000000" w:themeColor="text1"/>
        </w:rPr>
        <w:t xml:space="preserve">     </w:t>
      </w:r>
    </w:p>
    <w:p w14:paraId="0988CA89" w14:textId="31A91CB4" w:rsidR="004E6C95" w:rsidRPr="002E19F5" w:rsidRDefault="004E6C95" w:rsidP="1E369E69">
      <w:pPr>
        <w:rPr>
          <w:rFonts w:cs="Myriad-Roman"/>
          <w:i/>
          <w:iCs/>
          <w:sz w:val="24"/>
          <w:szCs w:val="24"/>
          <w:u w:val="single"/>
        </w:rPr>
      </w:pPr>
      <w:r w:rsidRPr="1E369E69">
        <w:rPr>
          <w:rFonts w:cs="Myriad-Roman"/>
          <w:i/>
          <w:iCs/>
          <w:sz w:val="24"/>
          <w:szCs w:val="24"/>
          <w:u w:val="single"/>
        </w:rPr>
        <w:t>Scholengroep Carmel Hengelo conformeert zich wat betreft de beoordeling toetsen/proefwerken aan de landelijke richtlijnen.</w:t>
      </w:r>
    </w:p>
    <w:p w14:paraId="3DD355C9" w14:textId="77777777" w:rsidR="004E6C95" w:rsidRPr="001C6040" w:rsidRDefault="004E6C95" w:rsidP="004E6C95">
      <w:pPr>
        <w:pStyle w:val="mtop"/>
        <w:rPr>
          <w:rFonts w:asciiTheme="minorHAnsi" w:hAnsiTheme="minorHAnsi"/>
          <w:sz w:val="22"/>
          <w:szCs w:val="22"/>
        </w:rPr>
      </w:pPr>
    </w:p>
    <w:p w14:paraId="1A81F0B1" w14:textId="77777777" w:rsidR="004E6C95" w:rsidRDefault="004E6C95" w:rsidP="004E6C95">
      <w:pPr>
        <w:pStyle w:val="Geenafstand"/>
        <w:rPr>
          <w:rFonts w:ascii="Verdana" w:hAnsi="Verdana"/>
          <w:b/>
          <w:sz w:val="20"/>
          <w:szCs w:val="20"/>
          <w:lang w:eastAsia="nl-NL"/>
        </w:rPr>
      </w:pPr>
    </w:p>
    <w:p w14:paraId="717AAFBA" w14:textId="77777777" w:rsidR="004E6C95" w:rsidRDefault="004E6C95" w:rsidP="004E6C95">
      <w:pPr>
        <w:rPr>
          <w:b/>
        </w:rPr>
      </w:pPr>
      <w:r>
        <w:rPr>
          <w:b/>
        </w:rPr>
        <w:br w:type="page"/>
      </w:r>
    </w:p>
    <w:p w14:paraId="5AB79F18" w14:textId="77777777" w:rsidR="004E6C95" w:rsidRDefault="004E6C95" w:rsidP="004E6C95">
      <w:pPr>
        <w:pStyle w:val="Geenafstand"/>
      </w:pPr>
      <w:r w:rsidRPr="00185B11">
        <w:rPr>
          <w:b/>
        </w:rPr>
        <w:lastRenderedPageBreak/>
        <w:t>Vrijstellingen</w:t>
      </w:r>
      <w:r>
        <w:t xml:space="preserve"> </w:t>
      </w:r>
    </w:p>
    <w:p w14:paraId="2CF1D18E" w14:textId="77777777" w:rsidR="004E6C95" w:rsidRDefault="004E6C95" w:rsidP="004E6C95">
      <w:pPr>
        <w:pStyle w:val="Geenafstand"/>
      </w:pPr>
      <w:r>
        <w:t xml:space="preserve">In het voortgezet onderwijs zijn er mogelijkheden tot aanpassingen van het onderwijsprogramma voor leerlingen met dyslexie die niet in staat zijn het volledige programma te volgen. </w:t>
      </w:r>
    </w:p>
    <w:p w14:paraId="56EE48EE" w14:textId="77777777" w:rsidR="004E6C95" w:rsidRPr="00185B11" w:rsidRDefault="004E6C95" w:rsidP="004E6C95">
      <w:pPr>
        <w:pStyle w:val="Geenafstand"/>
        <w:rPr>
          <w:b/>
        </w:rPr>
      </w:pPr>
    </w:p>
    <w:p w14:paraId="69BBA22C" w14:textId="77777777" w:rsidR="004E6C95" w:rsidRPr="00FC3BF3" w:rsidRDefault="004E6C95" w:rsidP="004E6C95">
      <w:pPr>
        <w:pStyle w:val="Geenafstand"/>
      </w:pPr>
      <w:r w:rsidRPr="00FC3BF3">
        <w:t>Vrijstelling voor Nederlands en Engels is niet mogelijk. Nederlands en Engels zijn verplichte</w:t>
      </w:r>
      <w:r>
        <w:t xml:space="preserve"> </w:t>
      </w:r>
      <w:r w:rsidRPr="00FC3BF3">
        <w:t>vakken voor alle leerlingen; het minimale niveau dat leerling</w:t>
      </w:r>
      <w:r>
        <w:t xml:space="preserve">en moeten behalen is vastgelegd </w:t>
      </w:r>
      <w:r w:rsidRPr="00FC3BF3">
        <w:t>in de kerndoelen. Artikel 11d van de WVO biedt weliswaar ruimte om in individuele gevallen</w:t>
      </w:r>
    </w:p>
    <w:p w14:paraId="369D0AD6" w14:textId="77777777" w:rsidR="004E6C95" w:rsidRDefault="004E6C95" w:rsidP="004E6C95">
      <w:pPr>
        <w:pStyle w:val="Geenafstand"/>
      </w:pPr>
      <w:r w:rsidRPr="00FC3BF3">
        <w:t>ontheffing te verlenen voor onderdelen van de kerndoelen,</w:t>
      </w:r>
      <w:r>
        <w:t xml:space="preserve"> maar dit heeft alleen maar zin </w:t>
      </w:r>
      <w:r w:rsidRPr="00FC3BF3">
        <w:t>voor onderdelen van vakken die in de onderbouw worden a</w:t>
      </w:r>
      <w:r>
        <w:t xml:space="preserve">fgesloten. Nederlands en Engels </w:t>
      </w:r>
      <w:r w:rsidRPr="00FC3BF3">
        <w:t xml:space="preserve">zijn verplichte eindexamenvakken. Voor exameneisen kan </w:t>
      </w:r>
      <w:r>
        <w:t>geen ontheffing worden verleend</w:t>
      </w:r>
    </w:p>
    <w:p w14:paraId="2908EB2C" w14:textId="77777777" w:rsidR="004E6C95" w:rsidRDefault="004E6C95" w:rsidP="004E6C95">
      <w:pPr>
        <w:pStyle w:val="Geenafstand"/>
      </w:pPr>
    </w:p>
    <w:p w14:paraId="4E9C38B5" w14:textId="3051C3E8" w:rsidR="004E6C95" w:rsidRPr="00185B11" w:rsidRDefault="004E6C95" w:rsidP="1E369E69">
      <w:pPr>
        <w:pStyle w:val="Geenafstand"/>
        <w:rPr>
          <w:b/>
          <w:bCs/>
        </w:rPr>
      </w:pPr>
      <w:r w:rsidRPr="1E369E69">
        <w:rPr>
          <w:b/>
          <w:bCs/>
        </w:rPr>
        <w:t>Vrijstellingen in het vmbo</w:t>
      </w:r>
    </w:p>
    <w:p w14:paraId="204D3672" w14:textId="77777777" w:rsidR="004E6C95" w:rsidRPr="00FC3BF3" w:rsidRDefault="004E6C95" w:rsidP="004E6C95">
      <w:pPr>
        <w:pStyle w:val="Geenafstand"/>
      </w:pPr>
      <w:r w:rsidRPr="00FC3BF3">
        <w:t>In de eerste twee leerjaren van het vmbo is Frans óf Duits als tweede moderne vreemde taal</w:t>
      </w:r>
    </w:p>
    <w:p w14:paraId="7A54483A" w14:textId="14F92889" w:rsidR="004E6C95" w:rsidRPr="00FC3BF3" w:rsidRDefault="004E6C95" w:rsidP="004E6C95">
      <w:pPr>
        <w:pStyle w:val="Geenafstand"/>
      </w:pPr>
      <w:r>
        <w:t>verplicht. Scholen mogen zelf kiezen welke van deze twee zij aanbieden, maar mogen ook beide talen aanbieden. Voor het volgen van alleen Frans of alleen Duits is daarom geen ontheffing nodig. Vrijstelling voor Frans én Duits is niet mogelijk. Op scholen waar maar één taal wordt gegeven, kan dus geen vrijstelling worden gegeven. Een uitzondering kan worden gemaakt voor leerlingen die doorstromen naar de basisberoepsgerichte leerweg (zie Inrichtingsbesluit Wet op het voortgezet onderwijs (WVO), artikel 22, eerste lid).</w:t>
      </w:r>
    </w:p>
    <w:p w14:paraId="7439D3BD" w14:textId="77777777" w:rsidR="004E6C95" w:rsidRDefault="004E6C95" w:rsidP="004E6C95">
      <w:pPr>
        <w:pStyle w:val="Geenafstand"/>
      </w:pPr>
      <w:r w:rsidRPr="00FC3BF3">
        <w:t>Wel kan de school in de eerste twee leerjaren van het vm</w:t>
      </w:r>
      <w:r>
        <w:t xml:space="preserve">bo zelf invulling geven aan het </w:t>
      </w:r>
      <w:r w:rsidRPr="00FC3BF3">
        <w:t>onderwijs in die tweede moderne vreemde taal, omdat er, me</w:t>
      </w:r>
      <w:r>
        <w:t xml:space="preserve">t uitzondering van Engels, geen </w:t>
      </w:r>
      <w:r w:rsidRPr="00FC3BF3">
        <w:t xml:space="preserve">kerndoelen zijn voor de moderne vreemde talen. Zo kan er </w:t>
      </w:r>
      <w:r>
        <w:t xml:space="preserve">bijvoorbeeld meer nadruk worden </w:t>
      </w:r>
      <w:r w:rsidRPr="00FC3BF3">
        <w:t>gelegd op mondelinge communicatie en minder op leesvaardigheid.</w:t>
      </w:r>
    </w:p>
    <w:p w14:paraId="3F5A99CB" w14:textId="414869F1" w:rsidR="004E6C95" w:rsidRPr="00185B11" w:rsidRDefault="004E6C95" w:rsidP="1E369E69">
      <w:pPr>
        <w:pStyle w:val="Geenafstand"/>
        <w:rPr>
          <w:b/>
          <w:bCs/>
        </w:rPr>
      </w:pPr>
      <w:r>
        <w:br/>
      </w:r>
      <w:r w:rsidRPr="1E369E69">
        <w:rPr>
          <w:b/>
          <w:bCs/>
        </w:rPr>
        <w:t>Vrijstellingen in het havo en het vwo</w:t>
      </w:r>
    </w:p>
    <w:p w14:paraId="5C551726" w14:textId="77777777" w:rsidR="004E6C95" w:rsidRPr="00FC3BF3" w:rsidRDefault="004E6C95" w:rsidP="004E6C95">
      <w:pPr>
        <w:pStyle w:val="Geenafstand"/>
      </w:pPr>
      <w:r w:rsidRPr="00FC3BF3">
        <w:t>In de eerste drie leerjaren van havo en vwo zijn zowel Frans a</w:t>
      </w:r>
      <w:r>
        <w:t xml:space="preserve">ls Duits verplicht. Er kan geen </w:t>
      </w:r>
      <w:r w:rsidRPr="00FC3BF3">
        <w:t xml:space="preserve">ontheffing worden verleend aan dyslectische leerlingen. Wel </w:t>
      </w:r>
      <w:r>
        <w:t xml:space="preserve">kan de school in de eerste drie </w:t>
      </w:r>
      <w:r w:rsidRPr="00FC3BF3">
        <w:t>leerjaren zelf invulling geven aan het onderwijs in de tweede moderne vreemde taa</w:t>
      </w:r>
      <w:r>
        <w:t xml:space="preserve">l, omdat </w:t>
      </w:r>
      <w:r w:rsidRPr="00FC3BF3">
        <w:t>er, met uitzondering van Engels, geen kerndoelen zijn voor m</w:t>
      </w:r>
      <w:r>
        <w:t xml:space="preserve">oderne vreemde talen. De school </w:t>
      </w:r>
      <w:r w:rsidRPr="00FC3BF3">
        <w:t>moet hierbij wel rekening houden met de mogelijke profielk</w:t>
      </w:r>
      <w:r>
        <w:t xml:space="preserve">euze van de leerling in verband </w:t>
      </w:r>
      <w:r w:rsidRPr="00FC3BF3">
        <w:t>met zijn doorstroommogelijkheden.</w:t>
      </w:r>
    </w:p>
    <w:p w14:paraId="3C68D553" w14:textId="6D43391F" w:rsidR="004E6C95" w:rsidRDefault="004E6C95" w:rsidP="004E6C95">
      <w:pPr>
        <w:pStyle w:val="Geenafstand"/>
      </w:pPr>
      <w:r>
        <w:t xml:space="preserve">In de bovenbouw van het havo is per 1 augustus 2007 een tweede moderne vreemde taal in drie van de vier profielen niet verplicht. </w:t>
      </w:r>
      <w:proofErr w:type="spellStart"/>
      <w:r>
        <w:t>Havo-leerlingen</w:t>
      </w:r>
      <w:proofErr w:type="spellEnd"/>
      <w:r>
        <w:t xml:space="preserve"> kunnen de tweede moderne vreemde taal vermijden door een ander profiel te kiezen dan Cultuur en maatschappij.</w:t>
      </w:r>
    </w:p>
    <w:p w14:paraId="07F023C8" w14:textId="77777777" w:rsidR="004E6C95" w:rsidRDefault="004E6C95" w:rsidP="004E6C95">
      <w:pPr>
        <w:pStyle w:val="Geenafstand"/>
      </w:pPr>
    </w:p>
    <w:p w14:paraId="59834007" w14:textId="77777777" w:rsidR="004E6C95" w:rsidRDefault="004E6C95" w:rsidP="004E6C95">
      <w:pPr>
        <w:pStyle w:val="Geenafstand"/>
      </w:pPr>
      <w:r w:rsidRPr="00FC3BF3">
        <w:t>Voor leerlingen op het gymnasium is geen ontheffingsmogel</w:t>
      </w:r>
      <w:r>
        <w:t xml:space="preserve">ijkheid geregeld, omdat daar de </w:t>
      </w:r>
      <w:r w:rsidRPr="00FC3BF3">
        <w:t>klassieke taal in plaats van de tweede moderne vreemde taal komt.</w:t>
      </w:r>
    </w:p>
    <w:p w14:paraId="4BDB5498" w14:textId="77777777" w:rsidR="004E6C95" w:rsidRPr="00FC3BF3" w:rsidRDefault="004E6C95" w:rsidP="004E6C95">
      <w:pPr>
        <w:pStyle w:val="Geenafstand"/>
      </w:pPr>
    </w:p>
    <w:p w14:paraId="74869460" w14:textId="48DA659B" w:rsidR="004E6C95" w:rsidRDefault="004E6C95" w:rsidP="1E369E69">
      <w:pPr>
        <w:pStyle w:val="Geenafstand"/>
        <w:rPr>
          <w:rFonts w:cs="Myriad-Roman"/>
          <w:b/>
          <w:bCs/>
          <w:color w:val="FF0000"/>
        </w:rPr>
      </w:pPr>
      <w:r>
        <w:t xml:space="preserve">De mogelijke vrijstellingen voor de bovenbouw van het havo en het vwo zijn vastgelegd in het Inrichtingsbesluit WVO, artikel 26n. </w:t>
      </w:r>
    </w:p>
    <w:p w14:paraId="187F57B8" w14:textId="77777777" w:rsidR="004E6C95" w:rsidRDefault="004E6C95" w:rsidP="004E6C95">
      <w:pPr>
        <w:pStyle w:val="Geenafstand"/>
      </w:pPr>
    </w:p>
    <w:p w14:paraId="60F09856" w14:textId="77777777" w:rsidR="004E6C95" w:rsidRPr="002E19F5" w:rsidRDefault="004E6C95" w:rsidP="004E6C95">
      <w:pPr>
        <w:pStyle w:val="Geenafstand"/>
        <w:rPr>
          <w:i/>
          <w:u w:val="single"/>
        </w:rPr>
      </w:pPr>
      <w:r w:rsidRPr="002E19F5">
        <w:rPr>
          <w:i/>
          <w:u w:val="single"/>
        </w:rPr>
        <w:t>Scholengroep Carmel Hengelo conformeert zich wat betreft het verlenen van vrijstellingen aan de landelijke richtlijnen.</w:t>
      </w:r>
    </w:p>
    <w:p w14:paraId="54738AF4" w14:textId="77777777" w:rsidR="004E6C95" w:rsidRDefault="004E6C95" w:rsidP="004E6C95">
      <w:pPr>
        <w:pStyle w:val="Geenafstand"/>
      </w:pPr>
    </w:p>
    <w:p w14:paraId="480CB7FA" w14:textId="4A5B8148" w:rsidR="73693B27" w:rsidRDefault="73693B27" w:rsidP="73693B27">
      <w:pPr>
        <w:pStyle w:val="Geenafstand"/>
      </w:pPr>
    </w:p>
    <w:p w14:paraId="3CA7875B" w14:textId="432F8D1E" w:rsidR="73693B27" w:rsidRDefault="73693B27" w:rsidP="0043123D">
      <w:pPr>
        <w:pStyle w:val="Kop1"/>
      </w:pPr>
      <w:r>
        <w:br w:type="page"/>
      </w:r>
      <w:bookmarkStart w:id="6" w:name="_Toc66360405"/>
      <w:proofErr w:type="spellStart"/>
      <w:r w:rsidR="7F072873" w:rsidRPr="73693B27">
        <w:lastRenderedPageBreak/>
        <w:t>Hfst</w:t>
      </w:r>
      <w:proofErr w:type="spellEnd"/>
      <w:r w:rsidR="7F072873" w:rsidRPr="73693B27">
        <w:t>. 6</w:t>
      </w:r>
      <w:r>
        <w:tab/>
      </w:r>
      <w:r w:rsidR="7F072873" w:rsidRPr="73693B27">
        <w:t>Evaluatie en borging</w:t>
      </w:r>
      <w:bookmarkEnd w:id="6"/>
      <w:r w:rsidR="7F072873" w:rsidRPr="73693B27">
        <w:t xml:space="preserve"> </w:t>
      </w:r>
    </w:p>
    <w:p w14:paraId="6FBA8B76" w14:textId="327486E4" w:rsidR="73693B27" w:rsidRDefault="73693B27" w:rsidP="73693B27">
      <w:pPr>
        <w:pStyle w:val="Geenafstand"/>
        <w:rPr>
          <w:b/>
          <w:bCs/>
          <w:sz w:val="28"/>
          <w:szCs w:val="28"/>
        </w:rPr>
      </w:pPr>
    </w:p>
    <w:p w14:paraId="5D91B3DC" w14:textId="61D056C2" w:rsidR="73693B27" w:rsidRDefault="7FA8A2C8" w:rsidP="435E890D">
      <w:pPr>
        <w:rPr>
          <w:rFonts w:ascii="Calibri" w:eastAsia="Calibri" w:hAnsi="Calibri" w:cs="Calibri"/>
        </w:rPr>
      </w:pPr>
      <w:r w:rsidRPr="1E369E69">
        <w:rPr>
          <w:rFonts w:ascii="Calibri" w:eastAsia="Calibri" w:hAnsi="Calibri" w:cs="Calibri"/>
        </w:rPr>
        <w:t xml:space="preserve">In ieder overleg van de </w:t>
      </w:r>
      <w:r w:rsidR="64456CF5" w:rsidRPr="1E369E69">
        <w:rPr>
          <w:rFonts w:ascii="Calibri" w:eastAsia="Calibri" w:hAnsi="Calibri" w:cs="Calibri"/>
        </w:rPr>
        <w:t>W</w:t>
      </w:r>
      <w:r w:rsidRPr="1E369E69">
        <w:rPr>
          <w:rFonts w:ascii="Calibri" w:eastAsia="Calibri" w:hAnsi="Calibri" w:cs="Calibri"/>
        </w:rPr>
        <w:t xml:space="preserve">erkgroep </w:t>
      </w:r>
      <w:r w:rsidR="23D9DDAE" w:rsidRPr="1E369E69">
        <w:rPr>
          <w:rFonts w:ascii="Calibri" w:eastAsia="Calibri" w:hAnsi="Calibri" w:cs="Calibri"/>
        </w:rPr>
        <w:t>D</w:t>
      </w:r>
      <w:r w:rsidRPr="1E369E69">
        <w:rPr>
          <w:rFonts w:ascii="Calibri" w:eastAsia="Calibri" w:hAnsi="Calibri" w:cs="Calibri"/>
        </w:rPr>
        <w:t xml:space="preserve">yslexie wordt de implementatie van het beleid op de werkvloer geëvalueerd en waar nodig </w:t>
      </w:r>
      <w:r w:rsidR="2041D625" w:rsidRPr="1E369E69">
        <w:rPr>
          <w:rFonts w:ascii="Calibri" w:eastAsia="Calibri" w:hAnsi="Calibri" w:cs="Calibri"/>
        </w:rPr>
        <w:t>op de locatie</w:t>
      </w:r>
      <w:r w:rsidR="1E612DAE" w:rsidRPr="1E369E69">
        <w:rPr>
          <w:rFonts w:ascii="Calibri" w:eastAsia="Calibri" w:hAnsi="Calibri" w:cs="Calibri"/>
        </w:rPr>
        <w:t>(</w:t>
      </w:r>
      <w:r w:rsidR="2041D625" w:rsidRPr="1E369E69">
        <w:rPr>
          <w:rFonts w:ascii="Calibri" w:eastAsia="Calibri" w:hAnsi="Calibri" w:cs="Calibri"/>
        </w:rPr>
        <w:t>s</w:t>
      </w:r>
      <w:r w:rsidR="109FF592" w:rsidRPr="1E369E69">
        <w:rPr>
          <w:rFonts w:ascii="Calibri" w:eastAsia="Calibri" w:hAnsi="Calibri" w:cs="Calibri"/>
        </w:rPr>
        <w:t>)</w:t>
      </w:r>
      <w:r w:rsidR="2041D625" w:rsidRPr="1E369E69">
        <w:rPr>
          <w:rFonts w:ascii="Calibri" w:eastAsia="Calibri" w:hAnsi="Calibri" w:cs="Calibri"/>
        </w:rPr>
        <w:t xml:space="preserve"> </w:t>
      </w:r>
      <w:r w:rsidRPr="1E369E69">
        <w:rPr>
          <w:rFonts w:ascii="Calibri" w:eastAsia="Calibri" w:hAnsi="Calibri" w:cs="Calibri"/>
        </w:rPr>
        <w:t xml:space="preserve">bijgesteld. </w:t>
      </w:r>
      <w:r>
        <w:br/>
      </w:r>
      <w:r>
        <w:br/>
      </w:r>
      <w:r w:rsidR="39996314" w:rsidRPr="1E369E69">
        <w:rPr>
          <w:rFonts w:ascii="Calibri" w:eastAsia="Calibri" w:hAnsi="Calibri" w:cs="Calibri"/>
        </w:rPr>
        <w:t xml:space="preserve">De </w:t>
      </w:r>
      <w:r w:rsidR="7F283866" w:rsidRPr="1E369E69">
        <w:rPr>
          <w:rFonts w:ascii="Calibri" w:eastAsia="Calibri" w:hAnsi="Calibri" w:cs="Calibri"/>
        </w:rPr>
        <w:t>W</w:t>
      </w:r>
      <w:r w:rsidR="39996314" w:rsidRPr="1E369E69">
        <w:rPr>
          <w:rFonts w:ascii="Calibri" w:eastAsia="Calibri" w:hAnsi="Calibri" w:cs="Calibri"/>
        </w:rPr>
        <w:t xml:space="preserve">erkgroep </w:t>
      </w:r>
      <w:r w:rsidR="28CCB669" w:rsidRPr="1E369E69">
        <w:rPr>
          <w:rFonts w:ascii="Calibri" w:eastAsia="Calibri" w:hAnsi="Calibri" w:cs="Calibri"/>
        </w:rPr>
        <w:t>D</w:t>
      </w:r>
      <w:r w:rsidR="39996314" w:rsidRPr="1E369E69">
        <w:rPr>
          <w:rFonts w:ascii="Calibri" w:eastAsia="Calibri" w:hAnsi="Calibri" w:cs="Calibri"/>
        </w:rPr>
        <w:t xml:space="preserve">yslexie evalueert </w:t>
      </w:r>
      <w:r w:rsidR="1FDA3DD9" w:rsidRPr="1E369E69">
        <w:rPr>
          <w:rFonts w:ascii="Calibri" w:eastAsia="Calibri" w:hAnsi="Calibri" w:cs="Calibri"/>
        </w:rPr>
        <w:t xml:space="preserve">het beleid rondom dyslexie jaarlijks. </w:t>
      </w:r>
      <w:r w:rsidR="7C7D8390" w:rsidRPr="1E369E69">
        <w:rPr>
          <w:rFonts w:ascii="Calibri" w:eastAsia="Calibri" w:hAnsi="Calibri" w:cs="Calibri"/>
        </w:rPr>
        <w:t xml:space="preserve">Beleidsvoorstellen kunnen door de ondersteuningscoördinator worden voorgelegd aan de centrale directie. </w:t>
      </w:r>
      <w:r>
        <w:br/>
      </w:r>
      <w:r>
        <w:br/>
      </w:r>
      <w:r w:rsidR="097649F1">
        <w:t xml:space="preserve">Voor de komende drie schooljaren (2021 – 2024) zijn de volgende speerpunten geformuleerd door de </w:t>
      </w:r>
      <w:r w:rsidR="2950E88B">
        <w:t>W</w:t>
      </w:r>
      <w:r w:rsidR="097649F1">
        <w:t xml:space="preserve">erkgroep </w:t>
      </w:r>
      <w:r w:rsidR="53DB7C9F">
        <w:t>D</w:t>
      </w:r>
      <w:r w:rsidR="097649F1">
        <w:t xml:space="preserve">yslexie: </w:t>
      </w:r>
    </w:p>
    <w:p w14:paraId="2BBA448F" w14:textId="0B23FEAE" w:rsidR="73693B27" w:rsidRDefault="7E8A26AF" w:rsidP="435E890D">
      <w:pPr>
        <w:pStyle w:val="Lijstalinea"/>
        <w:numPr>
          <w:ilvl w:val="0"/>
          <w:numId w:val="1"/>
        </w:numPr>
        <w:rPr>
          <w:rFonts w:eastAsiaTheme="minorEastAsia"/>
        </w:rPr>
      </w:pPr>
      <w:r w:rsidRPr="435E890D">
        <w:t>Alle docenten kunnen dyslectische leerlingen die zij in de klas hebben</w:t>
      </w:r>
      <w:r w:rsidR="05DB52A2" w:rsidRPr="435E890D">
        <w:t xml:space="preserve"> </w:t>
      </w:r>
      <w:r w:rsidRPr="435E890D">
        <w:t>die begeleiding en sociaal-emotionele ondersteuning geven die zij voor h</w:t>
      </w:r>
      <w:r w:rsidR="5885865D" w:rsidRPr="435E890D">
        <w:t>et</w:t>
      </w:r>
      <w:r w:rsidRPr="435E890D">
        <w:t xml:space="preserve"> vak nodig hebben. </w:t>
      </w:r>
    </w:p>
    <w:p w14:paraId="39A0C9A3" w14:textId="72B599DE" w:rsidR="73693B27" w:rsidRDefault="7E8A26AF" w:rsidP="435E890D">
      <w:pPr>
        <w:pStyle w:val="Lijstalinea"/>
        <w:numPr>
          <w:ilvl w:val="0"/>
          <w:numId w:val="1"/>
        </w:numPr>
      </w:pPr>
      <w:r>
        <w:t>Docenten kennen de signalen van dyslexie en weten waar zij deze signalen kunnen neerleggen</w:t>
      </w:r>
      <w:r w:rsidR="58E4CA94">
        <w:t>.</w:t>
      </w:r>
    </w:p>
    <w:p w14:paraId="0DB9C5D3" w14:textId="1E2EBDF0" w:rsidR="73693B27" w:rsidRDefault="3746613B" w:rsidP="435E890D">
      <w:pPr>
        <w:pStyle w:val="Lijstalinea"/>
        <w:numPr>
          <w:ilvl w:val="0"/>
          <w:numId w:val="1"/>
        </w:numPr>
      </w:pPr>
      <w:r w:rsidRPr="435E890D">
        <w:t>Het o</w:t>
      </w:r>
      <w:r w:rsidR="7E8A26AF" w:rsidRPr="435E890D">
        <w:t>ptimaliseren van de individuele hulp die wordt geboden door de betrokken logopediepraktijk</w:t>
      </w:r>
      <w:r w:rsidR="09A94671" w:rsidRPr="435E890D">
        <w:t xml:space="preserve">. </w:t>
      </w:r>
      <w:r w:rsidR="73693B27">
        <w:br/>
      </w:r>
    </w:p>
    <w:p w14:paraId="33DB4168" w14:textId="6E2567F7" w:rsidR="73693B27" w:rsidRDefault="73693B27" w:rsidP="73693B27">
      <w:pPr>
        <w:pStyle w:val="Geenafstand"/>
        <w:rPr>
          <w:rFonts w:ascii="Calibri" w:eastAsia="Calibri" w:hAnsi="Calibri" w:cs="Calibri"/>
          <w:sz w:val="28"/>
          <w:szCs w:val="28"/>
        </w:rPr>
      </w:pPr>
      <w:r>
        <w:br/>
      </w:r>
      <w:r>
        <w:br/>
      </w:r>
      <w:r>
        <w:br/>
      </w:r>
    </w:p>
    <w:p w14:paraId="00689B6A" w14:textId="53A6841C" w:rsidR="73693B27" w:rsidRDefault="73693B27" w:rsidP="73693B27"/>
    <w:p w14:paraId="027B7865" w14:textId="6B4F38C2" w:rsidR="73693B27" w:rsidRDefault="73693B27" w:rsidP="73693B27">
      <w:pPr>
        <w:pStyle w:val="Geenafstand"/>
      </w:pPr>
    </w:p>
    <w:p w14:paraId="46ABBD8F" w14:textId="77777777" w:rsidR="004E6C95" w:rsidRDefault="004E6C95" w:rsidP="004E6C95">
      <w:pPr>
        <w:pStyle w:val="Geenafstand"/>
        <w:rPr>
          <w:rFonts w:cs="Myriad-Roman"/>
        </w:rPr>
      </w:pPr>
    </w:p>
    <w:p w14:paraId="06BBA33E" w14:textId="77777777" w:rsidR="004E6C95" w:rsidRDefault="004E6C95">
      <w:pPr>
        <w:rPr>
          <w:b/>
          <w:sz w:val="28"/>
          <w:szCs w:val="28"/>
        </w:rPr>
      </w:pPr>
      <w:r>
        <w:rPr>
          <w:b/>
          <w:sz w:val="28"/>
          <w:szCs w:val="28"/>
        </w:rPr>
        <w:br w:type="page"/>
      </w:r>
    </w:p>
    <w:p w14:paraId="55040281" w14:textId="446ED5BC" w:rsidR="004E6C95" w:rsidRPr="002719E7" w:rsidRDefault="004E6C95" w:rsidP="1E369E69">
      <w:pPr>
        <w:rPr>
          <w:i/>
          <w:iCs/>
          <w:sz w:val="28"/>
          <w:szCs w:val="28"/>
          <w:lang w:eastAsia="nl-NL"/>
        </w:rPr>
      </w:pPr>
      <w:bookmarkStart w:id="7" w:name="_Toc66360406"/>
      <w:r w:rsidRPr="0043123D">
        <w:rPr>
          <w:rStyle w:val="Kop1Char"/>
        </w:rPr>
        <w:lastRenderedPageBreak/>
        <w:t>Literatuur</w:t>
      </w:r>
      <w:r w:rsidR="76E6C4E5" w:rsidRPr="0043123D">
        <w:rPr>
          <w:rStyle w:val="Kop1Char"/>
        </w:rPr>
        <w:t>lijst</w:t>
      </w:r>
      <w:bookmarkEnd w:id="7"/>
      <w:r w:rsidRPr="0043123D">
        <w:rPr>
          <w:rStyle w:val="Kop1Char"/>
        </w:rPr>
        <w:br/>
      </w:r>
      <w:r w:rsidR="0043123D">
        <w:rPr>
          <w:sz w:val="28"/>
          <w:szCs w:val="28"/>
        </w:rPr>
        <w:br/>
      </w:r>
      <w:r w:rsidRPr="1E369E69">
        <w:rPr>
          <w:sz w:val="28"/>
          <w:szCs w:val="28"/>
        </w:rPr>
        <w:t>Protocol dyslexie voortgezet onderwijs – Masterplan Dyslexie 201</w:t>
      </w:r>
      <w:r w:rsidR="710460A3" w:rsidRPr="1E369E69">
        <w:rPr>
          <w:sz w:val="28"/>
          <w:szCs w:val="28"/>
        </w:rPr>
        <w:t>3</w:t>
      </w:r>
      <w:r>
        <w:br/>
      </w:r>
      <w:r>
        <w:br/>
      </w:r>
      <w:r w:rsidRPr="1E369E69">
        <w:rPr>
          <w:sz w:val="28"/>
          <w:szCs w:val="28"/>
        </w:rPr>
        <w:t>Ondersteuningsroute Scholengroep Carmel Hengelo</w:t>
      </w:r>
      <w:r>
        <w:br/>
      </w:r>
      <w:r>
        <w:br/>
      </w:r>
      <w:r w:rsidRPr="1E369E69">
        <w:rPr>
          <w:sz w:val="28"/>
          <w:szCs w:val="28"/>
          <w:lang w:eastAsia="nl-NL"/>
        </w:rPr>
        <w:t>Diagnose en behandeling van dyslexie</w:t>
      </w:r>
      <w:r>
        <w:br/>
      </w:r>
      <w:r w:rsidRPr="1E369E69">
        <w:rPr>
          <w:sz w:val="28"/>
          <w:szCs w:val="28"/>
          <w:lang w:eastAsia="nl-NL"/>
        </w:rPr>
        <w:t xml:space="preserve">Brochure van de Stichting Dyslexie Nederland (SDN)    </w:t>
      </w:r>
      <w:r>
        <w:br/>
      </w:r>
      <w:r w:rsidRPr="1E369E69">
        <w:rPr>
          <w:i/>
          <w:iCs/>
          <w:sz w:val="28"/>
          <w:szCs w:val="28"/>
          <w:lang w:eastAsia="nl-NL"/>
        </w:rPr>
        <w:t>Herziene versie, 200</w:t>
      </w:r>
      <w:r w:rsidR="79A42AE0" w:rsidRPr="1E369E69">
        <w:rPr>
          <w:i/>
          <w:iCs/>
          <w:sz w:val="28"/>
          <w:szCs w:val="28"/>
          <w:lang w:eastAsia="nl-NL"/>
        </w:rPr>
        <w:t>8</w:t>
      </w:r>
      <w:r>
        <w:br/>
      </w:r>
    </w:p>
    <w:p w14:paraId="77E5ED03" w14:textId="32409698" w:rsidR="004E6C95" w:rsidRPr="002719E7" w:rsidRDefault="004E6C95" w:rsidP="1E369E69">
      <w:pPr>
        <w:rPr>
          <w:sz w:val="28"/>
          <w:szCs w:val="28"/>
        </w:rPr>
      </w:pPr>
      <w:r w:rsidRPr="1E369E69">
        <w:rPr>
          <w:sz w:val="28"/>
          <w:szCs w:val="28"/>
        </w:rPr>
        <w:t xml:space="preserve">Protocol Dyslexie en Behandeling - </w:t>
      </w:r>
      <w:proofErr w:type="spellStart"/>
      <w:r w:rsidRPr="1E369E69">
        <w:rPr>
          <w:sz w:val="28"/>
          <w:szCs w:val="28"/>
        </w:rPr>
        <w:t>Blomert</w:t>
      </w:r>
      <w:proofErr w:type="spellEnd"/>
      <w:r w:rsidRPr="1E369E69">
        <w:rPr>
          <w:sz w:val="28"/>
          <w:szCs w:val="28"/>
        </w:rPr>
        <w:t xml:space="preserve"> 2006</w:t>
      </w:r>
    </w:p>
    <w:p w14:paraId="0DA123B1" w14:textId="77777777" w:rsidR="004E6C95" w:rsidRPr="002719E7" w:rsidRDefault="004E6C95" w:rsidP="004E6C95">
      <w:pPr>
        <w:rPr>
          <w:rFonts w:ascii="Cambria,Bold" w:hAnsi="Cambria,Bold" w:cs="Cambria,Bold"/>
          <w:bCs/>
          <w:color w:val="000000"/>
        </w:rPr>
      </w:pPr>
      <w:r w:rsidRPr="002719E7">
        <w:rPr>
          <w:rFonts w:ascii="Cambria,Bold" w:hAnsi="Cambria,Bold" w:cs="Cambria,Bold"/>
          <w:bCs/>
          <w:color w:val="000000"/>
        </w:rPr>
        <w:br w:type="page"/>
      </w:r>
    </w:p>
    <w:p w14:paraId="524F1A5B" w14:textId="30B02908" w:rsidR="00123AD4" w:rsidRDefault="00123AD4" w:rsidP="0043123D">
      <w:pPr>
        <w:pStyle w:val="Kop1"/>
        <w:rPr>
          <w:color w:val="000000"/>
        </w:rPr>
      </w:pPr>
      <w:bookmarkStart w:id="8" w:name="_Toc66360407"/>
      <w:r w:rsidRPr="1E369E69">
        <w:lastRenderedPageBreak/>
        <w:t xml:space="preserve">Bijlage </w:t>
      </w:r>
      <w:r w:rsidR="653F981F" w:rsidRPr="1E369E69">
        <w:t>A</w:t>
      </w:r>
      <w:bookmarkEnd w:id="8"/>
    </w:p>
    <w:p w14:paraId="4C4CEA3D" w14:textId="77777777" w:rsidR="00123AD4" w:rsidRDefault="00123AD4" w:rsidP="004E6C95">
      <w:pPr>
        <w:autoSpaceDE w:val="0"/>
        <w:autoSpaceDN w:val="0"/>
        <w:adjustRightInd w:val="0"/>
        <w:spacing w:after="0" w:line="240" w:lineRule="auto"/>
        <w:rPr>
          <w:rFonts w:cs="Cambria,Bold"/>
          <w:b/>
          <w:bCs/>
          <w:color w:val="000000"/>
          <w:sz w:val="28"/>
          <w:szCs w:val="28"/>
        </w:rPr>
      </w:pPr>
    </w:p>
    <w:p w14:paraId="22189879" w14:textId="676D2CDA" w:rsidR="004E6C95" w:rsidRPr="006A5C70" w:rsidRDefault="653F981F" w:rsidP="1E369E69">
      <w:pPr>
        <w:autoSpaceDE w:val="0"/>
        <w:autoSpaceDN w:val="0"/>
        <w:adjustRightInd w:val="0"/>
        <w:spacing w:after="0" w:line="240" w:lineRule="auto"/>
        <w:rPr>
          <w:rFonts w:cs="Cambria,Bold"/>
          <w:b/>
          <w:bCs/>
          <w:color w:val="000000"/>
        </w:rPr>
      </w:pPr>
      <w:r w:rsidRPr="1E369E69">
        <w:rPr>
          <w:rFonts w:cs="Cambria,Bold"/>
          <w:b/>
          <w:bCs/>
          <w:color w:val="000000" w:themeColor="text1"/>
        </w:rPr>
        <w:t xml:space="preserve">Bruikbare </w:t>
      </w:r>
      <w:r w:rsidR="004E6C95" w:rsidRPr="1E369E69">
        <w:rPr>
          <w:rFonts w:cs="Cambria,Bold"/>
          <w:b/>
          <w:bCs/>
          <w:color w:val="000000" w:themeColor="text1"/>
        </w:rPr>
        <w:t>websites</w:t>
      </w:r>
    </w:p>
    <w:p w14:paraId="50895670" w14:textId="77777777" w:rsidR="004E6C95" w:rsidRDefault="004E6C95" w:rsidP="004E6C95">
      <w:pPr>
        <w:autoSpaceDE w:val="0"/>
        <w:autoSpaceDN w:val="0"/>
        <w:adjustRightInd w:val="0"/>
        <w:spacing w:after="0" w:line="240" w:lineRule="auto"/>
        <w:rPr>
          <w:rFonts w:ascii="Cambria,Bold" w:hAnsi="Cambria,Bold" w:cs="Cambria,Bold"/>
          <w:b/>
          <w:bCs/>
          <w:color w:val="000000"/>
        </w:rPr>
      </w:pPr>
    </w:p>
    <w:p w14:paraId="5B870EA5" w14:textId="73B01274" w:rsidR="004E6C95" w:rsidRPr="006A5C70" w:rsidRDefault="0AFA42CB" w:rsidP="594C68E2">
      <w:pPr>
        <w:autoSpaceDE w:val="0"/>
        <w:autoSpaceDN w:val="0"/>
        <w:adjustRightInd w:val="0"/>
        <w:spacing w:after="0" w:line="240" w:lineRule="auto"/>
        <w:rPr>
          <w:rFonts w:cs="Cambria"/>
          <w:color w:val="000000"/>
        </w:rPr>
      </w:pPr>
      <w:r w:rsidRPr="594C68E2">
        <w:rPr>
          <w:rFonts w:cs="Cambria"/>
          <w:color w:val="000000" w:themeColor="text1"/>
        </w:rPr>
        <w:t xml:space="preserve">DYSLEXIEHULPMIDDELEN – </w:t>
      </w:r>
      <w:hyperlink r:id="rId10">
        <w:r w:rsidR="5516715C" w:rsidRPr="594C68E2">
          <w:rPr>
            <w:rStyle w:val="Hyperlink"/>
            <w:rFonts w:cs="Cambria"/>
          </w:rPr>
          <w:t>www.dyslexiehulpmiddelen.com</w:t>
        </w:r>
      </w:hyperlink>
      <w:r w:rsidR="5516715C" w:rsidRPr="594C68E2">
        <w:rPr>
          <w:rFonts w:cs="Cambria"/>
          <w:color w:val="000000" w:themeColor="text1"/>
        </w:rPr>
        <w:t xml:space="preserve"> - </w:t>
      </w:r>
      <w:r w:rsidRPr="594C68E2">
        <w:rPr>
          <w:rFonts w:cs="Cambria"/>
          <w:color w:val="000000" w:themeColor="text1"/>
        </w:rPr>
        <w:t xml:space="preserve">informatieve website over dyslexiehulpmiddelen en hoe ze optimaal te gebruiken </w:t>
      </w:r>
      <w:r w:rsidR="004E6C95">
        <w:br/>
      </w:r>
      <w:r w:rsidR="004E6C95">
        <w:br/>
      </w:r>
      <w:r w:rsidR="0B9FBE73" w:rsidRPr="594C68E2">
        <w:rPr>
          <w:rFonts w:cs="Cambria"/>
          <w:color w:val="000000" w:themeColor="text1"/>
        </w:rPr>
        <w:t>DYSLEXIECENTRAAL – informatie website over leesproblemen en dyslexie in het onderwijs en de zorg</w:t>
      </w:r>
      <w:r w:rsidR="004E6C95">
        <w:br/>
      </w:r>
      <w:r w:rsidR="004E6C95">
        <w:br/>
      </w:r>
      <w:r w:rsidR="004E6C95" w:rsidRPr="594C68E2">
        <w:rPr>
          <w:rFonts w:cs="Cambria"/>
          <w:color w:val="000000" w:themeColor="text1"/>
        </w:rPr>
        <w:t>BALANS - oudervereniging voor kinderen met leer-, ontwikkelings- en gedragsstoornissen -</w:t>
      </w:r>
    </w:p>
    <w:p w14:paraId="2A59D828" w14:textId="77777777" w:rsidR="004E6C95" w:rsidRPr="006A5C70" w:rsidRDefault="004E6C95" w:rsidP="004E6C95">
      <w:pPr>
        <w:autoSpaceDE w:val="0"/>
        <w:autoSpaceDN w:val="0"/>
        <w:adjustRightInd w:val="0"/>
        <w:spacing w:after="0" w:line="240" w:lineRule="auto"/>
        <w:rPr>
          <w:rFonts w:cs="Cambria"/>
          <w:color w:val="000000"/>
        </w:rPr>
      </w:pPr>
      <w:r w:rsidRPr="006A5C70">
        <w:rPr>
          <w:rFonts w:cs="Cambria"/>
          <w:color w:val="0000FF"/>
        </w:rPr>
        <w:t xml:space="preserve">www.steunpuntdyslexie.nl </w:t>
      </w:r>
      <w:r w:rsidRPr="006A5C70">
        <w:rPr>
          <w:rFonts w:cs="Cambria"/>
          <w:color w:val="000000"/>
        </w:rPr>
        <w:t>of via 0900 – 2020065 beantwoordt de helpdesk vragen over diagnose, behandeling en aanpak van dyslexie thuis of op school.</w:t>
      </w:r>
    </w:p>
    <w:p w14:paraId="7C0B80BB" w14:textId="7AD53C62" w:rsidR="004E6C95" w:rsidRDefault="004E6C95" w:rsidP="594C68E2">
      <w:pPr>
        <w:pStyle w:val="mtop"/>
        <w:spacing w:after="0"/>
        <w:rPr>
          <w:rFonts w:asciiTheme="minorHAnsi" w:hAnsiTheme="minorHAnsi"/>
          <w:sz w:val="22"/>
          <w:szCs w:val="22"/>
        </w:rPr>
      </w:pPr>
      <w:r>
        <w:br/>
      </w:r>
      <w:r w:rsidRPr="594C68E2">
        <w:rPr>
          <w:rFonts w:asciiTheme="minorHAnsi" w:hAnsiTheme="minorHAnsi"/>
          <w:sz w:val="22"/>
          <w:szCs w:val="22"/>
        </w:rPr>
        <w:t xml:space="preserve">EXAMENBLAD  - </w:t>
      </w:r>
      <w:hyperlink r:id="rId11">
        <w:r w:rsidRPr="594C68E2">
          <w:rPr>
            <w:rStyle w:val="Hyperlink"/>
            <w:rFonts w:asciiTheme="minorHAnsi" w:hAnsiTheme="minorHAnsi"/>
            <w:sz w:val="22"/>
            <w:szCs w:val="22"/>
          </w:rPr>
          <w:t>https://www.examenblad.nl/onderwerp/kandidaten-met-een-beperking/20</w:t>
        </w:r>
      </w:hyperlink>
      <w:r w:rsidRPr="594C68E2">
        <w:rPr>
          <w:rFonts w:asciiTheme="minorHAnsi" w:hAnsiTheme="minorHAnsi"/>
          <w:sz w:val="22"/>
          <w:szCs w:val="22"/>
        </w:rPr>
        <w:t xml:space="preserve"> ..  ..</w:t>
      </w:r>
    </w:p>
    <w:p w14:paraId="30DCCCAD" w14:textId="7E3E3BD1" w:rsidR="004E6C95" w:rsidRPr="002719E7" w:rsidRDefault="004E6C95" w:rsidP="004E6C95">
      <w:pPr>
        <w:pStyle w:val="Geenafstand"/>
        <w:rPr>
          <w:rFonts w:cs="Myriad-Roman"/>
        </w:rPr>
      </w:pPr>
      <w:r>
        <w:br/>
      </w:r>
    </w:p>
    <w:p w14:paraId="331C5D78" w14:textId="71032C47" w:rsidR="73693B27" w:rsidRDefault="73693B27" w:rsidP="594C68E2">
      <w:pPr>
        <w:rPr>
          <w:rFonts w:cs="Myriad-Roman"/>
        </w:rPr>
      </w:pPr>
    </w:p>
    <w:p w14:paraId="3494ADA8" w14:textId="680F37D0" w:rsidR="1E369E69" w:rsidRDefault="1E369E69" w:rsidP="1E369E69">
      <w:pPr>
        <w:rPr>
          <w:rFonts w:cs="Myriad-Roman"/>
        </w:rPr>
      </w:pPr>
    </w:p>
    <w:p w14:paraId="13C3B51F" w14:textId="759258AD" w:rsidR="1E369E69" w:rsidRDefault="1E369E69" w:rsidP="1E369E69">
      <w:pPr>
        <w:rPr>
          <w:rFonts w:cs="Myriad-Roman"/>
        </w:rPr>
      </w:pPr>
    </w:p>
    <w:p w14:paraId="506E8C58" w14:textId="4A1F0C65" w:rsidR="1E369E69" w:rsidRDefault="1E369E69" w:rsidP="1E369E69">
      <w:pPr>
        <w:rPr>
          <w:rFonts w:cs="Myriad-Roman"/>
        </w:rPr>
      </w:pPr>
    </w:p>
    <w:p w14:paraId="2C146DB4" w14:textId="73C89827" w:rsidR="1E369E69" w:rsidRDefault="1E369E69" w:rsidP="1E369E69">
      <w:pPr>
        <w:rPr>
          <w:rFonts w:cs="Myriad-Roman"/>
        </w:rPr>
      </w:pPr>
    </w:p>
    <w:p w14:paraId="2BFDDA71" w14:textId="7D176DE7" w:rsidR="1E369E69" w:rsidRDefault="1E369E69" w:rsidP="1E369E69">
      <w:pPr>
        <w:rPr>
          <w:rFonts w:cs="Myriad-Roman"/>
        </w:rPr>
      </w:pPr>
    </w:p>
    <w:p w14:paraId="5437FB41" w14:textId="1AE83013" w:rsidR="1E369E69" w:rsidRDefault="1E369E69" w:rsidP="1E369E69">
      <w:pPr>
        <w:rPr>
          <w:rFonts w:cs="Myriad-Roman"/>
        </w:rPr>
      </w:pPr>
    </w:p>
    <w:p w14:paraId="28EE4BA7" w14:textId="24204E44" w:rsidR="1E369E69" w:rsidRDefault="1E369E69" w:rsidP="1E369E69">
      <w:pPr>
        <w:rPr>
          <w:rFonts w:cs="Myriad-Roman"/>
        </w:rPr>
      </w:pPr>
    </w:p>
    <w:p w14:paraId="7D4D4F6F" w14:textId="1CB5BDDC" w:rsidR="1E369E69" w:rsidRDefault="1E369E69">
      <w:r>
        <w:br w:type="page"/>
      </w:r>
    </w:p>
    <w:p w14:paraId="6B1D3C67" w14:textId="6AE6A71B" w:rsidR="1F20BB19" w:rsidRDefault="1F20BB19" w:rsidP="0043123D">
      <w:pPr>
        <w:pStyle w:val="Kop1"/>
      </w:pPr>
      <w:bookmarkStart w:id="9" w:name="_Toc66360408"/>
      <w:r w:rsidRPr="1E369E69">
        <w:lastRenderedPageBreak/>
        <w:t xml:space="preserve">Bijlage </w:t>
      </w:r>
      <w:r w:rsidR="53143937" w:rsidRPr="1E369E69">
        <w:t>B</w:t>
      </w:r>
      <w:bookmarkEnd w:id="9"/>
    </w:p>
    <w:p w14:paraId="6F2941A5" w14:textId="06DFF26B" w:rsidR="1F20BB19" w:rsidRDefault="0043123D" w:rsidP="1E369E69">
      <w:pPr>
        <w:rPr>
          <w:b/>
          <w:bCs/>
        </w:rPr>
      </w:pPr>
      <w:r>
        <w:rPr>
          <w:b/>
          <w:bCs/>
        </w:rPr>
        <w:br/>
      </w:r>
      <w:r w:rsidR="1F20BB19" w:rsidRPr="1E369E69">
        <w:rPr>
          <w:b/>
          <w:bCs/>
        </w:rPr>
        <w:t>TAKEN DYSLEXIECOORDINATOR</w:t>
      </w:r>
    </w:p>
    <w:p w14:paraId="4602166E" w14:textId="4409BA23" w:rsidR="1F20BB19" w:rsidRDefault="1F20BB19">
      <w:r>
        <w:t xml:space="preserve">In het dyslexie protocol ‘handboek intern gebruik’ van Scholengroep Carmel Hengelo (SCH) zijn de taken van de dyslexie-coördinator opgenomen in de bijlage onder het hoofdstuk     </w:t>
      </w:r>
    </w:p>
    <w:p w14:paraId="3A98CABB" w14:textId="30DB490E" w:rsidR="1F20BB19" w:rsidRDefault="1F20BB19">
      <w:r>
        <w:t xml:space="preserve">“JAARPLANNING EN TAKEN DYSLEXIE COORDINATOR” </w:t>
      </w:r>
    </w:p>
    <w:p w14:paraId="1932C749" w14:textId="77777777" w:rsidR="1F20BB19" w:rsidRDefault="1F20BB19">
      <w:r>
        <w:t>Uitgangspunt, vertrekpunt van handelen van de dyslexie-coördinator is altijd de ONDERSTEUNINGSROUTE</w:t>
      </w:r>
      <w:r w:rsidRPr="1E369E69">
        <w:rPr>
          <w:b/>
          <w:bCs/>
          <w:i/>
          <w:iCs/>
        </w:rPr>
        <w:t xml:space="preserve"> </w:t>
      </w:r>
      <w:r>
        <w:t xml:space="preserve">en de daarin beschreven ONDERSTEUNINGSNIVEAUS </w:t>
      </w:r>
    </w:p>
    <w:p w14:paraId="41B8B69B" w14:textId="77777777" w:rsidR="1E369E69" w:rsidRDefault="1E369E69" w:rsidP="1E369E69">
      <w:pPr>
        <w:pStyle w:val="Geenafstand"/>
        <w:rPr>
          <w:b/>
          <w:bCs/>
          <w:sz w:val="8"/>
          <w:szCs w:val="8"/>
        </w:rPr>
      </w:pPr>
    </w:p>
    <w:p w14:paraId="53A261DB" w14:textId="1B02C3E7" w:rsidR="1F20BB19" w:rsidRDefault="1F20BB19" w:rsidP="1E369E69">
      <w:pPr>
        <w:pStyle w:val="Geenafstand"/>
      </w:pPr>
      <w:r>
        <w:t xml:space="preserve">De dyslexie-coördinator zorgt ervoor dat dyslexie in het algemeen en de leerling met dyslexie en met lees- en spellingsproblemen in het bijzonder in beeld blijven bij de werknemers van de school. </w:t>
      </w:r>
    </w:p>
    <w:p w14:paraId="5666440C" w14:textId="55CADD06" w:rsidR="1F20BB19" w:rsidRDefault="1F20BB19" w:rsidP="1E369E69">
      <w:pPr>
        <w:pStyle w:val="Geenafstand"/>
      </w:pPr>
      <w:r>
        <w:t>Hij is het aanspreekpunt voor leerlingen en mentoren en voor de directie wanneer er vragen zijn m.b.t. dyslexie, inventariseert deze en coördineert activiteiten in het kader van dyslexie. Hij stelt  o.a. samen met de leerling de dyslexiepassen op, zet ouders en leerlingen op het spoor van het dyslexieonderzoek wanneer de signalering van problematiek daarom vraagt.</w:t>
      </w:r>
    </w:p>
    <w:p w14:paraId="6A841ADC" w14:textId="77777777" w:rsidR="1E369E69" w:rsidRDefault="1E369E69" w:rsidP="1E369E69">
      <w:pPr>
        <w:pStyle w:val="Geenafstand"/>
      </w:pPr>
    </w:p>
    <w:p w14:paraId="7B060439" w14:textId="2F15B20C" w:rsidR="1F20BB19" w:rsidRDefault="1F20BB19" w:rsidP="1E369E69">
      <w:pPr>
        <w:pStyle w:val="Geenafstand"/>
      </w:pPr>
      <w:r>
        <w:t>De dyslexiecoördinator maakt deel uit van de werkgroep dyslexie van de school. Deze werkgroep biedt aan de coördinatoren o.a. de gelegenheid elkaar te kunnen consulteren en ontwikkeling aangaande dyslexie te bespreken. Deelnemers aan dit overleg zijn de dyslexie-coördinatoren, een ondersteuningscoördinator en een orthopedagoog.  De werkgroep komt gemiddeld 6 x per jaar bij elkaar.</w:t>
      </w:r>
    </w:p>
    <w:p w14:paraId="137C98A8" w14:textId="77777777" w:rsidR="1E369E69" w:rsidRDefault="1E369E69"/>
    <w:p w14:paraId="381E0C7E" w14:textId="784F3155" w:rsidR="1F20BB19" w:rsidRDefault="1F20BB19">
      <w:r>
        <w:t xml:space="preserve">Uitgangspunt van handelen is altijd ervoor te zorgen dat een leerling aan de drie psychologische basisbehoeften (E. </w:t>
      </w:r>
      <w:proofErr w:type="spellStart"/>
      <w:r>
        <w:t>Deci</w:t>
      </w:r>
      <w:proofErr w:type="spellEnd"/>
      <w:r>
        <w:t xml:space="preserve"> en R.M. Ryan / L. Stevens) die iedereen eigen zijn, kan voldoen te weten: de behoefte aan relatie, competentie en autonomie  (zie </w:t>
      </w:r>
      <w:proofErr w:type="spellStart"/>
      <w:r>
        <w:t>hfdstuk</w:t>
      </w:r>
      <w:proofErr w:type="spellEnd"/>
      <w:r>
        <w:t xml:space="preserve"> 4)</w:t>
      </w:r>
    </w:p>
    <w:p w14:paraId="2EF130C8" w14:textId="7F6C00A7" w:rsidR="1E369E69" w:rsidRDefault="1E369E69" w:rsidP="1E369E69">
      <w:pPr>
        <w:rPr>
          <w:rFonts w:cs="Myriad-Roman"/>
        </w:rPr>
      </w:pPr>
    </w:p>
    <w:sectPr w:rsidR="1E369E69" w:rsidSect="004E6C95">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157D6" w14:textId="77777777" w:rsidR="004E6C95" w:rsidRDefault="004E6C95" w:rsidP="004E6C95">
      <w:pPr>
        <w:spacing w:after="0" w:line="240" w:lineRule="auto"/>
      </w:pPr>
      <w:r>
        <w:separator/>
      </w:r>
    </w:p>
  </w:endnote>
  <w:endnote w:type="continuationSeparator" w:id="0">
    <w:p w14:paraId="3691E7B2" w14:textId="77777777" w:rsidR="004E6C95" w:rsidRDefault="004E6C95" w:rsidP="004E6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yriad-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Roman">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Bold">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149111"/>
      <w:docPartObj>
        <w:docPartGallery w:val="Page Numbers (Bottom of Page)"/>
        <w:docPartUnique/>
      </w:docPartObj>
    </w:sdtPr>
    <w:sdtEndPr/>
    <w:sdtContent>
      <w:p w14:paraId="1569C969" w14:textId="0A743F88" w:rsidR="004E6C95" w:rsidRDefault="1E369E69" w:rsidP="005B5BFD">
        <w:pPr>
          <w:pStyle w:val="Voettekst"/>
          <w:jc w:val="center"/>
        </w:pPr>
        <w:r>
          <w:t xml:space="preserve">                                                                                                         </w:t>
        </w:r>
        <w:r w:rsidR="594C68E2">
          <w:fldChar w:fldCharType="begin"/>
        </w:r>
        <w:r w:rsidR="594C68E2">
          <w:instrText>PAGE</w:instrText>
        </w:r>
        <w:r w:rsidR="594C68E2">
          <w:fldChar w:fldCharType="separate"/>
        </w:r>
        <w:r w:rsidR="004322A2">
          <w:rPr>
            <w:noProof/>
          </w:rPr>
          <w:t>2</w:t>
        </w:r>
        <w:r w:rsidR="594C68E2">
          <w:fldChar w:fldCharType="end"/>
        </w:r>
      </w:p>
    </w:sdtContent>
  </w:sdt>
  <w:p w14:paraId="526770CE" w14:textId="77777777" w:rsidR="004E6C95" w:rsidRDefault="004E6C9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E369E69" w14:paraId="0010CD89" w14:textId="77777777" w:rsidTr="1E369E69">
      <w:tc>
        <w:tcPr>
          <w:tcW w:w="3020" w:type="dxa"/>
        </w:tcPr>
        <w:p w14:paraId="5B6149CE" w14:textId="216023F4" w:rsidR="1E369E69" w:rsidRDefault="1E369E69" w:rsidP="1E369E69">
          <w:pPr>
            <w:pStyle w:val="Koptekst"/>
            <w:ind w:left="-115"/>
          </w:pPr>
        </w:p>
      </w:tc>
      <w:tc>
        <w:tcPr>
          <w:tcW w:w="3020" w:type="dxa"/>
        </w:tcPr>
        <w:p w14:paraId="2CBCC81F" w14:textId="79FA0BAE" w:rsidR="1E369E69" w:rsidRDefault="1E369E69" w:rsidP="1E369E69">
          <w:pPr>
            <w:pStyle w:val="Koptekst"/>
            <w:jc w:val="center"/>
          </w:pPr>
        </w:p>
      </w:tc>
      <w:tc>
        <w:tcPr>
          <w:tcW w:w="3020" w:type="dxa"/>
        </w:tcPr>
        <w:p w14:paraId="633BF556" w14:textId="37BF20CA" w:rsidR="1E369E69" w:rsidRDefault="1E369E69" w:rsidP="1E369E69">
          <w:pPr>
            <w:pStyle w:val="Koptekst"/>
            <w:ind w:right="-115"/>
            <w:jc w:val="right"/>
          </w:pPr>
        </w:p>
      </w:tc>
    </w:tr>
  </w:tbl>
  <w:p w14:paraId="152C93F1" w14:textId="7642D373" w:rsidR="1E369E69" w:rsidRDefault="1E369E69" w:rsidP="1E369E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EED82" w14:textId="77777777" w:rsidR="004E6C95" w:rsidRDefault="004E6C95" w:rsidP="004E6C95">
      <w:pPr>
        <w:spacing w:after="0" w:line="240" w:lineRule="auto"/>
      </w:pPr>
      <w:r>
        <w:separator/>
      </w:r>
    </w:p>
  </w:footnote>
  <w:footnote w:type="continuationSeparator" w:id="0">
    <w:p w14:paraId="6E36661F" w14:textId="77777777" w:rsidR="004E6C95" w:rsidRDefault="004E6C95" w:rsidP="004E6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E369E69" w14:paraId="29844079" w14:textId="77777777" w:rsidTr="1E369E69">
      <w:tc>
        <w:tcPr>
          <w:tcW w:w="3020" w:type="dxa"/>
        </w:tcPr>
        <w:p w14:paraId="03301533" w14:textId="5EAE8EE8" w:rsidR="1E369E69" w:rsidRDefault="1E369E69" w:rsidP="1E369E69">
          <w:pPr>
            <w:pStyle w:val="Koptekst"/>
            <w:ind w:left="-115"/>
          </w:pPr>
        </w:p>
      </w:tc>
      <w:tc>
        <w:tcPr>
          <w:tcW w:w="3020" w:type="dxa"/>
        </w:tcPr>
        <w:p w14:paraId="549C0E8D" w14:textId="5703A89E" w:rsidR="1E369E69" w:rsidRDefault="1E369E69" w:rsidP="1E369E69">
          <w:pPr>
            <w:pStyle w:val="Koptekst"/>
            <w:jc w:val="center"/>
          </w:pPr>
        </w:p>
      </w:tc>
      <w:tc>
        <w:tcPr>
          <w:tcW w:w="3020" w:type="dxa"/>
        </w:tcPr>
        <w:p w14:paraId="4CE273D1" w14:textId="5E1137C3" w:rsidR="1E369E69" w:rsidRDefault="1E369E69" w:rsidP="1E369E69">
          <w:pPr>
            <w:pStyle w:val="Koptekst"/>
            <w:ind w:right="-115"/>
            <w:jc w:val="right"/>
          </w:pPr>
        </w:p>
      </w:tc>
    </w:tr>
  </w:tbl>
  <w:p w14:paraId="43AD9E39" w14:textId="6B2C5753" w:rsidR="1E369E69" w:rsidRDefault="1E369E69" w:rsidP="1E369E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E369E69" w14:paraId="54C083BE" w14:textId="77777777" w:rsidTr="1E369E69">
      <w:tc>
        <w:tcPr>
          <w:tcW w:w="3020" w:type="dxa"/>
        </w:tcPr>
        <w:p w14:paraId="06356568" w14:textId="18DB4695" w:rsidR="1E369E69" w:rsidRDefault="1E369E69" w:rsidP="1E369E69">
          <w:pPr>
            <w:pStyle w:val="Koptekst"/>
            <w:ind w:left="-115"/>
          </w:pPr>
        </w:p>
      </w:tc>
      <w:tc>
        <w:tcPr>
          <w:tcW w:w="3020" w:type="dxa"/>
        </w:tcPr>
        <w:p w14:paraId="6138F5B3" w14:textId="24E3EFCB" w:rsidR="1E369E69" w:rsidRDefault="1E369E69" w:rsidP="1E369E69">
          <w:pPr>
            <w:pStyle w:val="Koptekst"/>
            <w:jc w:val="center"/>
          </w:pPr>
        </w:p>
      </w:tc>
      <w:tc>
        <w:tcPr>
          <w:tcW w:w="3020" w:type="dxa"/>
        </w:tcPr>
        <w:p w14:paraId="2EFCCE70" w14:textId="54D4C690" w:rsidR="1E369E69" w:rsidRDefault="1E369E69" w:rsidP="1E369E69">
          <w:pPr>
            <w:pStyle w:val="Koptekst"/>
            <w:ind w:right="-115"/>
            <w:jc w:val="right"/>
          </w:pPr>
        </w:p>
      </w:tc>
    </w:tr>
  </w:tbl>
  <w:p w14:paraId="75611486" w14:textId="783AACDF" w:rsidR="1E369E69" w:rsidRDefault="1E369E69" w:rsidP="1E369E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hybridMultilevel"/>
    <w:tmpl w:val="00000003"/>
    <w:lvl w:ilvl="0" w:tplc="AE7EAF88">
      <w:start w:val="1"/>
      <w:numFmt w:val="decimal"/>
      <w:lvlText w:val="%1."/>
      <w:lvlJc w:val="left"/>
      <w:pPr>
        <w:tabs>
          <w:tab w:val="num" w:pos="720"/>
        </w:tabs>
        <w:ind w:left="720" w:hanging="360"/>
      </w:pPr>
    </w:lvl>
    <w:lvl w:ilvl="1" w:tplc="9C1EACFE">
      <w:start w:val="1"/>
      <w:numFmt w:val="decimal"/>
      <w:lvlText w:val="%2."/>
      <w:lvlJc w:val="left"/>
      <w:pPr>
        <w:tabs>
          <w:tab w:val="num" w:pos="1080"/>
        </w:tabs>
        <w:ind w:left="1080" w:hanging="360"/>
      </w:pPr>
    </w:lvl>
    <w:lvl w:ilvl="2" w:tplc="33DE48F6">
      <w:start w:val="1"/>
      <w:numFmt w:val="decimal"/>
      <w:lvlText w:val="%3."/>
      <w:lvlJc w:val="left"/>
      <w:pPr>
        <w:tabs>
          <w:tab w:val="num" w:pos="1440"/>
        </w:tabs>
        <w:ind w:left="1440" w:hanging="360"/>
      </w:pPr>
    </w:lvl>
    <w:lvl w:ilvl="3" w:tplc="9996B2C6">
      <w:start w:val="1"/>
      <w:numFmt w:val="decimal"/>
      <w:lvlText w:val="%4."/>
      <w:lvlJc w:val="left"/>
      <w:pPr>
        <w:tabs>
          <w:tab w:val="num" w:pos="1800"/>
        </w:tabs>
        <w:ind w:left="1800" w:hanging="360"/>
      </w:pPr>
    </w:lvl>
    <w:lvl w:ilvl="4" w:tplc="061A5972">
      <w:start w:val="1"/>
      <w:numFmt w:val="decimal"/>
      <w:lvlText w:val="%5."/>
      <w:lvlJc w:val="left"/>
      <w:pPr>
        <w:tabs>
          <w:tab w:val="num" w:pos="2160"/>
        </w:tabs>
        <w:ind w:left="2160" w:hanging="360"/>
      </w:pPr>
    </w:lvl>
    <w:lvl w:ilvl="5" w:tplc="E00E2E62">
      <w:start w:val="1"/>
      <w:numFmt w:val="decimal"/>
      <w:lvlText w:val="%6."/>
      <w:lvlJc w:val="left"/>
      <w:pPr>
        <w:tabs>
          <w:tab w:val="num" w:pos="2520"/>
        </w:tabs>
        <w:ind w:left="2520" w:hanging="360"/>
      </w:pPr>
    </w:lvl>
    <w:lvl w:ilvl="6" w:tplc="B45CCD48">
      <w:start w:val="1"/>
      <w:numFmt w:val="decimal"/>
      <w:lvlText w:val="%7."/>
      <w:lvlJc w:val="left"/>
      <w:pPr>
        <w:tabs>
          <w:tab w:val="num" w:pos="2880"/>
        </w:tabs>
        <w:ind w:left="2880" w:hanging="360"/>
      </w:pPr>
    </w:lvl>
    <w:lvl w:ilvl="7" w:tplc="FEEE8140">
      <w:start w:val="1"/>
      <w:numFmt w:val="decimal"/>
      <w:lvlText w:val="%8."/>
      <w:lvlJc w:val="left"/>
      <w:pPr>
        <w:tabs>
          <w:tab w:val="num" w:pos="3240"/>
        </w:tabs>
        <w:ind w:left="3240" w:hanging="360"/>
      </w:pPr>
    </w:lvl>
    <w:lvl w:ilvl="8" w:tplc="0D8AA902">
      <w:start w:val="1"/>
      <w:numFmt w:val="decimal"/>
      <w:lvlText w:val="%9."/>
      <w:lvlJc w:val="left"/>
      <w:pPr>
        <w:tabs>
          <w:tab w:val="num" w:pos="3600"/>
        </w:tabs>
        <w:ind w:left="3600" w:hanging="360"/>
      </w:pPr>
    </w:lvl>
  </w:abstractNum>
  <w:abstractNum w:abstractNumId="3" w15:restartNumberingAfterBreak="0">
    <w:nsid w:val="0013025E"/>
    <w:multiLevelType w:val="hybridMultilevel"/>
    <w:tmpl w:val="9A16E7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1A8277B"/>
    <w:multiLevelType w:val="hybridMultilevel"/>
    <w:tmpl w:val="FA8A0BB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2E653EF"/>
    <w:multiLevelType w:val="hybridMultilevel"/>
    <w:tmpl w:val="9934DCD4"/>
    <w:lvl w:ilvl="0" w:tplc="4EB619CA">
      <w:start w:val="1"/>
      <w:numFmt w:val="bullet"/>
      <w:lvlText w:val=""/>
      <w:lvlJc w:val="left"/>
      <w:pPr>
        <w:ind w:left="720" w:hanging="360"/>
      </w:pPr>
      <w:rPr>
        <w:rFonts w:ascii="Symbol" w:hAnsi="Symbol" w:hint="default"/>
      </w:rPr>
    </w:lvl>
    <w:lvl w:ilvl="1" w:tplc="9E48D634">
      <w:start w:val="1"/>
      <w:numFmt w:val="bullet"/>
      <w:lvlText w:val="o"/>
      <w:lvlJc w:val="left"/>
      <w:pPr>
        <w:ind w:left="1440" w:hanging="360"/>
      </w:pPr>
      <w:rPr>
        <w:rFonts w:ascii="Courier New" w:hAnsi="Courier New" w:hint="default"/>
      </w:rPr>
    </w:lvl>
    <w:lvl w:ilvl="2" w:tplc="3AA418A0">
      <w:start w:val="1"/>
      <w:numFmt w:val="bullet"/>
      <w:lvlText w:val=""/>
      <w:lvlJc w:val="left"/>
      <w:pPr>
        <w:ind w:left="2160" w:hanging="360"/>
      </w:pPr>
      <w:rPr>
        <w:rFonts w:ascii="Wingdings" w:hAnsi="Wingdings" w:hint="default"/>
      </w:rPr>
    </w:lvl>
    <w:lvl w:ilvl="3" w:tplc="FE64CEB6">
      <w:start w:val="1"/>
      <w:numFmt w:val="bullet"/>
      <w:lvlText w:val=""/>
      <w:lvlJc w:val="left"/>
      <w:pPr>
        <w:ind w:left="2880" w:hanging="360"/>
      </w:pPr>
      <w:rPr>
        <w:rFonts w:ascii="Symbol" w:hAnsi="Symbol" w:hint="default"/>
      </w:rPr>
    </w:lvl>
    <w:lvl w:ilvl="4" w:tplc="AA4CA79E">
      <w:start w:val="1"/>
      <w:numFmt w:val="bullet"/>
      <w:lvlText w:val="o"/>
      <w:lvlJc w:val="left"/>
      <w:pPr>
        <w:ind w:left="3600" w:hanging="360"/>
      </w:pPr>
      <w:rPr>
        <w:rFonts w:ascii="Courier New" w:hAnsi="Courier New" w:hint="default"/>
      </w:rPr>
    </w:lvl>
    <w:lvl w:ilvl="5" w:tplc="CAA6BAB4">
      <w:start w:val="1"/>
      <w:numFmt w:val="bullet"/>
      <w:lvlText w:val=""/>
      <w:lvlJc w:val="left"/>
      <w:pPr>
        <w:ind w:left="4320" w:hanging="360"/>
      </w:pPr>
      <w:rPr>
        <w:rFonts w:ascii="Wingdings" w:hAnsi="Wingdings" w:hint="default"/>
      </w:rPr>
    </w:lvl>
    <w:lvl w:ilvl="6" w:tplc="1C48713E">
      <w:start w:val="1"/>
      <w:numFmt w:val="bullet"/>
      <w:lvlText w:val=""/>
      <w:lvlJc w:val="left"/>
      <w:pPr>
        <w:ind w:left="5040" w:hanging="360"/>
      </w:pPr>
      <w:rPr>
        <w:rFonts w:ascii="Symbol" w:hAnsi="Symbol" w:hint="default"/>
      </w:rPr>
    </w:lvl>
    <w:lvl w:ilvl="7" w:tplc="B5784376">
      <w:start w:val="1"/>
      <w:numFmt w:val="bullet"/>
      <w:lvlText w:val="o"/>
      <w:lvlJc w:val="left"/>
      <w:pPr>
        <w:ind w:left="5760" w:hanging="360"/>
      </w:pPr>
      <w:rPr>
        <w:rFonts w:ascii="Courier New" w:hAnsi="Courier New" w:hint="default"/>
      </w:rPr>
    </w:lvl>
    <w:lvl w:ilvl="8" w:tplc="998C02D0">
      <w:start w:val="1"/>
      <w:numFmt w:val="bullet"/>
      <w:lvlText w:val=""/>
      <w:lvlJc w:val="left"/>
      <w:pPr>
        <w:ind w:left="6480" w:hanging="360"/>
      </w:pPr>
      <w:rPr>
        <w:rFonts w:ascii="Wingdings" w:hAnsi="Wingdings" w:hint="default"/>
      </w:rPr>
    </w:lvl>
  </w:abstractNum>
  <w:abstractNum w:abstractNumId="6" w15:restartNumberingAfterBreak="0">
    <w:nsid w:val="032E2170"/>
    <w:multiLevelType w:val="hybridMultilevel"/>
    <w:tmpl w:val="0804C3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D3B329F"/>
    <w:multiLevelType w:val="hybridMultilevel"/>
    <w:tmpl w:val="E04C5160"/>
    <w:lvl w:ilvl="0" w:tplc="60D65BAE">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D482BD4"/>
    <w:multiLevelType w:val="multilevel"/>
    <w:tmpl w:val="2780B6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0745CFE"/>
    <w:multiLevelType w:val="hybridMultilevel"/>
    <w:tmpl w:val="28E07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2EB66A6"/>
    <w:multiLevelType w:val="hybridMultilevel"/>
    <w:tmpl w:val="ABDA41C0"/>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8371ED7"/>
    <w:multiLevelType w:val="hybridMultilevel"/>
    <w:tmpl w:val="8E7477FC"/>
    <w:lvl w:ilvl="0" w:tplc="7BF63030">
      <w:start w:val="1"/>
      <w:numFmt w:val="decimal"/>
      <w:pStyle w:val="Kop2"/>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9E47D25"/>
    <w:multiLevelType w:val="hybridMultilevel"/>
    <w:tmpl w:val="F44A6912"/>
    <w:lvl w:ilvl="0" w:tplc="303E2C5A">
      <w:start w:val="1"/>
      <w:numFmt w:val="upperLetter"/>
      <w:lvlText w:val="%1."/>
      <w:lvlJc w:val="left"/>
      <w:pPr>
        <w:ind w:left="1065" w:hanging="705"/>
      </w:pPr>
      <w:rPr>
        <w:rFonts w:asciiTheme="minorHAnsi" w:hAnsiTheme="minorHAnsi" w:cstheme="minorBidi" w:hint="default"/>
        <w:b/>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B40190E"/>
    <w:multiLevelType w:val="hybridMultilevel"/>
    <w:tmpl w:val="96A486C4"/>
    <w:numStyleLink w:val="Streep"/>
  </w:abstractNum>
  <w:abstractNum w:abstractNumId="14" w15:restartNumberingAfterBreak="0">
    <w:nsid w:val="23E6594E"/>
    <w:multiLevelType w:val="hybridMultilevel"/>
    <w:tmpl w:val="4B8A536C"/>
    <w:lvl w:ilvl="0" w:tplc="1E642C2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EF609A"/>
    <w:multiLevelType w:val="hybridMultilevel"/>
    <w:tmpl w:val="1DE2B5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34618"/>
    <w:multiLevelType w:val="hybridMultilevel"/>
    <w:tmpl w:val="798C7AC2"/>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7" w15:restartNumberingAfterBreak="0">
    <w:nsid w:val="38AA0449"/>
    <w:multiLevelType w:val="hybridMultilevel"/>
    <w:tmpl w:val="44C474A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A207BFC"/>
    <w:multiLevelType w:val="hybridMultilevel"/>
    <w:tmpl w:val="F4C48CE6"/>
    <w:lvl w:ilvl="0" w:tplc="9036CCF2">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BF4C6C"/>
    <w:multiLevelType w:val="hybridMultilevel"/>
    <w:tmpl w:val="23B09020"/>
    <w:lvl w:ilvl="0" w:tplc="F474C960">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0" w15:restartNumberingAfterBreak="0">
    <w:nsid w:val="4F6102C8"/>
    <w:multiLevelType w:val="hybridMultilevel"/>
    <w:tmpl w:val="2146E0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0D36D9B"/>
    <w:multiLevelType w:val="hybridMultilevel"/>
    <w:tmpl w:val="439C17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5A303AA"/>
    <w:multiLevelType w:val="hybridMultilevel"/>
    <w:tmpl w:val="9CF040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7AF1227"/>
    <w:multiLevelType w:val="hybridMultilevel"/>
    <w:tmpl w:val="07B4C080"/>
    <w:lvl w:ilvl="0" w:tplc="62F48B0E">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4834017"/>
    <w:multiLevelType w:val="hybridMultilevel"/>
    <w:tmpl w:val="05607772"/>
    <w:lvl w:ilvl="0" w:tplc="80C6CB62">
      <w:start w:val="1"/>
      <w:numFmt w:val="bullet"/>
      <w:lvlText w:val=""/>
      <w:lvlJc w:val="left"/>
      <w:pPr>
        <w:tabs>
          <w:tab w:val="num" w:pos="720"/>
        </w:tabs>
        <w:ind w:left="720" w:hanging="360"/>
      </w:pPr>
      <w:rPr>
        <w:rFonts w:ascii="Symbol" w:hAnsi="Symbol" w:hint="default"/>
        <w:sz w:val="20"/>
      </w:rPr>
    </w:lvl>
    <w:lvl w:ilvl="1" w:tplc="F79A7DF4" w:tentative="1">
      <w:start w:val="1"/>
      <w:numFmt w:val="bullet"/>
      <w:lvlText w:val="o"/>
      <w:lvlJc w:val="left"/>
      <w:pPr>
        <w:tabs>
          <w:tab w:val="num" w:pos="1440"/>
        </w:tabs>
        <w:ind w:left="1440" w:hanging="360"/>
      </w:pPr>
      <w:rPr>
        <w:rFonts w:ascii="Courier New" w:hAnsi="Courier New" w:hint="default"/>
        <w:sz w:val="20"/>
      </w:rPr>
    </w:lvl>
    <w:lvl w:ilvl="2" w:tplc="97D0A796" w:tentative="1">
      <w:start w:val="1"/>
      <w:numFmt w:val="bullet"/>
      <w:lvlText w:val=""/>
      <w:lvlJc w:val="left"/>
      <w:pPr>
        <w:tabs>
          <w:tab w:val="num" w:pos="2160"/>
        </w:tabs>
        <w:ind w:left="2160" w:hanging="360"/>
      </w:pPr>
      <w:rPr>
        <w:rFonts w:ascii="Wingdings" w:hAnsi="Wingdings" w:hint="default"/>
        <w:sz w:val="20"/>
      </w:rPr>
    </w:lvl>
    <w:lvl w:ilvl="3" w:tplc="9320DD14" w:tentative="1">
      <w:start w:val="1"/>
      <w:numFmt w:val="bullet"/>
      <w:lvlText w:val=""/>
      <w:lvlJc w:val="left"/>
      <w:pPr>
        <w:tabs>
          <w:tab w:val="num" w:pos="2880"/>
        </w:tabs>
        <w:ind w:left="2880" w:hanging="360"/>
      </w:pPr>
      <w:rPr>
        <w:rFonts w:ascii="Wingdings" w:hAnsi="Wingdings" w:hint="default"/>
        <w:sz w:val="20"/>
      </w:rPr>
    </w:lvl>
    <w:lvl w:ilvl="4" w:tplc="C128D6E4" w:tentative="1">
      <w:start w:val="1"/>
      <w:numFmt w:val="bullet"/>
      <w:lvlText w:val=""/>
      <w:lvlJc w:val="left"/>
      <w:pPr>
        <w:tabs>
          <w:tab w:val="num" w:pos="3600"/>
        </w:tabs>
        <w:ind w:left="3600" w:hanging="360"/>
      </w:pPr>
      <w:rPr>
        <w:rFonts w:ascii="Wingdings" w:hAnsi="Wingdings" w:hint="default"/>
        <w:sz w:val="20"/>
      </w:rPr>
    </w:lvl>
    <w:lvl w:ilvl="5" w:tplc="71E4B662" w:tentative="1">
      <w:start w:val="1"/>
      <w:numFmt w:val="bullet"/>
      <w:lvlText w:val=""/>
      <w:lvlJc w:val="left"/>
      <w:pPr>
        <w:tabs>
          <w:tab w:val="num" w:pos="4320"/>
        </w:tabs>
        <w:ind w:left="4320" w:hanging="360"/>
      </w:pPr>
      <w:rPr>
        <w:rFonts w:ascii="Wingdings" w:hAnsi="Wingdings" w:hint="default"/>
        <w:sz w:val="20"/>
      </w:rPr>
    </w:lvl>
    <w:lvl w:ilvl="6" w:tplc="3E56BF0C" w:tentative="1">
      <w:start w:val="1"/>
      <w:numFmt w:val="bullet"/>
      <w:lvlText w:val=""/>
      <w:lvlJc w:val="left"/>
      <w:pPr>
        <w:tabs>
          <w:tab w:val="num" w:pos="5040"/>
        </w:tabs>
        <w:ind w:left="5040" w:hanging="360"/>
      </w:pPr>
      <w:rPr>
        <w:rFonts w:ascii="Wingdings" w:hAnsi="Wingdings" w:hint="default"/>
        <w:sz w:val="20"/>
      </w:rPr>
    </w:lvl>
    <w:lvl w:ilvl="7" w:tplc="ACC82AD4" w:tentative="1">
      <w:start w:val="1"/>
      <w:numFmt w:val="bullet"/>
      <w:lvlText w:val=""/>
      <w:lvlJc w:val="left"/>
      <w:pPr>
        <w:tabs>
          <w:tab w:val="num" w:pos="5760"/>
        </w:tabs>
        <w:ind w:left="5760" w:hanging="360"/>
      </w:pPr>
      <w:rPr>
        <w:rFonts w:ascii="Wingdings" w:hAnsi="Wingdings" w:hint="default"/>
        <w:sz w:val="20"/>
      </w:rPr>
    </w:lvl>
    <w:lvl w:ilvl="8" w:tplc="6322936C"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EB52BC"/>
    <w:multiLevelType w:val="hybridMultilevel"/>
    <w:tmpl w:val="8CECE004"/>
    <w:lvl w:ilvl="0" w:tplc="52667DA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75E3509F"/>
    <w:multiLevelType w:val="hybridMultilevel"/>
    <w:tmpl w:val="7700A8BC"/>
    <w:lvl w:ilvl="0" w:tplc="0413000F">
      <w:start w:val="1"/>
      <w:numFmt w:val="decimal"/>
      <w:lvlText w:val="%1."/>
      <w:lvlJc w:val="left"/>
      <w:pPr>
        <w:ind w:left="720" w:hanging="360"/>
      </w:pPr>
      <w:rPr>
        <w:rFonts w:hint="default"/>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67D640B"/>
    <w:multiLevelType w:val="hybridMultilevel"/>
    <w:tmpl w:val="96A486C4"/>
    <w:styleLink w:val="Streep"/>
    <w:lvl w:ilvl="0" w:tplc="7A22F43C">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6CF42DC8">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A4EEBD50">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3AE48724">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0CFA1478">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8F24C932">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0D28F200">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B2001998">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241EF804">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28" w15:restartNumberingAfterBreak="0">
    <w:nsid w:val="76D81F4D"/>
    <w:multiLevelType w:val="hybridMultilevel"/>
    <w:tmpl w:val="8E3402B4"/>
    <w:lvl w:ilvl="0" w:tplc="926EF2FE">
      <w:start w:val="1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A1D6DBF"/>
    <w:multiLevelType w:val="hybridMultilevel"/>
    <w:tmpl w:val="2878DD4A"/>
    <w:lvl w:ilvl="0" w:tplc="0CA6810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DB266E7"/>
    <w:multiLevelType w:val="hybridMultilevel"/>
    <w:tmpl w:val="E7EE1144"/>
    <w:lvl w:ilvl="0" w:tplc="FB78B96C">
      <w:start w:val="1"/>
      <w:numFmt w:val="decimal"/>
      <w:lvlText w:val="%1."/>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22"/>
  </w:num>
  <w:num w:numId="5">
    <w:abstractNumId w:val="12"/>
  </w:num>
  <w:num w:numId="6">
    <w:abstractNumId w:val="27"/>
  </w:num>
  <w:num w:numId="7">
    <w:abstractNumId w:val="13"/>
  </w:num>
  <w:num w:numId="8">
    <w:abstractNumId w:val="3"/>
  </w:num>
  <w:num w:numId="9">
    <w:abstractNumId w:val="25"/>
  </w:num>
  <w:num w:numId="10">
    <w:abstractNumId w:val="19"/>
  </w:num>
  <w:num w:numId="11">
    <w:abstractNumId w:val="10"/>
  </w:num>
  <w:num w:numId="12">
    <w:abstractNumId w:val="26"/>
  </w:num>
  <w:num w:numId="13">
    <w:abstractNumId w:val="28"/>
  </w:num>
  <w:num w:numId="14">
    <w:abstractNumId w:val="30"/>
  </w:num>
  <w:num w:numId="15">
    <w:abstractNumId w:val="17"/>
  </w:num>
  <w:num w:numId="16">
    <w:abstractNumId w:val="18"/>
  </w:num>
  <w:num w:numId="17">
    <w:abstractNumId w:val="23"/>
  </w:num>
  <w:num w:numId="18">
    <w:abstractNumId w:val="7"/>
  </w:num>
  <w:num w:numId="19">
    <w:abstractNumId w:val="21"/>
  </w:num>
  <w:num w:numId="20">
    <w:abstractNumId w:val="29"/>
  </w:num>
  <w:num w:numId="21">
    <w:abstractNumId w:val="20"/>
  </w:num>
  <w:num w:numId="22">
    <w:abstractNumId w:val="0"/>
  </w:num>
  <w:num w:numId="23">
    <w:abstractNumId w:val="1"/>
  </w:num>
  <w:num w:numId="24">
    <w:abstractNumId w:val="2"/>
  </w:num>
  <w:num w:numId="25">
    <w:abstractNumId w:val="14"/>
  </w:num>
  <w:num w:numId="26">
    <w:abstractNumId w:val="6"/>
  </w:num>
  <w:num w:numId="27">
    <w:abstractNumId w:val="15"/>
  </w:num>
  <w:num w:numId="28">
    <w:abstractNumId w:val="11"/>
  </w:num>
  <w:num w:numId="29">
    <w:abstractNumId w:val="4"/>
  </w:num>
  <w:num w:numId="30">
    <w:abstractNumId w:val="2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C95"/>
    <w:rsid w:val="000262C4"/>
    <w:rsid w:val="0004475B"/>
    <w:rsid w:val="00123AD4"/>
    <w:rsid w:val="001436E9"/>
    <w:rsid w:val="00145BE1"/>
    <w:rsid w:val="00155697"/>
    <w:rsid w:val="001F17AA"/>
    <w:rsid w:val="00224EF0"/>
    <w:rsid w:val="0028030F"/>
    <w:rsid w:val="002B540A"/>
    <w:rsid w:val="002C298E"/>
    <w:rsid w:val="002E3972"/>
    <w:rsid w:val="00303899"/>
    <w:rsid w:val="00313199"/>
    <w:rsid w:val="00350A52"/>
    <w:rsid w:val="003D7B1B"/>
    <w:rsid w:val="0043123D"/>
    <w:rsid w:val="004322A2"/>
    <w:rsid w:val="004460C8"/>
    <w:rsid w:val="004604CC"/>
    <w:rsid w:val="004E6C95"/>
    <w:rsid w:val="00523184"/>
    <w:rsid w:val="00534C86"/>
    <w:rsid w:val="00572684"/>
    <w:rsid w:val="005B5BFD"/>
    <w:rsid w:val="00620DFC"/>
    <w:rsid w:val="00647E76"/>
    <w:rsid w:val="006A5436"/>
    <w:rsid w:val="00771AD8"/>
    <w:rsid w:val="00787230"/>
    <w:rsid w:val="00824CBE"/>
    <w:rsid w:val="008769A6"/>
    <w:rsid w:val="008900CD"/>
    <w:rsid w:val="00897BA5"/>
    <w:rsid w:val="008D3F3F"/>
    <w:rsid w:val="00994EEF"/>
    <w:rsid w:val="009B1353"/>
    <w:rsid w:val="009D34CA"/>
    <w:rsid w:val="009E7A37"/>
    <w:rsid w:val="00A16E55"/>
    <w:rsid w:val="00A923DE"/>
    <w:rsid w:val="00AB23D0"/>
    <w:rsid w:val="00AB33D0"/>
    <w:rsid w:val="00B91010"/>
    <w:rsid w:val="00BA57A5"/>
    <w:rsid w:val="00C5382F"/>
    <w:rsid w:val="00C6351E"/>
    <w:rsid w:val="00CB0C75"/>
    <w:rsid w:val="00D62117"/>
    <w:rsid w:val="00E40286"/>
    <w:rsid w:val="00E47832"/>
    <w:rsid w:val="00F03284"/>
    <w:rsid w:val="00F10914"/>
    <w:rsid w:val="00F46965"/>
    <w:rsid w:val="00F5155D"/>
    <w:rsid w:val="00F942EF"/>
    <w:rsid w:val="0196CFA8"/>
    <w:rsid w:val="02B92CD7"/>
    <w:rsid w:val="02E4A794"/>
    <w:rsid w:val="0318BBA3"/>
    <w:rsid w:val="0337A656"/>
    <w:rsid w:val="03833E5B"/>
    <w:rsid w:val="038AADBE"/>
    <w:rsid w:val="03A309E0"/>
    <w:rsid w:val="03A9FE94"/>
    <w:rsid w:val="03E7914E"/>
    <w:rsid w:val="040E50B3"/>
    <w:rsid w:val="0513638B"/>
    <w:rsid w:val="0540FADE"/>
    <w:rsid w:val="05DB52A2"/>
    <w:rsid w:val="05FA8588"/>
    <w:rsid w:val="064870B4"/>
    <w:rsid w:val="0653846D"/>
    <w:rsid w:val="0659C1C1"/>
    <w:rsid w:val="06AEEAF0"/>
    <w:rsid w:val="078102A0"/>
    <w:rsid w:val="08349C2B"/>
    <w:rsid w:val="0847F46F"/>
    <w:rsid w:val="08773443"/>
    <w:rsid w:val="0934CC6E"/>
    <w:rsid w:val="09387DE4"/>
    <w:rsid w:val="097649F1"/>
    <w:rsid w:val="09A94671"/>
    <w:rsid w:val="0A4EEF34"/>
    <w:rsid w:val="0AADB6A4"/>
    <w:rsid w:val="0AFA42CB"/>
    <w:rsid w:val="0B5608F1"/>
    <w:rsid w:val="0B9FBE73"/>
    <w:rsid w:val="0CF9E6A0"/>
    <w:rsid w:val="0F2E7F41"/>
    <w:rsid w:val="0F41D5CF"/>
    <w:rsid w:val="106D25B3"/>
    <w:rsid w:val="109FF592"/>
    <w:rsid w:val="1180F355"/>
    <w:rsid w:val="119FE822"/>
    <w:rsid w:val="11B1943E"/>
    <w:rsid w:val="11D73CAD"/>
    <w:rsid w:val="1209D01D"/>
    <w:rsid w:val="1221F5F2"/>
    <w:rsid w:val="12C12641"/>
    <w:rsid w:val="1307726B"/>
    <w:rsid w:val="13D135F7"/>
    <w:rsid w:val="144DE92F"/>
    <w:rsid w:val="14E53835"/>
    <w:rsid w:val="15FA4F0F"/>
    <w:rsid w:val="16023AC0"/>
    <w:rsid w:val="16212573"/>
    <w:rsid w:val="1634314A"/>
    <w:rsid w:val="168EA99A"/>
    <w:rsid w:val="16DDDAC1"/>
    <w:rsid w:val="16F6E9E4"/>
    <w:rsid w:val="173EBEBA"/>
    <w:rsid w:val="17BC8255"/>
    <w:rsid w:val="1851C91D"/>
    <w:rsid w:val="19F6CA2A"/>
    <w:rsid w:val="1A44A778"/>
    <w:rsid w:val="1A5D9BE7"/>
    <w:rsid w:val="1AD2DF9E"/>
    <w:rsid w:val="1B64F696"/>
    <w:rsid w:val="1BDA838C"/>
    <w:rsid w:val="1C3D6835"/>
    <w:rsid w:val="1CC03F03"/>
    <w:rsid w:val="1CD00ACF"/>
    <w:rsid w:val="1D16BD6D"/>
    <w:rsid w:val="1DA19330"/>
    <w:rsid w:val="1E369E69"/>
    <w:rsid w:val="1E612DAE"/>
    <w:rsid w:val="1F20BB19"/>
    <w:rsid w:val="1FAB0431"/>
    <w:rsid w:val="1FC3E392"/>
    <w:rsid w:val="1FDA3DD9"/>
    <w:rsid w:val="1FE4F954"/>
    <w:rsid w:val="2041D625"/>
    <w:rsid w:val="20D3658B"/>
    <w:rsid w:val="22045DA4"/>
    <w:rsid w:val="2268AEE9"/>
    <w:rsid w:val="23D9DDAE"/>
    <w:rsid w:val="264A5514"/>
    <w:rsid w:val="26729C82"/>
    <w:rsid w:val="2734CAE1"/>
    <w:rsid w:val="2768C9B7"/>
    <w:rsid w:val="2883E76C"/>
    <w:rsid w:val="28CCB669"/>
    <w:rsid w:val="28E22992"/>
    <w:rsid w:val="290BB3BD"/>
    <w:rsid w:val="29477AE4"/>
    <w:rsid w:val="2950E88B"/>
    <w:rsid w:val="2A25A2D4"/>
    <w:rsid w:val="2A347A01"/>
    <w:rsid w:val="2A7DEB51"/>
    <w:rsid w:val="2A843119"/>
    <w:rsid w:val="2BB174A7"/>
    <w:rsid w:val="2C57F77E"/>
    <w:rsid w:val="2DF4ADA5"/>
    <w:rsid w:val="2DF70B3F"/>
    <w:rsid w:val="2E0D7AE3"/>
    <w:rsid w:val="2EA9F594"/>
    <w:rsid w:val="2EB7B350"/>
    <w:rsid w:val="30AB5CAE"/>
    <w:rsid w:val="30B0377E"/>
    <w:rsid w:val="30C187A6"/>
    <w:rsid w:val="30FE22AA"/>
    <w:rsid w:val="3130185A"/>
    <w:rsid w:val="3141EAA9"/>
    <w:rsid w:val="315724D4"/>
    <w:rsid w:val="32424FF0"/>
    <w:rsid w:val="32993280"/>
    <w:rsid w:val="34376665"/>
    <w:rsid w:val="34CA1DF7"/>
    <w:rsid w:val="34D1F3F9"/>
    <w:rsid w:val="365C186E"/>
    <w:rsid w:val="36AD4520"/>
    <w:rsid w:val="373055B4"/>
    <w:rsid w:val="3746613B"/>
    <w:rsid w:val="375D3051"/>
    <w:rsid w:val="37A5E4C9"/>
    <w:rsid w:val="382CFF0C"/>
    <w:rsid w:val="3830B220"/>
    <w:rsid w:val="3991C0AC"/>
    <w:rsid w:val="39996314"/>
    <w:rsid w:val="39A00726"/>
    <w:rsid w:val="3A36D9BD"/>
    <w:rsid w:val="3A703C2A"/>
    <w:rsid w:val="3AA42B13"/>
    <w:rsid w:val="3B2271C1"/>
    <w:rsid w:val="3C0C0C8B"/>
    <w:rsid w:val="3CF0CAA6"/>
    <w:rsid w:val="3E258D1D"/>
    <w:rsid w:val="3EB9D044"/>
    <w:rsid w:val="3F49C631"/>
    <w:rsid w:val="400D001B"/>
    <w:rsid w:val="40CFD70C"/>
    <w:rsid w:val="41398C03"/>
    <w:rsid w:val="4146D39C"/>
    <w:rsid w:val="41D944C8"/>
    <w:rsid w:val="42119347"/>
    <w:rsid w:val="4285B3A1"/>
    <w:rsid w:val="42B743D0"/>
    <w:rsid w:val="435E890D"/>
    <w:rsid w:val="43A3613E"/>
    <w:rsid w:val="43AD63A8"/>
    <w:rsid w:val="44531431"/>
    <w:rsid w:val="447B7104"/>
    <w:rsid w:val="456AAD98"/>
    <w:rsid w:val="45708D88"/>
    <w:rsid w:val="45B55A0B"/>
    <w:rsid w:val="467DC9A3"/>
    <w:rsid w:val="46B97050"/>
    <w:rsid w:val="46F9CC36"/>
    <w:rsid w:val="488EABE5"/>
    <w:rsid w:val="48A24E5A"/>
    <w:rsid w:val="4962ED87"/>
    <w:rsid w:val="496CAA38"/>
    <w:rsid w:val="4985F5D8"/>
    <w:rsid w:val="49B07237"/>
    <w:rsid w:val="49E0D382"/>
    <w:rsid w:val="49E8B818"/>
    <w:rsid w:val="4A799588"/>
    <w:rsid w:val="4A8E4D7A"/>
    <w:rsid w:val="4AB3ABB1"/>
    <w:rsid w:val="4AE20768"/>
    <w:rsid w:val="4B2137BF"/>
    <w:rsid w:val="4B47D824"/>
    <w:rsid w:val="4B7B943C"/>
    <w:rsid w:val="4BBE0650"/>
    <w:rsid w:val="4BF72B47"/>
    <w:rsid w:val="4BFC3D8C"/>
    <w:rsid w:val="4C10A06B"/>
    <w:rsid w:val="4C404E87"/>
    <w:rsid w:val="4C7BA8BD"/>
    <w:rsid w:val="4C81D471"/>
    <w:rsid w:val="4D36EFAC"/>
    <w:rsid w:val="4F40123D"/>
    <w:rsid w:val="50022FF5"/>
    <w:rsid w:val="5023E3B8"/>
    <w:rsid w:val="51186EDC"/>
    <w:rsid w:val="5175F7CD"/>
    <w:rsid w:val="53000315"/>
    <w:rsid w:val="53143937"/>
    <w:rsid w:val="533E751C"/>
    <w:rsid w:val="53DB7C9F"/>
    <w:rsid w:val="54BF9B97"/>
    <w:rsid w:val="5516715C"/>
    <w:rsid w:val="55751C73"/>
    <w:rsid w:val="559E1EC4"/>
    <w:rsid w:val="56C4A995"/>
    <w:rsid w:val="57F7BDB5"/>
    <w:rsid w:val="5885865D"/>
    <w:rsid w:val="58A7374D"/>
    <w:rsid w:val="58E4CA94"/>
    <w:rsid w:val="593DCD55"/>
    <w:rsid w:val="594C68E2"/>
    <w:rsid w:val="5B2B14F3"/>
    <w:rsid w:val="5BCE49C6"/>
    <w:rsid w:val="5C734308"/>
    <w:rsid w:val="5C7F8EDF"/>
    <w:rsid w:val="5CB70B07"/>
    <w:rsid w:val="5D04F810"/>
    <w:rsid w:val="5DCB1A30"/>
    <w:rsid w:val="5EFCEACF"/>
    <w:rsid w:val="5FA52294"/>
    <w:rsid w:val="601FBA5B"/>
    <w:rsid w:val="6039D394"/>
    <w:rsid w:val="6077DB34"/>
    <w:rsid w:val="60C2ED6B"/>
    <w:rsid w:val="60C83FA8"/>
    <w:rsid w:val="62019695"/>
    <w:rsid w:val="6227F68C"/>
    <w:rsid w:val="627FEF5A"/>
    <w:rsid w:val="62B9F29B"/>
    <w:rsid w:val="62FB1F2F"/>
    <w:rsid w:val="634914F3"/>
    <w:rsid w:val="6357D2FC"/>
    <w:rsid w:val="63BECF5F"/>
    <w:rsid w:val="63C9FA3E"/>
    <w:rsid w:val="6423F29C"/>
    <w:rsid w:val="64456CF5"/>
    <w:rsid w:val="645AE01E"/>
    <w:rsid w:val="653F981F"/>
    <w:rsid w:val="655A9FC0"/>
    <w:rsid w:val="65CA9E33"/>
    <w:rsid w:val="65DABD2B"/>
    <w:rsid w:val="65E34303"/>
    <w:rsid w:val="660A89E4"/>
    <w:rsid w:val="66B5F013"/>
    <w:rsid w:val="66DB8DEA"/>
    <w:rsid w:val="67768D8C"/>
    <w:rsid w:val="67F2CD42"/>
    <w:rsid w:val="684D04D5"/>
    <w:rsid w:val="6851C074"/>
    <w:rsid w:val="6B945B9E"/>
    <w:rsid w:val="6BF4980C"/>
    <w:rsid w:val="6C785B8A"/>
    <w:rsid w:val="6C7F4E5E"/>
    <w:rsid w:val="6C8F1076"/>
    <w:rsid w:val="6CC63E65"/>
    <w:rsid w:val="6CE8BECC"/>
    <w:rsid w:val="6CEBE71A"/>
    <w:rsid w:val="6E502D55"/>
    <w:rsid w:val="6EB5F366"/>
    <w:rsid w:val="6F1AFDF7"/>
    <w:rsid w:val="6F4A8097"/>
    <w:rsid w:val="6F8EF581"/>
    <w:rsid w:val="6FB48BF8"/>
    <w:rsid w:val="70134924"/>
    <w:rsid w:val="702D8C48"/>
    <w:rsid w:val="70ADDA1B"/>
    <w:rsid w:val="710460A3"/>
    <w:rsid w:val="710A002E"/>
    <w:rsid w:val="71B8FE08"/>
    <w:rsid w:val="721A58D8"/>
    <w:rsid w:val="733ED7F3"/>
    <w:rsid w:val="73693B27"/>
    <w:rsid w:val="7372613A"/>
    <w:rsid w:val="73D38193"/>
    <w:rsid w:val="740EC494"/>
    <w:rsid w:val="74F3D0B1"/>
    <w:rsid w:val="75986364"/>
    <w:rsid w:val="767678B5"/>
    <w:rsid w:val="769DBF53"/>
    <w:rsid w:val="76C685E2"/>
    <w:rsid w:val="76E6C4E5"/>
    <w:rsid w:val="76F2A8D7"/>
    <w:rsid w:val="7702B265"/>
    <w:rsid w:val="77E7794C"/>
    <w:rsid w:val="78BF3A28"/>
    <w:rsid w:val="7920B5EF"/>
    <w:rsid w:val="79A42AE0"/>
    <w:rsid w:val="79AE1977"/>
    <w:rsid w:val="7A325071"/>
    <w:rsid w:val="7A369FCD"/>
    <w:rsid w:val="7AC0250D"/>
    <w:rsid w:val="7ADCFB02"/>
    <w:rsid w:val="7B404D10"/>
    <w:rsid w:val="7B5FE04E"/>
    <w:rsid w:val="7C5856B1"/>
    <w:rsid w:val="7C7D8390"/>
    <w:rsid w:val="7C98172F"/>
    <w:rsid w:val="7DE85BF8"/>
    <w:rsid w:val="7E03E060"/>
    <w:rsid w:val="7E8A26AF"/>
    <w:rsid w:val="7E943EE4"/>
    <w:rsid w:val="7EF05717"/>
    <w:rsid w:val="7F072873"/>
    <w:rsid w:val="7F283866"/>
    <w:rsid w:val="7FA8A2C8"/>
    <w:rsid w:val="7FDE71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11F2DE"/>
  <w15:chartTrackingRefBased/>
  <w15:docId w15:val="{F5B05C77-2697-4A6B-9484-EBE7ADEB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E6C95"/>
  </w:style>
  <w:style w:type="paragraph" w:styleId="Kop1">
    <w:name w:val="heading 1"/>
    <w:basedOn w:val="Standaard"/>
    <w:next w:val="Standaard"/>
    <w:link w:val="Kop1Char"/>
    <w:uiPriority w:val="9"/>
    <w:qFormat/>
    <w:rsid w:val="004E6C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E6C95"/>
    <w:pPr>
      <w:keepNext/>
      <w:keepLines/>
      <w:numPr>
        <w:numId w:val="28"/>
      </w:numPr>
      <w:spacing w:before="120" w:after="0" w:line="240" w:lineRule="auto"/>
      <w:outlineLvl w:val="1"/>
    </w:pPr>
    <w:rPr>
      <w:rFonts w:eastAsiaTheme="majorEastAsia" w:cstheme="majorBidi"/>
      <w:b/>
      <w:bCs/>
      <w:color w:val="5B9BD5" w:themeColor="accent1"/>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E6C95"/>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4E6C95"/>
    <w:rPr>
      <w:rFonts w:eastAsiaTheme="majorEastAsia" w:cstheme="majorBidi"/>
      <w:b/>
      <w:bCs/>
      <w:color w:val="5B9BD5" w:themeColor="accent1"/>
      <w:sz w:val="28"/>
      <w:szCs w:val="26"/>
    </w:rPr>
  </w:style>
  <w:style w:type="paragraph" w:styleId="Lijstalinea">
    <w:name w:val="List Paragraph"/>
    <w:basedOn w:val="Standaard"/>
    <w:uiPriority w:val="34"/>
    <w:qFormat/>
    <w:rsid w:val="004E6C95"/>
    <w:pPr>
      <w:ind w:left="720"/>
      <w:contextualSpacing/>
    </w:pPr>
  </w:style>
  <w:style w:type="paragraph" w:styleId="Geenafstand">
    <w:name w:val="No Spacing"/>
    <w:uiPriority w:val="1"/>
    <w:qFormat/>
    <w:rsid w:val="004E6C95"/>
    <w:pPr>
      <w:spacing w:after="0" w:line="240" w:lineRule="auto"/>
    </w:pPr>
  </w:style>
  <w:style w:type="table" w:styleId="Tabelraster">
    <w:name w:val="Table Grid"/>
    <w:basedOn w:val="Standaardtabel"/>
    <w:uiPriority w:val="39"/>
    <w:rsid w:val="004E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6C95"/>
    <w:pPr>
      <w:autoSpaceDE w:val="0"/>
      <w:autoSpaceDN w:val="0"/>
      <w:adjustRightInd w:val="0"/>
      <w:spacing w:after="0" w:line="240" w:lineRule="auto"/>
    </w:pPr>
    <w:rPr>
      <w:rFonts w:ascii="Calibri" w:hAnsi="Calibri" w:cs="Calibri"/>
      <w:color w:val="000000"/>
      <w:sz w:val="24"/>
      <w:szCs w:val="24"/>
    </w:rPr>
  </w:style>
  <w:style w:type="paragraph" w:styleId="Koptekst">
    <w:name w:val="header"/>
    <w:basedOn w:val="Standaard"/>
    <w:link w:val="KoptekstChar"/>
    <w:uiPriority w:val="99"/>
    <w:unhideWhenUsed/>
    <w:rsid w:val="004E6C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6C95"/>
  </w:style>
  <w:style w:type="paragraph" w:styleId="Voettekst">
    <w:name w:val="footer"/>
    <w:basedOn w:val="Standaard"/>
    <w:link w:val="VoettekstChar"/>
    <w:uiPriority w:val="99"/>
    <w:unhideWhenUsed/>
    <w:rsid w:val="004E6C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E6C95"/>
  </w:style>
  <w:style w:type="paragraph" w:customStyle="1" w:styleId="Hoofdtekst">
    <w:name w:val="Hoofdtekst"/>
    <w:rsid w:val="004E6C9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nl-NL"/>
    </w:rPr>
  </w:style>
  <w:style w:type="numbering" w:customStyle="1" w:styleId="Streep">
    <w:name w:val="Streep"/>
    <w:rsid w:val="004E6C95"/>
    <w:pPr>
      <w:numPr>
        <w:numId w:val="6"/>
      </w:numPr>
    </w:pPr>
  </w:style>
  <w:style w:type="table" w:customStyle="1" w:styleId="Tabelraster1">
    <w:name w:val="Tabelraster1"/>
    <w:basedOn w:val="Standaardtabel"/>
    <w:next w:val="Tabelraster"/>
    <w:uiPriority w:val="39"/>
    <w:rsid w:val="004E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4E6C95"/>
  </w:style>
  <w:style w:type="character" w:styleId="Hyperlink">
    <w:name w:val="Hyperlink"/>
    <w:basedOn w:val="Standaardalinea-lettertype"/>
    <w:uiPriority w:val="99"/>
    <w:unhideWhenUsed/>
    <w:rsid w:val="004E6C95"/>
    <w:rPr>
      <w:color w:val="0563C1" w:themeColor="hyperlink"/>
      <w:u w:val="single"/>
    </w:rPr>
  </w:style>
  <w:style w:type="table" w:customStyle="1" w:styleId="Tabelraster2">
    <w:name w:val="Tabelraster2"/>
    <w:basedOn w:val="Standaardtabel"/>
    <w:next w:val="Tabelraster"/>
    <w:uiPriority w:val="59"/>
    <w:rsid w:val="004E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E6C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E6C95"/>
    <w:rPr>
      <w:rFonts w:ascii="Segoe UI" w:hAnsi="Segoe UI" w:cs="Segoe UI"/>
      <w:sz w:val="18"/>
      <w:szCs w:val="18"/>
    </w:rPr>
  </w:style>
  <w:style w:type="character" w:styleId="Voetnootmarkering">
    <w:name w:val="footnote reference"/>
    <w:uiPriority w:val="99"/>
    <w:rsid w:val="004E6C95"/>
    <w:rPr>
      <w:position w:val="0"/>
      <w:vertAlign w:val="superscript"/>
    </w:rPr>
  </w:style>
  <w:style w:type="paragraph" w:styleId="Voetnoottekst">
    <w:name w:val="footnote text"/>
    <w:basedOn w:val="Standaard"/>
    <w:link w:val="VoetnoottekstChar"/>
    <w:uiPriority w:val="99"/>
    <w:rsid w:val="004E6C95"/>
    <w:pPr>
      <w:suppressAutoHyphens/>
      <w:autoSpaceDN w:val="0"/>
      <w:spacing w:after="0" w:line="240" w:lineRule="auto"/>
      <w:textAlignment w:val="baseline"/>
    </w:pPr>
    <w:rPr>
      <w:rFonts w:ascii="Calibri" w:eastAsia="Calibri" w:hAnsi="Calibri" w:cs="Times New Roman"/>
      <w:sz w:val="20"/>
      <w:szCs w:val="20"/>
    </w:rPr>
  </w:style>
  <w:style w:type="character" w:customStyle="1" w:styleId="VoetnoottekstChar">
    <w:name w:val="Voetnoottekst Char"/>
    <w:basedOn w:val="Standaardalinea-lettertype"/>
    <w:link w:val="Voetnoottekst"/>
    <w:uiPriority w:val="99"/>
    <w:rsid w:val="004E6C95"/>
    <w:rPr>
      <w:rFonts w:ascii="Calibri" w:eastAsia="Calibri" w:hAnsi="Calibri" w:cs="Times New Roman"/>
      <w:sz w:val="20"/>
      <w:szCs w:val="20"/>
    </w:rPr>
  </w:style>
  <w:style w:type="paragraph" w:customStyle="1" w:styleId="mnone">
    <w:name w:val="mnone"/>
    <w:basedOn w:val="Standaard"/>
    <w:rsid w:val="004E6C9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top">
    <w:name w:val="mtop"/>
    <w:basedOn w:val="Standaard"/>
    <w:rsid w:val="004E6C9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4E6C9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E6C95"/>
    <w:rPr>
      <w:i/>
      <w:iCs/>
    </w:rPr>
  </w:style>
  <w:style w:type="character" w:styleId="Verwijzingopmerking">
    <w:name w:val="annotation reference"/>
    <w:basedOn w:val="Standaardalinea-lettertype"/>
    <w:uiPriority w:val="99"/>
    <w:semiHidden/>
    <w:unhideWhenUsed/>
    <w:rsid w:val="00F5155D"/>
    <w:rPr>
      <w:sz w:val="16"/>
      <w:szCs w:val="16"/>
    </w:rPr>
  </w:style>
  <w:style w:type="paragraph" w:styleId="Tekstopmerking">
    <w:name w:val="annotation text"/>
    <w:basedOn w:val="Standaard"/>
    <w:link w:val="TekstopmerkingChar"/>
    <w:uiPriority w:val="99"/>
    <w:semiHidden/>
    <w:unhideWhenUsed/>
    <w:rsid w:val="00F515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5155D"/>
    <w:rPr>
      <w:sz w:val="20"/>
      <w:szCs w:val="20"/>
    </w:rPr>
  </w:style>
  <w:style w:type="paragraph" w:styleId="Onderwerpvanopmerking">
    <w:name w:val="annotation subject"/>
    <w:basedOn w:val="Tekstopmerking"/>
    <w:next w:val="Tekstopmerking"/>
    <w:link w:val="OnderwerpvanopmerkingChar"/>
    <w:uiPriority w:val="99"/>
    <w:semiHidden/>
    <w:unhideWhenUsed/>
    <w:rsid w:val="00F5155D"/>
    <w:rPr>
      <w:b/>
      <w:bCs/>
    </w:rPr>
  </w:style>
  <w:style w:type="character" w:customStyle="1" w:styleId="OnderwerpvanopmerkingChar">
    <w:name w:val="Onderwerp van opmerking Char"/>
    <w:basedOn w:val="TekstopmerkingChar"/>
    <w:link w:val="Onderwerpvanopmerking"/>
    <w:uiPriority w:val="99"/>
    <w:semiHidden/>
    <w:rsid w:val="00F5155D"/>
    <w:rPr>
      <w:b/>
      <w:bCs/>
      <w:sz w:val="20"/>
      <w:szCs w:val="20"/>
    </w:rPr>
  </w:style>
  <w:style w:type="paragraph" w:styleId="Kopvaninhoudsopgave">
    <w:name w:val="TOC Heading"/>
    <w:basedOn w:val="Kop1"/>
    <w:next w:val="Standaard"/>
    <w:uiPriority w:val="39"/>
    <w:unhideWhenUsed/>
    <w:qFormat/>
    <w:rsid w:val="001F17AA"/>
    <w:pPr>
      <w:outlineLvl w:val="9"/>
    </w:pPr>
    <w:rPr>
      <w:lang w:eastAsia="nl-NL"/>
    </w:rPr>
  </w:style>
  <w:style w:type="paragraph" w:styleId="Inhopg1">
    <w:name w:val="toc 1"/>
    <w:basedOn w:val="Standaard"/>
    <w:next w:val="Standaard"/>
    <w:autoRedefine/>
    <w:uiPriority w:val="39"/>
    <w:unhideWhenUsed/>
    <w:rsid w:val="001F17A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xamenblad.nl/onderwerp/kandidaten-met-een-beperking/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dyslexiehulpmiddelen.com" TargetMode="External"/><Relationship Id="rId4" Type="http://schemas.openxmlformats.org/officeDocument/2006/relationships/settings" Target="settings.xml"/><Relationship Id="rId9" Type="http://schemas.openxmlformats.org/officeDocument/2006/relationships/hyperlink" Target="https://www.examenblad.nl/onderwerp/kandidaten-met-een-beperking/2017" TargetMode="External"/><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24990-4600-4408-AAF2-12FB7AACA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4538</Words>
  <Characters>24964</Characters>
  <Application>Microsoft Office Word</Application>
  <DocSecurity>4</DocSecurity>
  <Lines>208</Lines>
  <Paragraphs>58</Paragraphs>
  <ScaleCrop>false</ScaleCrop>
  <Company>Scholengroep Carmel Hengelo</Company>
  <LinksUpToDate>false</LinksUpToDate>
  <CharactersWithSpaces>29444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Aken, WJBM (Willem) van</dc:creator>
  <cp:keywords/>
  <dc:description/>
  <cp:lastModifiedBy>Put, K.J.A. (Kasper)</cp:lastModifiedBy>
  <cp:revision>2</cp:revision>
  <cp:lastPrinted>2017-10-17T12:59:00Z</cp:lastPrinted>
  <dcterms:created xsi:type="dcterms:W3CDTF">2022-01-27T14:02:00Z</dcterms:created>
  <dcterms:modified xsi:type="dcterms:W3CDTF">2022-01-27T14:02:00Z</dcterms:modified>
</cp:coreProperties>
</file>