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BEF69" w14:textId="46B2AB0E" w:rsidR="001330AA" w:rsidRPr="00497BF6" w:rsidRDefault="009B295A" w:rsidP="00027EC9">
      <w:pPr>
        <w:pStyle w:val="Heading2"/>
        <w:spacing w:line="360" w:lineRule="auto"/>
        <w:jc w:val="center"/>
        <w:rPr>
          <w:rFonts w:ascii="Calibri" w:hAnsi="Calibri" w:cs="Calibri"/>
          <w:sz w:val="36"/>
          <w:szCs w:val="36"/>
        </w:rPr>
      </w:pPr>
      <w:r w:rsidRPr="00497BF6">
        <w:rPr>
          <w:rFonts w:ascii="Calibri" w:hAnsi="Calibri" w:cs="Calibri"/>
          <w:sz w:val="36"/>
          <w:szCs w:val="36"/>
        </w:rPr>
        <w:t xml:space="preserve">AI in </w:t>
      </w:r>
      <w:r w:rsidR="001330AA" w:rsidRPr="00497BF6">
        <w:rPr>
          <w:rFonts w:ascii="Calibri" w:hAnsi="Calibri" w:cs="Calibri"/>
          <w:sz w:val="36"/>
          <w:szCs w:val="36"/>
        </w:rPr>
        <w:t>Banking</w:t>
      </w:r>
      <w:r w:rsidRPr="00497BF6">
        <w:rPr>
          <w:rFonts w:ascii="Calibri" w:hAnsi="Calibri" w:cs="Calibri"/>
          <w:sz w:val="36"/>
          <w:szCs w:val="36"/>
        </w:rPr>
        <w:t xml:space="preserve"> </w:t>
      </w:r>
      <w:r w:rsidR="001330AA" w:rsidRPr="00497BF6">
        <w:rPr>
          <w:rFonts w:ascii="Calibri" w:hAnsi="Calibri" w:cs="Calibri"/>
          <w:sz w:val="36"/>
          <w:szCs w:val="36"/>
        </w:rPr>
        <w:t>Compliance Checklist</w:t>
      </w:r>
    </w:p>
    <w:p w14:paraId="05F94A5F" w14:textId="77777777" w:rsidR="00695E3F" w:rsidRPr="00497BF6" w:rsidRDefault="00695E3F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Use this checklist before launch and after major changes to AI that interacts with customers or assists support staff.</w:t>
      </w:r>
    </w:p>
    <w:p w14:paraId="47A6C5D9" w14:textId="77777777" w:rsidR="00695E3F" w:rsidRPr="00497BF6" w:rsidRDefault="00695E3F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  <w:b/>
          <w:bCs/>
        </w:rPr>
        <w:t>Scope:</w:t>
      </w:r>
      <w:r w:rsidRPr="00497BF6">
        <w:rPr>
          <w:rFonts w:ascii="Calibri" w:hAnsi="Calibri" w:cs="Calibri"/>
        </w:rPr>
        <w:t xml:space="preserve"> This is a starting point, not a compliance certification. Requirements depend on the markets, products, customers, and AI use cases involved. Confirm applicable obligations with your compliance or legal team.</w:t>
      </w:r>
    </w:p>
    <w:p w14:paraId="6400FD88" w14:textId="77777777" w:rsidR="00695E3F" w:rsidRPr="00497BF6" w:rsidRDefault="00695E3F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  <w:b/>
          <w:bCs/>
        </w:rPr>
        <w:t>How to use it:</w:t>
      </w:r>
      <w:r w:rsidRPr="00497BF6">
        <w:rPr>
          <w:rFonts w:ascii="Calibri" w:hAnsi="Calibri" w:cs="Calibri"/>
        </w:rPr>
        <w:t xml:space="preserve"> Check an item when the control is in place. Note evidence or follow-up actions beneath each section.</w:t>
      </w:r>
    </w:p>
    <w:p w14:paraId="150B333C" w14:textId="77777777" w:rsidR="00695E3F" w:rsidRPr="00497BF6" w:rsidRDefault="00695E3F" w:rsidP="00027EC9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1. Use cases and accountability</w:t>
      </w:r>
    </w:p>
    <w:p w14:paraId="69B93CB1" w14:textId="4D7BBD3E" w:rsidR="00695E3F" w:rsidRPr="00497BF6" w:rsidRDefault="00E619C6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Record</w:t>
      </w:r>
      <w:r w:rsidR="00695E3F" w:rsidRPr="00497BF6">
        <w:rPr>
          <w:rFonts w:ascii="Calibri" w:hAnsi="Calibri" w:cs="Calibri"/>
        </w:rPr>
        <w:t xml:space="preserve"> what each AI system does, who it affects, what data it uses, and where it operates.</w:t>
      </w:r>
    </w:p>
    <w:p w14:paraId="025A3F7A" w14:textId="0F023495" w:rsidR="00695E3F" w:rsidRDefault="00E619C6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Assign</w:t>
      </w:r>
      <w:r w:rsidR="00695E3F" w:rsidRPr="00497BF6">
        <w:rPr>
          <w:rFonts w:ascii="Calibri" w:hAnsi="Calibri" w:cs="Calibri"/>
        </w:rPr>
        <w:t xml:space="preserve"> owners for approval, ongoing monitoring, incident response, and changes to the system.</w:t>
      </w:r>
    </w:p>
    <w:p w14:paraId="4B8F788D" w14:textId="489011DA" w:rsidR="00967F5F" w:rsidRPr="00967F5F" w:rsidRDefault="00967F5F" w:rsidP="00967F5F">
      <w:pPr>
        <w:spacing w:line="360" w:lineRule="auto"/>
        <w:rPr>
          <w:rFonts w:ascii="Calibri" w:hAnsi="Calibri" w:cs="Calibri"/>
        </w:rPr>
      </w:pPr>
      <w:r w:rsidRPr="00967F5F">
        <w:rPr>
          <w:rFonts w:ascii="Calibri" w:hAnsi="Calibri" w:cs="Calibri"/>
        </w:rPr>
        <w:t>Evidence or record link: __________</w:t>
      </w:r>
      <w:r w:rsidR="00176892">
        <w:rPr>
          <w:rFonts w:ascii="Calibri" w:hAnsi="Calibri" w:cs="Calibri"/>
        </w:rPr>
        <w:t>_________________________________________</w:t>
      </w:r>
    </w:p>
    <w:p w14:paraId="4890117A" w14:textId="3F8EBF5E" w:rsidR="00967F5F" w:rsidRPr="00497BF6" w:rsidRDefault="00967F5F" w:rsidP="00967F5F">
      <w:pPr>
        <w:spacing w:line="360" w:lineRule="auto"/>
        <w:rPr>
          <w:rFonts w:ascii="Calibri" w:hAnsi="Calibri" w:cs="Calibri"/>
        </w:rPr>
      </w:pPr>
      <w:r w:rsidRPr="00967F5F">
        <w:rPr>
          <w:rFonts w:ascii="Calibri" w:hAnsi="Calibri" w:cs="Calibri"/>
        </w:rPr>
        <w:t>Follow-up action: __________</w:t>
      </w:r>
      <w:r w:rsidR="00176892">
        <w:rPr>
          <w:rFonts w:ascii="Calibri" w:hAnsi="Calibri" w:cs="Calibri"/>
        </w:rPr>
        <w:t>______________________________________________</w:t>
      </w:r>
    </w:p>
    <w:p w14:paraId="070A80F0" w14:textId="77777777" w:rsidR="00695E3F" w:rsidRPr="00497BF6" w:rsidRDefault="00695E3F" w:rsidP="00027EC9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2. Safe and accurate answers</w:t>
      </w:r>
    </w:p>
    <w:p w14:paraId="3901239F" w14:textId="249438AD" w:rsidR="00695E3F" w:rsidRPr="00497BF6" w:rsidRDefault="000E11DD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Set</w:t>
      </w:r>
      <w:r w:rsidR="00695E3F" w:rsidRPr="00497BF6">
        <w:rPr>
          <w:rFonts w:ascii="Calibri" w:hAnsi="Calibri" w:cs="Calibri"/>
        </w:rPr>
        <w:t xml:space="preserve"> approved tasks and trusted sources. Route personalized financial advice and other out-of-scope requests to a qualified person.</w:t>
      </w:r>
    </w:p>
    <w:p w14:paraId="7BC05995" w14:textId="45E33BB0" w:rsidR="00695E3F" w:rsidRDefault="000E11DD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Test</w:t>
      </w:r>
      <w:r w:rsidR="00695E3F" w:rsidRPr="00497BF6">
        <w:rPr>
          <w:rFonts w:ascii="Calibri" w:hAnsi="Calibri" w:cs="Calibri"/>
        </w:rPr>
        <w:t xml:space="preserve"> for incorrect answers, unsafe financial guidance, unfair outcomes, and customer-data exposure before launch and after significant changes.</w:t>
      </w:r>
    </w:p>
    <w:p w14:paraId="29113F1A" w14:textId="24542701" w:rsidR="00967F5F" w:rsidRPr="00967F5F" w:rsidRDefault="00967F5F" w:rsidP="00967F5F">
      <w:pPr>
        <w:spacing w:line="360" w:lineRule="auto"/>
        <w:rPr>
          <w:rFonts w:ascii="Calibri" w:hAnsi="Calibri" w:cs="Calibri"/>
        </w:rPr>
      </w:pPr>
      <w:r w:rsidRPr="00967F5F">
        <w:rPr>
          <w:rFonts w:ascii="Calibri" w:hAnsi="Calibri" w:cs="Calibri"/>
        </w:rPr>
        <w:t>Evidence or record link: __________</w:t>
      </w:r>
      <w:r>
        <w:rPr>
          <w:rFonts w:ascii="Calibri" w:hAnsi="Calibri" w:cs="Calibri"/>
        </w:rPr>
        <w:t>_________________________________________</w:t>
      </w:r>
    </w:p>
    <w:p w14:paraId="69D80A6E" w14:textId="7E92ED6B" w:rsidR="00101ADF" w:rsidRDefault="00967F5F" w:rsidP="00967F5F">
      <w:pPr>
        <w:spacing w:line="360" w:lineRule="auto"/>
        <w:rPr>
          <w:rFonts w:ascii="Calibri" w:hAnsi="Calibri" w:cs="Calibri"/>
        </w:rPr>
      </w:pPr>
      <w:r w:rsidRPr="00967F5F">
        <w:rPr>
          <w:rFonts w:ascii="Calibri" w:hAnsi="Calibri" w:cs="Calibri"/>
        </w:rPr>
        <w:t>Follow-up action: __________</w:t>
      </w:r>
      <w:r>
        <w:rPr>
          <w:rFonts w:ascii="Calibri" w:hAnsi="Calibri" w:cs="Calibri"/>
        </w:rPr>
        <w:t>______________________________________________</w:t>
      </w:r>
      <w:r w:rsidR="00101ADF">
        <w:rPr>
          <w:rFonts w:ascii="Calibri" w:hAnsi="Calibri" w:cs="Calibri"/>
        </w:rPr>
        <w:br w:type="page"/>
      </w:r>
    </w:p>
    <w:p w14:paraId="48A06DEF" w14:textId="77777777" w:rsidR="00695E3F" w:rsidRPr="00497BF6" w:rsidRDefault="00695E3F" w:rsidP="00027EC9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lastRenderedPageBreak/>
        <w:t>3. Customer data</w:t>
      </w:r>
    </w:p>
    <w:p w14:paraId="4DA654AC" w14:textId="1CEA690D" w:rsidR="00695E3F" w:rsidRPr="00497BF6" w:rsidRDefault="000E11DD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Identify</w:t>
      </w:r>
      <w:r w:rsidR="00695E3F" w:rsidRPr="00497BF6">
        <w:rPr>
          <w:rFonts w:ascii="Calibri" w:hAnsi="Calibri" w:cs="Calibri"/>
        </w:rPr>
        <w:t xml:space="preserve"> a valid legal basis for using personal data where required. Explain that use and collect only what support needs.</w:t>
      </w:r>
    </w:p>
    <w:p w14:paraId="5BE0F837" w14:textId="77777777" w:rsidR="00F73025" w:rsidRDefault="000E11DD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Set</w:t>
      </w:r>
      <w:r w:rsidR="00695E3F" w:rsidRPr="00497BF6">
        <w:rPr>
          <w:rFonts w:ascii="Calibri" w:hAnsi="Calibri" w:cs="Calibri"/>
        </w:rPr>
        <w:t xml:space="preserve"> rules for data access, security, deletion, and retention across conversations, prompts, outputs, and logs.</w:t>
      </w:r>
    </w:p>
    <w:p w14:paraId="3DC87BCD" w14:textId="77777777" w:rsidR="00F71E14" w:rsidRDefault="00F73025" w:rsidP="00027EC9">
      <w:pPr>
        <w:spacing w:line="360" w:lineRule="auto"/>
        <w:rPr>
          <w:rFonts w:ascii="Calibri" w:hAnsi="Calibri" w:cs="Calibri"/>
        </w:rPr>
      </w:pPr>
      <w:r w:rsidRPr="00F73025">
        <w:rPr>
          <w:rFonts w:ascii="Segoe UI Symbol" w:hAnsi="Segoe UI Symbol" w:cs="Segoe UI Symbol"/>
        </w:rPr>
        <w:t>☐</w:t>
      </w:r>
      <w:r w:rsidRPr="00F73025">
        <w:rPr>
          <w:rFonts w:ascii="Calibri" w:hAnsi="Calibri" w:cs="Calibri"/>
        </w:rPr>
        <w:t xml:space="preserve"> Verify customer identity and access rights before AI retrieves account details or makes account changes.</w:t>
      </w:r>
    </w:p>
    <w:p w14:paraId="38931CD7" w14:textId="7B1A321C" w:rsidR="00F71E14" w:rsidRPr="00F71E14" w:rsidRDefault="00F71E14" w:rsidP="00F71E14">
      <w:pPr>
        <w:spacing w:line="360" w:lineRule="auto"/>
        <w:rPr>
          <w:rFonts w:ascii="Calibri" w:hAnsi="Calibri" w:cs="Calibri"/>
        </w:rPr>
      </w:pPr>
      <w:r w:rsidRPr="00F71E14">
        <w:rPr>
          <w:rFonts w:ascii="Calibri" w:hAnsi="Calibri" w:cs="Calibri"/>
        </w:rPr>
        <w:t>Evidence or record link: __________</w:t>
      </w:r>
      <w:r w:rsidR="00841A3E">
        <w:rPr>
          <w:rFonts w:ascii="Calibri" w:hAnsi="Calibri" w:cs="Calibri"/>
        </w:rPr>
        <w:t>_____________________________________</w:t>
      </w:r>
    </w:p>
    <w:p w14:paraId="348ED303" w14:textId="77777777" w:rsidR="00101ADF" w:rsidRDefault="00F71E14" w:rsidP="00F71E14">
      <w:pPr>
        <w:spacing w:line="360" w:lineRule="auto"/>
        <w:rPr>
          <w:rFonts w:ascii="Calibri" w:hAnsi="Calibri" w:cs="Calibri"/>
        </w:rPr>
      </w:pPr>
      <w:r w:rsidRPr="00F71E14">
        <w:rPr>
          <w:rFonts w:ascii="Calibri" w:hAnsi="Calibri" w:cs="Calibri"/>
        </w:rPr>
        <w:t>Follow-up action: __________</w:t>
      </w:r>
      <w:r w:rsidR="00841A3E">
        <w:rPr>
          <w:rFonts w:ascii="Calibri" w:hAnsi="Calibri" w:cs="Calibri"/>
        </w:rPr>
        <w:t>__________________________________________</w:t>
      </w:r>
    </w:p>
    <w:p w14:paraId="6641FBB8" w14:textId="77777777" w:rsidR="00101ADF" w:rsidRPr="00497BF6" w:rsidRDefault="00101ADF" w:rsidP="00101ADF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4. Customer transparency and human help</w:t>
      </w:r>
    </w:p>
    <w:p w14:paraId="0C62B5B0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Tell customers when they are interacting with AI where applicable law requires disclosure. Use clear language about what the system can and cannot do.</w:t>
      </w:r>
    </w:p>
    <w:p w14:paraId="41E0CD5F" w14:textId="77777777" w:rsidR="00101ADF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Make it easy to reach a trained agent for complaints, fraud reports, disputes, sensitive requests, repeat failures, or answers the system cannot provide confidently.</w:t>
      </w:r>
    </w:p>
    <w:p w14:paraId="68338456" w14:textId="77777777" w:rsidR="00101ADF" w:rsidRPr="004324F0" w:rsidRDefault="00101ADF" w:rsidP="00101ADF">
      <w:pPr>
        <w:spacing w:line="360" w:lineRule="auto"/>
        <w:rPr>
          <w:rFonts w:ascii="Calibri" w:hAnsi="Calibri" w:cs="Calibri"/>
        </w:rPr>
      </w:pPr>
      <w:r w:rsidRPr="004324F0">
        <w:rPr>
          <w:rFonts w:ascii="Calibri" w:hAnsi="Calibri" w:cs="Calibri"/>
        </w:rPr>
        <w:t>Evidence or record link: __________</w:t>
      </w:r>
      <w:r>
        <w:rPr>
          <w:rFonts w:ascii="Calibri" w:hAnsi="Calibri" w:cs="Calibri"/>
        </w:rPr>
        <w:t>_____________________________________</w:t>
      </w:r>
    </w:p>
    <w:p w14:paraId="1B68B461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4324F0">
        <w:rPr>
          <w:rFonts w:ascii="Calibri" w:hAnsi="Calibri" w:cs="Calibri"/>
        </w:rPr>
        <w:t>Follow-up action: __________</w:t>
      </w:r>
      <w:r>
        <w:rPr>
          <w:rFonts w:ascii="Calibri" w:hAnsi="Calibri" w:cs="Calibri"/>
        </w:rPr>
        <w:t>__________________________________________</w:t>
      </w:r>
    </w:p>
    <w:p w14:paraId="1ADCBE9D" w14:textId="77777777" w:rsidR="00101ADF" w:rsidRPr="00497BF6" w:rsidRDefault="00101ADF" w:rsidP="00101ADF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5. Monitoring and records</w:t>
      </w:r>
    </w:p>
    <w:p w14:paraId="21894A8E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Track answer quality, escalations, complaints, incidents, and customer outcomes. Set thresholds for review or pausing the system.</w:t>
      </w:r>
    </w:p>
    <w:p w14:paraId="2AFDE1EF" w14:textId="77777777" w:rsidR="00101ADF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Keep records needed to investigate AI interactions, incidents, and system changes. Set retention periods under applicable law and policy.</w:t>
      </w:r>
    </w:p>
    <w:p w14:paraId="68D15813" w14:textId="77777777" w:rsidR="00101ADF" w:rsidRPr="00EF5E41" w:rsidRDefault="00101ADF" w:rsidP="00101ADF">
      <w:pPr>
        <w:spacing w:line="360" w:lineRule="auto"/>
        <w:rPr>
          <w:rFonts w:ascii="Calibri" w:hAnsi="Calibri" w:cs="Calibri"/>
        </w:rPr>
      </w:pPr>
      <w:r w:rsidRPr="00EF5E41">
        <w:rPr>
          <w:rFonts w:ascii="Calibri" w:hAnsi="Calibri" w:cs="Calibri"/>
        </w:rPr>
        <w:t>Evidence or record link: __________</w:t>
      </w:r>
      <w:r>
        <w:rPr>
          <w:rFonts w:ascii="Calibri" w:hAnsi="Calibri" w:cs="Calibri"/>
        </w:rPr>
        <w:t>_____________________________________</w:t>
      </w:r>
    </w:p>
    <w:p w14:paraId="422CD154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EF5E41">
        <w:rPr>
          <w:rFonts w:ascii="Calibri" w:hAnsi="Calibri" w:cs="Calibri"/>
        </w:rPr>
        <w:t>Follow-up action: __________</w:t>
      </w:r>
      <w:r>
        <w:rPr>
          <w:rFonts w:ascii="Calibri" w:hAnsi="Calibri" w:cs="Calibri"/>
        </w:rPr>
        <w:t>__________________________________________</w:t>
      </w:r>
    </w:p>
    <w:p w14:paraId="4C676A18" w14:textId="77777777" w:rsidR="00101ADF" w:rsidRPr="00497BF6" w:rsidRDefault="00101ADF" w:rsidP="00101ADF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lastRenderedPageBreak/>
        <w:t>6. Vendor and third-party oversight</w:t>
      </w:r>
    </w:p>
    <w:p w14:paraId="365DE7BF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Review</w:t>
      </w:r>
      <w:r w:rsidRPr="00FB5ABF">
        <w:rPr>
          <w:rFonts w:ascii="Calibri" w:hAnsi="Calibri" w:cs="Calibri"/>
        </w:rPr>
        <w:t xml:space="preserve"> how vendors use, protect, and store customer data. Check who else can access it and how vendors report incidents and model changes.</w:t>
      </w:r>
    </w:p>
    <w:p w14:paraId="4B9059BC" w14:textId="77777777" w:rsidR="00101ADF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Segoe UI Symbol" w:hAnsi="Segoe UI Symbol" w:cs="Segoe UI Symbol"/>
        </w:rPr>
        <w:t>☐</w:t>
      </w:r>
      <w:r w:rsidRPr="00497BF6">
        <w:rPr>
          <w:rFonts w:ascii="Calibri" w:hAnsi="Calibri" w:cs="Calibri"/>
        </w:rPr>
        <w:t xml:space="preserve"> Document contract terms for data use, deletion, incident notice, oversight, and exit support. Reassess the vendor while the system is in use.</w:t>
      </w:r>
    </w:p>
    <w:p w14:paraId="7BCF68D8" w14:textId="77777777" w:rsidR="00101ADF" w:rsidRPr="00AE5E60" w:rsidRDefault="00101ADF" w:rsidP="00101ADF">
      <w:pPr>
        <w:spacing w:line="360" w:lineRule="auto"/>
        <w:rPr>
          <w:rFonts w:ascii="Calibri" w:hAnsi="Calibri" w:cs="Calibri"/>
        </w:rPr>
      </w:pPr>
      <w:r w:rsidRPr="00AE5E60">
        <w:rPr>
          <w:rFonts w:ascii="Calibri" w:hAnsi="Calibri" w:cs="Calibri"/>
        </w:rPr>
        <w:t>Evidence or record link: __________</w:t>
      </w:r>
      <w:r>
        <w:rPr>
          <w:rFonts w:ascii="Calibri" w:hAnsi="Calibri" w:cs="Calibri"/>
        </w:rPr>
        <w:t>______________________________________</w:t>
      </w:r>
    </w:p>
    <w:p w14:paraId="5EF627B8" w14:textId="77777777" w:rsidR="00101ADF" w:rsidRPr="00497BF6" w:rsidRDefault="00101ADF" w:rsidP="00101ADF">
      <w:pPr>
        <w:spacing w:line="360" w:lineRule="auto"/>
        <w:rPr>
          <w:rFonts w:ascii="Calibri" w:hAnsi="Calibri" w:cs="Calibri"/>
        </w:rPr>
      </w:pPr>
      <w:r w:rsidRPr="00AE5E60">
        <w:rPr>
          <w:rFonts w:ascii="Calibri" w:hAnsi="Calibri" w:cs="Calibri"/>
        </w:rPr>
        <w:t>Follow-up action: __________</w:t>
      </w:r>
      <w:r>
        <w:rPr>
          <w:rFonts w:ascii="Calibri" w:hAnsi="Calibri" w:cs="Calibri"/>
        </w:rPr>
        <w:t>___________________________________________</w:t>
      </w:r>
    </w:p>
    <w:p w14:paraId="245EA46C" w14:textId="77777777" w:rsidR="00101ADF" w:rsidRPr="00497BF6" w:rsidRDefault="00101ADF" w:rsidP="00101ADF">
      <w:pPr>
        <w:pStyle w:val="Heading3"/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Close open items</w:t>
      </w:r>
    </w:p>
    <w:p w14:paraId="5DD69042" w14:textId="77777777" w:rsidR="00101ADF" w:rsidRDefault="00101ADF" w:rsidP="00101ADF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>Before launch or expansion, assign an owner and due date to each unchecked item.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01ADF" w14:paraId="1C2D541D" w14:textId="77777777" w:rsidTr="002D6A3A">
        <w:tc>
          <w:tcPr>
            <w:tcW w:w="3005" w:type="dxa"/>
          </w:tcPr>
          <w:p w14:paraId="0B6929B1" w14:textId="77777777" w:rsidR="00101ADF" w:rsidRPr="003D540B" w:rsidRDefault="00101ADF" w:rsidP="002D6A3A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3D540B">
              <w:rPr>
                <w:rFonts w:ascii="Calibri" w:hAnsi="Calibri" w:cs="Calibri"/>
                <w:b/>
                <w:bCs/>
              </w:rPr>
              <w:t>Open item</w:t>
            </w:r>
          </w:p>
        </w:tc>
        <w:tc>
          <w:tcPr>
            <w:tcW w:w="3005" w:type="dxa"/>
          </w:tcPr>
          <w:p w14:paraId="5C712C7D" w14:textId="77777777" w:rsidR="00101ADF" w:rsidRPr="003D540B" w:rsidRDefault="00101ADF" w:rsidP="002D6A3A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3D540B">
              <w:rPr>
                <w:rFonts w:ascii="Calibri" w:hAnsi="Calibri" w:cs="Calibri"/>
                <w:b/>
                <w:bCs/>
              </w:rPr>
              <w:t>Owner</w:t>
            </w:r>
          </w:p>
        </w:tc>
        <w:tc>
          <w:tcPr>
            <w:tcW w:w="3006" w:type="dxa"/>
          </w:tcPr>
          <w:p w14:paraId="7CC4924B" w14:textId="77777777" w:rsidR="00101ADF" w:rsidRPr="003D540B" w:rsidRDefault="00101ADF" w:rsidP="002D6A3A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3D540B">
              <w:rPr>
                <w:rFonts w:ascii="Calibri" w:hAnsi="Calibri" w:cs="Calibri"/>
                <w:b/>
                <w:bCs/>
              </w:rPr>
              <w:t>Due date</w:t>
            </w:r>
          </w:p>
        </w:tc>
      </w:tr>
      <w:tr w:rsidR="00101ADF" w14:paraId="291915F2" w14:textId="77777777" w:rsidTr="002D6A3A">
        <w:tc>
          <w:tcPr>
            <w:tcW w:w="3005" w:type="dxa"/>
          </w:tcPr>
          <w:p w14:paraId="1200A299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005" w:type="dxa"/>
          </w:tcPr>
          <w:p w14:paraId="3D6A74B0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006" w:type="dxa"/>
          </w:tcPr>
          <w:p w14:paraId="380B6B1D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101ADF" w14:paraId="341C6F95" w14:textId="77777777" w:rsidTr="002D6A3A">
        <w:tc>
          <w:tcPr>
            <w:tcW w:w="3005" w:type="dxa"/>
          </w:tcPr>
          <w:p w14:paraId="426BB9A8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005" w:type="dxa"/>
          </w:tcPr>
          <w:p w14:paraId="39BE4C94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006" w:type="dxa"/>
          </w:tcPr>
          <w:p w14:paraId="548CAED8" w14:textId="77777777" w:rsidR="00101ADF" w:rsidRDefault="00101ADF" w:rsidP="002D6A3A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54437D74" w14:textId="77777777" w:rsidR="00101ADF" w:rsidRDefault="00101ADF" w:rsidP="00027EC9">
      <w:pPr>
        <w:spacing w:line="360" w:lineRule="auto"/>
        <w:rPr>
          <w:rFonts w:ascii="Calibri" w:hAnsi="Calibri" w:cs="Calibri"/>
        </w:rPr>
      </w:pPr>
    </w:p>
    <w:p w14:paraId="7CFD6701" w14:textId="7A8ED30C" w:rsidR="00695E3F" w:rsidRPr="00101ADF" w:rsidRDefault="00695E3F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  <w:b/>
          <w:bCs/>
          <w:sz w:val="28"/>
          <w:szCs w:val="28"/>
        </w:rPr>
        <w:t>Put your support workflow into practice</w:t>
      </w:r>
    </w:p>
    <w:p w14:paraId="7ABB5FDD" w14:textId="032DE799" w:rsidR="00224184" w:rsidRPr="00417FB9" w:rsidRDefault="00695E3F" w:rsidP="00027EC9">
      <w:pPr>
        <w:spacing w:line="360" w:lineRule="auto"/>
        <w:rPr>
          <w:rFonts w:ascii="Calibri" w:hAnsi="Calibri" w:cs="Calibri"/>
        </w:rPr>
      </w:pPr>
      <w:r w:rsidRPr="00497BF6">
        <w:rPr>
          <w:rFonts w:ascii="Calibri" w:hAnsi="Calibri" w:cs="Calibri"/>
        </w:rPr>
        <w:t xml:space="preserve">See how BoldDesk can support fintech help desk workflows. Sign up for a </w:t>
      </w:r>
      <w:hyperlink r:id="rId8" w:history="1">
        <w:r w:rsidRPr="00497BF6">
          <w:rPr>
            <w:rStyle w:val="Hyperlink"/>
            <w:rFonts w:ascii="Calibri" w:hAnsi="Calibri" w:cs="Calibri"/>
          </w:rPr>
          <w:t>15-day free trial</w:t>
        </w:r>
      </w:hyperlink>
      <w:r w:rsidRPr="00497BF6">
        <w:rPr>
          <w:rFonts w:ascii="Calibri" w:hAnsi="Calibri" w:cs="Calibri"/>
        </w:rPr>
        <w:t xml:space="preserve"> of BoldDesk today. No credit card </w:t>
      </w:r>
      <w:r w:rsidR="00497BF6" w:rsidRPr="00497BF6">
        <w:rPr>
          <w:rFonts w:ascii="Calibri" w:hAnsi="Calibri" w:cs="Calibri"/>
        </w:rPr>
        <w:t>is required</w:t>
      </w:r>
      <w:r w:rsidRPr="00497BF6">
        <w:rPr>
          <w:rFonts w:ascii="Calibri" w:hAnsi="Calibri" w:cs="Calibri"/>
        </w:rPr>
        <w:t>.</w:t>
      </w:r>
    </w:p>
    <w:sectPr w:rsidR="00224184" w:rsidRPr="00417FB9" w:rsidSect="001330AA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70B63" w14:textId="77777777" w:rsidR="00794E4B" w:rsidRPr="00497BF6" w:rsidRDefault="00794E4B" w:rsidP="001330AA">
      <w:pPr>
        <w:spacing w:after="0" w:line="240" w:lineRule="auto"/>
      </w:pPr>
      <w:r w:rsidRPr="00497BF6">
        <w:separator/>
      </w:r>
    </w:p>
  </w:endnote>
  <w:endnote w:type="continuationSeparator" w:id="0">
    <w:p w14:paraId="1B6A3878" w14:textId="77777777" w:rsidR="00794E4B" w:rsidRPr="00497BF6" w:rsidRDefault="00794E4B" w:rsidP="001330AA">
      <w:pPr>
        <w:spacing w:after="0" w:line="240" w:lineRule="auto"/>
      </w:pPr>
      <w:r w:rsidRPr="00497B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A2AB" w14:textId="245CEFD8" w:rsidR="001330AA" w:rsidRPr="00497BF6" w:rsidRDefault="001330AA" w:rsidP="001330AA">
    <w:pPr>
      <w:pStyle w:val="Footer"/>
      <w:jc w:val="right"/>
    </w:pPr>
    <w:r w:rsidRPr="00497BF6">
      <w:drawing>
        <wp:inline distT="0" distB="0" distL="0" distR="0" wp14:anchorId="1B488067" wp14:editId="54609F08">
          <wp:extent cx="871106" cy="230587"/>
          <wp:effectExtent l="0" t="0" r="5715" b="0"/>
          <wp:docPr id="14536971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696" cy="252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95FC69" w14:textId="64FBA103" w:rsidR="001330AA" w:rsidRPr="00497BF6" w:rsidRDefault="001330AA">
    <w:pPr>
      <w:pStyle w:val="Footer"/>
    </w:pPr>
  </w:p>
  <w:p w14:paraId="28E8C79D" w14:textId="77777777" w:rsidR="001330AA" w:rsidRPr="00497BF6" w:rsidRDefault="00133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CEFA" w14:textId="77777777" w:rsidR="00794E4B" w:rsidRPr="00497BF6" w:rsidRDefault="00794E4B" w:rsidP="001330AA">
      <w:pPr>
        <w:spacing w:after="0" w:line="240" w:lineRule="auto"/>
      </w:pPr>
      <w:r w:rsidRPr="00497BF6">
        <w:separator/>
      </w:r>
    </w:p>
  </w:footnote>
  <w:footnote w:type="continuationSeparator" w:id="0">
    <w:p w14:paraId="5013EEED" w14:textId="77777777" w:rsidR="00794E4B" w:rsidRPr="00497BF6" w:rsidRDefault="00794E4B" w:rsidP="001330AA">
      <w:pPr>
        <w:spacing w:after="0" w:line="240" w:lineRule="auto"/>
      </w:pPr>
      <w:r w:rsidRPr="00497B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4A0"/>
    <w:multiLevelType w:val="multilevel"/>
    <w:tmpl w:val="1ED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63406"/>
    <w:multiLevelType w:val="multilevel"/>
    <w:tmpl w:val="1ED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73534D"/>
    <w:multiLevelType w:val="multilevel"/>
    <w:tmpl w:val="1ED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DB3767"/>
    <w:multiLevelType w:val="multilevel"/>
    <w:tmpl w:val="1ED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C227F7"/>
    <w:multiLevelType w:val="multilevel"/>
    <w:tmpl w:val="1ED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462220">
    <w:abstractNumId w:val="3"/>
  </w:num>
  <w:num w:numId="2" w16cid:durableId="2015372536">
    <w:abstractNumId w:val="1"/>
  </w:num>
  <w:num w:numId="3" w16cid:durableId="202057849">
    <w:abstractNumId w:val="0"/>
  </w:num>
  <w:num w:numId="4" w16cid:durableId="1589003873">
    <w:abstractNumId w:val="4"/>
  </w:num>
  <w:num w:numId="5" w16cid:durableId="136194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AA"/>
    <w:rsid w:val="00020567"/>
    <w:rsid w:val="00027EC9"/>
    <w:rsid w:val="000B6602"/>
    <w:rsid w:val="000B77DE"/>
    <w:rsid w:val="000E11DD"/>
    <w:rsid w:val="000E3064"/>
    <w:rsid w:val="00101ADF"/>
    <w:rsid w:val="001330AA"/>
    <w:rsid w:val="00176892"/>
    <w:rsid w:val="00224184"/>
    <w:rsid w:val="00234931"/>
    <w:rsid w:val="002A4DC2"/>
    <w:rsid w:val="002E58DD"/>
    <w:rsid w:val="0039643A"/>
    <w:rsid w:val="003D540B"/>
    <w:rsid w:val="003F73F0"/>
    <w:rsid w:val="00400EBA"/>
    <w:rsid w:val="00417FB9"/>
    <w:rsid w:val="004324F0"/>
    <w:rsid w:val="00440E77"/>
    <w:rsid w:val="00497BF6"/>
    <w:rsid w:val="00695E3F"/>
    <w:rsid w:val="00794E4B"/>
    <w:rsid w:val="007B4464"/>
    <w:rsid w:val="007B59B0"/>
    <w:rsid w:val="007C208E"/>
    <w:rsid w:val="00841A3E"/>
    <w:rsid w:val="008B5EEB"/>
    <w:rsid w:val="008C6ACE"/>
    <w:rsid w:val="008E04FF"/>
    <w:rsid w:val="008E14B1"/>
    <w:rsid w:val="00967F5F"/>
    <w:rsid w:val="00987049"/>
    <w:rsid w:val="009B295A"/>
    <w:rsid w:val="00A0445C"/>
    <w:rsid w:val="00A05394"/>
    <w:rsid w:val="00A507A4"/>
    <w:rsid w:val="00AE5E60"/>
    <w:rsid w:val="00BD4494"/>
    <w:rsid w:val="00C059AF"/>
    <w:rsid w:val="00D7366F"/>
    <w:rsid w:val="00D92C3E"/>
    <w:rsid w:val="00E4725C"/>
    <w:rsid w:val="00E619C6"/>
    <w:rsid w:val="00EF5E41"/>
    <w:rsid w:val="00F424C2"/>
    <w:rsid w:val="00F71E14"/>
    <w:rsid w:val="00F73025"/>
    <w:rsid w:val="00F94952"/>
    <w:rsid w:val="00FB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37F16"/>
  <w15:chartTrackingRefBased/>
  <w15:docId w15:val="{99B455BA-2C79-4BD6-9037-93AF2573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0A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0A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330A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330A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0A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0A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0A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0A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0A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0A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33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0A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0A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33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0A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33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0A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330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3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0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3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AA"/>
    <w:rPr>
      <w:lang w:val="en-US"/>
    </w:rPr>
  </w:style>
  <w:style w:type="character" w:styleId="Hyperlink">
    <w:name w:val="Hyperlink"/>
    <w:basedOn w:val="DefaultParagraphFont"/>
    <w:uiPriority w:val="99"/>
    <w:unhideWhenUsed/>
    <w:rsid w:val="00A053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39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D5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bolddesk.com/signup?utm_source=blog&amp;utm_medium=referral&amp;utm_campaign=bolddesk&amp;leadsource=googl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E1EC5-6186-4D11-8A07-58421AD96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Flavian Atieno Odongo</dc:creator>
  <cp:keywords/>
  <dc:description/>
  <cp:lastModifiedBy>Flavian Atieno Odongo</cp:lastModifiedBy>
  <cp:revision>38</cp:revision>
  <dcterms:created xsi:type="dcterms:W3CDTF">2026-09-28T11:22:00Z</dcterms:created>
  <dcterms:modified xsi:type="dcterms:W3CDTF">2026-10-01T09:38:00Z</dcterms:modified>
</cp:coreProperties>
</file>