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A0044" w14:textId="656D2761" w:rsidR="00932F1A" w:rsidRPr="00DF075A" w:rsidRDefault="004B5E7D" w:rsidP="00932F1A">
      <w:pPr>
        <w:pStyle w:val="Title"/>
        <w:rPr>
          <w:sz w:val="10"/>
          <w:szCs w:val="10"/>
          <w:lang w:val="fr-CH"/>
        </w:rPr>
        <w:sectPr w:rsidR="00932F1A" w:rsidRPr="00DF075A" w:rsidSect="002F0870">
          <w:headerReference w:type="default" r:id="rId7"/>
          <w:footerReference w:type="default" r:id="rId8"/>
          <w:pgSz w:w="11906" w:h="16838"/>
          <w:pgMar w:top="720" w:right="720" w:bottom="720" w:left="720" w:header="567" w:footer="113" w:gutter="0"/>
          <w:cols w:space="528"/>
          <w:docGrid w:linePitch="360"/>
        </w:sectPr>
      </w:pPr>
      <w:r w:rsidRPr="00DF075A">
        <w:rPr>
          <w:lang w:val="fr-CH"/>
        </w:rPr>
        <w:t xml:space="preserve">Plan comptable Comptes du système </w:t>
      </w:r>
      <w:r w:rsidR="00932F1A" w:rsidRPr="00DF075A">
        <w:rPr>
          <w:lang w:val="fr-CH"/>
        </w:rPr>
        <w:br/>
      </w:r>
    </w:p>
    <w:p w14:paraId="647161AA" w14:textId="77777777" w:rsidR="00892746" w:rsidRPr="00DF075A" w:rsidRDefault="00892746" w:rsidP="00892746">
      <w:pPr>
        <w:pStyle w:val="Heading1"/>
        <w:rPr>
          <w:lang w:val="fr-CH"/>
        </w:rPr>
      </w:pPr>
      <w:r w:rsidRPr="00DF075A">
        <w:rPr>
          <w:lang w:val="fr-CH"/>
        </w:rPr>
        <w:t>1</w:t>
      </w:r>
      <w:r w:rsidRPr="00DF075A">
        <w:rPr>
          <w:lang w:val="fr-CH"/>
        </w:rPr>
        <w:tab/>
        <w:t>Actifs</w:t>
      </w:r>
    </w:p>
    <w:p w14:paraId="6CBC9A09" w14:textId="77777777" w:rsidR="00892746" w:rsidRPr="00DF075A" w:rsidRDefault="00892746" w:rsidP="00892746">
      <w:pPr>
        <w:pStyle w:val="Heading2"/>
        <w:rPr>
          <w:lang w:val="fr-CH"/>
        </w:rPr>
      </w:pPr>
      <w:r w:rsidRPr="00DF075A">
        <w:rPr>
          <w:lang w:val="fr-CH"/>
        </w:rPr>
        <w:t>10</w:t>
      </w:r>
      <w:r w:rsidRPr="00DF075A">
        <w:rPr>
          <w:lang w:val="fr-CH"/>
        </w:rPr>
        <w:tab/>
        <w:t>Actifs circulants</w:t>
      </w:r>
    </w:p>
    <w:p w14:paraId="1A6E3EF6" w14:textId="77777777" w:rsidR="00892746" w:rsidRPr="00DF075A" w:rsidRDefault="00892746" w:rsidP="00892746">
      <w:pPr>
        <w:pStyle w:val="Heading3"/>
        <w:rPr>
          <w:lang w:val="fr-CH"/>
        </w:rPr>
      </w:pPr>
      <w:r w:rsidRPr="00DF075A">
        <w:rPr>
          <w:lang w:val="fr-CH"/>
        </w:rPr>
        <w:t>100</w:t>
      </w:r>
      <w:r w:rsidRPr="00DF075A">
        <w:rPr>
          <w:lang w:val="fr-CH"/>
        </w:rPr>
        <w:tab/>
        <w:t>Trésorerie</w:t>
      </w:r>
    </w:p>
    <w:p w14:paraId="1272283B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1029</w:t>
      </w:r>
      <w:r w:rsidRPr="00DF075A">
        <w:rPr>
          <w:lang w:val="fr-CH"/>
        </w:rPr>
        <w:tab/>
        <w:t>Banque</w:t>
      </w:r>
    </w:p>
    <w:p w14:paraId="407E1023" w14:textId="77777777" w:rsidR="00892746" w:rsidRPr="00DF075A" w:rsidRDefault="00892746" w:rsidP="00892746">
      <w:pPr>
        <w:pStyle w:val="Heading3"/>
        <w:rPr>
          <w:lang w:val="fr-CH"/>
        </w:rPr>
      </w:pPr>
      <w:r w:rsidRPr="00DF075A">
        <w:rPr>
          <w:lang w:val="fr-CH"/>
        </w:rPr>
        <w:t>110</w:t>
      </w:r>
      <w:r w:rsidRPr="00DF075A">
        <w:rPr>
          <w:lang w:val="fr-CH"/>
        </w:rPr>
        <w:tab/>
        <w:t>Créances résultant de la vente de biens et de prestations de services</w:t>
      </w:r>
    </w:p>
    <w:p w14:paraId="3F3DEB1A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1100</w:t>
      </w:r>
      <w:r w:rsidRPr="00DF075A">
        <w:rPr>
          <w:lang w:val="fr-CH"/>
        </w:rPr>
        <w:tab/>
        <w:t>Créances suisses</w:t>
      </w:r>
    </w:p>
    <w:p w14:paraId="45711CDC" w14:textId="77777777" w:rsidR="00892746" w:rsidRPr="00DF075A" w:rsidRDefault="00892746" w:rsidP="00892746">
      <w:pPr>
        <w:pStyle w:val="Heading3"/>
        <w:rPr>
          <w:lang w:val="fr-CH"/>
        </w:rPr>
      </w:pPr>
      <w:r w:rsidRPr="00DF075A">
        <w:rPr>
          <w:lang w:val="fr-CH"/>
        </w:rPr>
        <w:t>117</w:t>
      </w:r>
      <w:r w:rsidRPr="00DF075A">
        <w:rPr>
          <w:lang w:val="fr-CH"/>
        </w:rPr>
        <w:tab/>
        <w:t>Créances à court terme envers des institutions publiques</w:t>
      </w:r>
    </w:p>
    <w:p w14:paraId="1F6D0AA7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1170</w:t>
      </w:r>
      <w:r w:rsidRPr="00DF075A">
        <w:rPr>
          <w:lang w:val="fr-CH"/>
        </w:rPr>
        <w:tab/>
        <w:t>Impôt préalable: TVA s/matériel, marchandises, prestations et énergie</w:t>
      </w:r>
    </w:p>
    <w:p w14:paraId="353E5D45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1171</w:t>
      </w:r>
      <w:r w:rsidRPr="00DF075A">
        <w:rPr>
          <w:lang w:val="fr-CH"/>
        </w:rPr>
        <w:tab/>
        <w:t>Impôt préalable: TVA s/investissements et autres charges d'exploitation</w:t>
      </w:r>
    </w:p>
    <w:p w14:paraId="348CE72D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1172</w:t>
      </w:r>
      <w:r w:rsidRPr="00DF075A">
        <w:rPr>
          <w:lang w:val="fr-CH"/>
        </w:rPr>
        <w:tab/>
        <w:t>Réconciliation de l'impôt préalable lors de changement de méthode</w:t>
      </w:r>
    </w:p>
    <w:p w14:paraId="1C8D6B49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1173</w:t>
      </w:r>
      <w:r w:rsidRPr="00DF075A">
        <w:rPr>
          <w:lang w:val="fr-CH"/>
        </w:rPr>
        <w:tab/>
        <w:t>Réduction de l'impôt préalable</w:t>
      </w:r>
    </w:p>
    <w:p w14:paraId="7859A35C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1174</w:t>
      </w:r>
      <w:r w:rsidRPr="00DF075A">
        <w:rPr>
          <w:lang w:val="fr-CH"/>
        </w:rPr>
        <w:tab/>
        <w:t>Correction de l'impôt préalable</w:t>
      </w:r>
    </w:p>
    <w:p w14:paraId="21DD0A71" w14:textId="77777777" w:rsidR="00892746" w:rsidRPr="00DF075A" w:rsidRDefault="00892746" w:rsidP="00892746">
      <w:pPr>
        <w:pStyle w:val="Heading1"/>
        <w:rPr>
          <w:lang w:val="fr-CH"/>
        </w:rPr>
      </w:pPr>
      <w:r w:rsidRPr="00DF075A">
        <w:rPr>
          <w:lang w:val="fr-CH"/>
        </w:rPr>
        <w:t>2</w:t>
      </w:r>
      <w:r w:rsidRPr="00DF075A">
        <w:rPr>
          <w:lang w:val="fr-CH"/>
        </w:rPr>
        <w:tab/>
        <w:t>Passifs</w:t>
      </w:r>
    </w:p>
    <w:p w14:paraId="37E65B01" w14:textId="77777777" w:rsidR="00892746" w:rsidRPr="00DF075A" w:rsidRDefault="00892746" w:rsidP="00892746">
      <w:pPr>
        <w:pStyle w:val="Heading2"/>
        <w:rPr>
          <w:lang w:val="fr-CH"/>
        </w:rPr>
      </w:pPr>
      <w:r w:rsidRPr="00DF075A">
        <w:rPr>
          <w:lang w:val="fr-CH"/>
        </w:rPr>
        <w:t>20</w:t>
      </w:r>
      <w:r w:rsidRPr="00DF075A">
        <w:rPr>
          <w:lang w:val="fr-CH"/>
        </w:rPr>
        <w:tab/>
        <w:t>Capitaux étrangers à court terme</w:t>
      </w:r>
    </w:p>
    <w:p w14:paraId="1B3E19EB" w14:textId="77777777" w:rsidR="00892746" w:rsidRPr="00DF075A" w:rsidRDefault="00892746" w:rsidP="00892746">
      <w:pPr>
        <w:pStyle w:val="Heading3"/>
        <w:rPr>
          <w:lang w:val="fr-CH"/>
        </w:rPr>
      </w:pPr>
      <w:r w:rsidRPr="00DF075A">
        <w:rPr>
          <w:lang w:val="fr-CH"/>
        </w:rPr>
        <w:t>200</w:t>
      </w:r>
      <w:r w:rsidRPr="00DF075A">
        <w:rPr>
          <w:lang w:val="fr-CH"/>
        </w:rPr>
        <w:tab/>
        <w:t>Dettes résultant de l'achat de biens et de prestations de services</w:t>
      </w:r>
    </w:p>
    <w:p w14:paraId="38751D12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2000</w:t>
      </w:r>
      <w:r w:rsidRPr="00DF075A">
        <w:rPr>
          <w:lang w:val="fr-CH"/>
        </w:rPr>
        <w:tab/>
        <w:t>Dettes résultant d'achats de matières et de marchandises</w:t>
      </w:r>
    </w:p>
    <w:p w14:paraId="7FE90710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2030</w:t>
      </w:r>
      <w:r w:rsidRPr="00DF075A">
        <w:rPr>
          <w:lang w:val="fr-CH"/>
        </w:rPr>
        <w:tab/>
        <w:t>Acomptes reçus de tiers</w:t>
      </w:r>
    </w:p>
    <w:p w14:paraId="29C0F49D" w14:textId="77777777" w:rsidR="00892746" w:rsidRPr="00DF075A" w:rsidRDefault="00892746" w:rsidP="00892746">
      <w:pPr>
        <w:pStyle w:val="Heading3"/>
        <w:rPr>
          <w:lang w:val="fr-CH"/>
        </w:rPr>
      </w:pPr>
      <w:r w:rsidRPr="00DF075A">
        <w:rPr>
          <w:lang w:val="fr-CH"/>
        </w:rPr>
        <w:t>220</w:t>
      </w:r>
      <w:r w:rsidRPr="00DF075A">
        <w:rPr>
          <w:lang w:val="fr-CH"/>
        </w:rPr>
        <w:tab/>
        <w:t>Autres dettes à court terme</w:t>
      </w:r>
    </w:p>
    <w:p w14:paraId="6A74F1FD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2200</w:t>
      </w:r>
      <w:r w:rsidRPr="00DF075A">
        <w:rPr>
          <w:lang w:val="fr-CH"/>
        </w:rPr>
        <w:tab/>
        <w:t>TVA due</w:t>
      </w:r>
    </w:p>
    <w:p w14:paraId="237477A4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2201</w:t>
      </w:r>
      <w:r w:rsidRPr="00DF075A">
        <w:rPr>
          <w:lang w:val="fr-CH"/>
        </w:rPr>
        <w:tab/>
        <w:t>Décompte TVA</w:t>
      </w:r>
    </w:p>
    <w:p w14:paraId="461E844D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2202</w:t>
      </w:r>
      <w:r w:rsidRPr="00DF075A">
        <w:rPr>
          <w:lang w:val="fr-CH"/>
        </w:rPr>
        <w:tab/>
        <w:t>Réconciliation du chiffre d'affaires suite à un changement de méthode</w:t>
      </w:r>
    </w:p>
    <w:p w14:paraId="1BC660E1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2203</w:t>
      </w:r>
      <w:r w:rsidRPr="00DF075A">
        <w:rPr>
          <w:lang w:val="fr-CH"/>
        </w:rPr>
        <w:tab/>
        <w:t>Impôt sur les acquisitions</w:t>
      </w:r>
    </w:p>
    <w:p w14:paraId="247F6897" w14:textId="77777777" w:rsidR="00892746" w:rsidRPr="00DF075A" w:rsidRDefault="00892746" w:rsidP="00892746">
      <w:pPr>
        <w:pStyle w:val="Heading1"/>
        <w:rPr>
          <w:lang w:val="fr-CH"/>
        </w:rPr>
      </w:pPr>
      <w:r w:rsidRPr="00DF075A">
        <w:rPr>
          <w:lang w:val="fr-CH"/>
        </w:rPr>
        <w:t>3</w:t>
      </w:r>
      <w:r w:rsidRPr="00DF075A">
        <w:rPr>
          <w:lang w:val="fr-CH"/>
        </w:rPr>
        <w:tab/>
        <w:t>Produits nets des ventes de biens et de prestations de services</w:t>
      </w:r>
    </w:p>
    <w:p w14:paraId="46DC1BF5" w14:textId="77777777" w:rsidR="00892746" w:rsidRPr="00DF075A" w:rsidRDefault="00892746" w:rsidP="00892746">
      <w:pPr>
        <w:pStyle w:val="Heading2"/>
        <w:rPr>
          <w:lang w:val="fr-CH"/>
        </w:rPr>
      </w:pPr>
      <w:r w:rsidRPr="00DF075A">
        <w:rPr>
          <w:lang w:val="fr-CH"/>
        </w:rPr>
        <w:t>32</w:t>
      </w:r>
      <w:r w:rsidRPr="00DF075A">
        <w:rPr>
          <w:lang w:val="fr-CH"/>
        </w:rPr>
        <w:tab/>
        <w:t>Ventes de marchandises</w:t>
      </w:r>
    </w:p>
    <w:p w14:paraId="05295B34" w14:textId="77777777" w:rsidR="00892746" w:rsidRPr="00DF075A" w:rsidRDefault="00892746" w:rsidP="00892746">
      <w:pPr>
        <w:pStyle w:val="Heading3"/>
        <w:rPr>
          <w:lang w:val="fr-CH"/>
        </w:rPr>
      </w:pPr>
      <w:r w:rsidRPr="00DF075A">
        <w:rPr>
          <w:lang w:val="fr-CH"/>
        </w:rPr>
        <w:t>320</w:t>
      </w:r>
      <w:r w:rsidRPr="00DF075A">
        <w:rPr>
          <w:lang w:val="fr-CH"/>
        </w:rPr>
        <w:tab/>
        <w:t>Ventes de marchandises</w:t>
      </w:r>
    </w:p>
    <w:p w14:paraId="1E9C7B29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3200</w:t>
      </w:r>
      <w:r w:rsidRPr="00DF075A">
        <w:rPr>
          <w:lang w:val="fr-CH"/>
        </w:rPr>
        <w:tab/>
        <w:t>Ventes de marchandises</w:t>
      </w:r>
    </w:p>
    <w:p w14:paraId="742DA03E" w14:textId="77777777" w:rsidR="00892746" w:rsidRPr="00DF075A" w:rsidRDefault="00892746" w:rsidP="00892746">
      <w:pPr>
        <w:pStyle w:val="Heading2"/>
        <w:rPr>
          <w:lang w:val="fr-CH"/>
        </w:rPr>
      </w:pPr>
      <w:r w:rsidRPr="00DF075A">
        <w:rPr>
          <w:lang w:val="fr-CH"/>
        </w:rPr>
        <w:t>38</w:t>
      </w:r>
      <w:r w:rsidRPr="00DF075A">
        <w:rPr>
          <w:lang w:val="fr-CH"/>
        </w:rPr>
        <w:tab/>
        <w:t>Déductions sur ventes</w:t>
      </w:r>
    </w:p>
    <w:p w14:paraId="15696E40" w14:textId="77777777" w:rsidR="00892746" w:rsidRPr="00DF075A" w:rsidRDefault="00892746" w:rsidP="00892746">
      <w:pPr>
        <w:pStyle w:val="Heading3"/>
        <w:rPr>
          <w:lang w:val="fr-CH"/>
        </w:rPr>
      </w:pPr>
      <w:r w:rsidRPr="00DF075A">
        <w:rPr>
          <w:lang w:val="fr-CH"/>
        </w:rPr>
        <w:t>380</w:t>
      </w:r>
      <w:r w:rsidRPr="00DF075A">
        <w:rPr>
          <w:lang w:val="fr-CH"/>
        </w:rPr>
        <w:tab/>
        <w:t>Déductions sur ventes</w:t>
      </w:r>
    </w:p>
    <w:p w14:paraId="08B74D51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3800</w:t>
      </w:r>
      <w:r w:rsidRPr="00DF075A">
        <w:rPr>
          <w:lang w:val="fr-CH"/>
        </w:rPr>
        <w:tab/>
        <w:t>Escomptes</w:t>
      </w:r>
    </w:p>
    <w:p w14:paraId="7B1DDB83" w14:textId="77777777" w:rsidR="00892746" w:rsidRPr="00DF075A" w:rsidRDefault="00892746" w:rsidP="00892746">
      <w:pPr>
        <w:pStyle w:val="Heading1"/>
        <w:rPr>
          <w:lang w:val="fr-CH"/>
        </w:rPr>
      </w:pPr>
      <w:r w:rsidRPr="00DF075A">
        <w:rPr>
          <w:lang w:val="fr-CH"/>
        </w:rPr>
        <w:t>4</w:t>
      </w:r>
      <w:r w:rsidRPr="00DF075A">
        <w:rPr>
          <w:lang w:val="fr-CH"/>
        </w:rPr>
        <w:tab/>
        <w:t>Charges de matériel, de marchandises et des prestations</w:t>
      </w:r>
    </w:p>
    <w:p w14:paraId="437B2E8B" w14:textId="77777777" w:rsidR="00892746" w:rsidRPr="00DF075A" w:rsidRDefault="00892746" w:rsidP="00892746">
      <w:pPr>
        <w:pStyle w:val="Heading2"/>
        <w:rPr>
          <w:lang w:val="fr-CH"/>
        </w:rPr>
      </w:pPr>
      <w:r w:rsidRPr="00DF075A">
        <w:rPr>
          <w:lang w:val="fr-CH"/>
        </w:rPr>
        <w:t>42</w:t>
      </w:r>
      <w:r w:rsidRPr="00DF075A">
        <w:rPr>
          <w:lang w:val="fr-CH"/>
        </w:rPr>
        <w:tab/>
        <w:t>Charges de marchandises</w:t>
      </w:r>
    </w:p>
    <w:p w14:paraId="67B5715F" w14:textId="77777777" w:rsidR="00892746" w:rsidRPr="00DF075A" w:rsidRDefault="00892746" w:rsidP="00892746">
      <w:pPr>
        <w:pStyle w:val="Heading3"/>
        <w:rPr>
          <w:lang w:val="fr-CH"/>
        </w:rPr>
      </w:pPr>
      <w:r w:rsidRPr="00DF075A">
        <w:rPr>
          <w:lang w:val="fr-CH"/>
        </w:rPr>
        <w:t>420</w:t>
      </w:r>
      <w:r w:rsidRPr="00DF075A">
        <w:rPr>
          <w:lang w:val="fr-CH"/>
        </w:rPr>
        <w:tab/>
        <w:t>Charges de marchandises destinées à la revente</w:t>
      </w:r>
    </w:p>
    <w:p w14:paraId="36CB326A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4200</w:t>
      </w:r>
      <w:r w:rsidRPr="00DF075A">
        <w:rPr>
          <w:lang w:val="fr-CH"/>
        </w:rPr>
        <w:tab/>
        <w:t>Achats de marchandises</w:t>
      </w:r>
    </w:p>
    <w:p w14:paraId="2C59CB60" w14:textId="77777777" w:rsidR="00892746" w:rsidRPr="00DF075A" w:rsidRDefault="00892746" w:rsidP="00892746">
      <w:pPr>
        <w:pStyle w:val="Heading2"/>
        <w:rPr>
          <w:lang w:val="fr-CH"/>
        </w:rPr>
      </w:pPr>
      <w:r w:rsidRPr="00DF075A">
        <w:rPr>
          <w:lang w:val="fr-CH"/>
        </w:rPr>
        <w:t>49</w:t>
      </w:r>
      <w:r w:rsidRPr="00DF075A">
        <w:rPr>
          <w:lang w:val="fr-CH"/>
        </w:rPr>
        <w:tab/>
        <w:t>Déductions obtenues sur achats</w:t>
      </w:r>
    </w:p>
    <w:p w14:paraId="0BDBE491" w14:textId="77777777" w:rsidR="00892746" w:rsidRPr="00DF075A" w:rsidRDefault="00892746" w:rsidP="00892746">
      <w:pPr>
        <w:pStyle w:val="Heading3"/>
        <w:rPr>
          <w:lang w:val="fr-CH"/>
        </w:rPr>
      </w:pPr>
      <w:r w:rsidRPr="00DF075A">
        <w:rPr>
          <w:lang w:val="fr-CH"/>
        </w:rPr>
        <w:t>490</w:t>
      </w:r>
      <w:r w:rsidRPr="00DF075A">
        <w:rPr>
          <w:lang w:val="fr-CH"/>
        </w:rPr>
        <w:tab/>
        <w:t>Réductions des prix d'achat</w:t>
      </w:r>
    </w:p>
    <w:p w14:paraId="0DDC351E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4900</w:t>
      </w:r>
      <w:r w:rsidRPr="00DF075A">
        <w:rPr>
          <w:lang w:val="fr-CH"/>
        </w:rPr>
        <w:tab/>
        <w:t>Escomptes</w:t>
      </w:r>
    </w:p>
    <w:p w14:paraId="53EE7A57" w14:textId="77777777" w:rsidR="00892746" w:rsidRPr="00DF075A" w:rsidRDefault="00892746" w:rsidP="00892746">
      <w:pPr>
        <w:pStyle w:val="Heading1"/>
        <w:rPr>
          <w:lang w:val="fr-CH"/>
        </w:rPr>
      </w:pPr>
      <w:r w:rsidRPr="00DF075A">
        <w:rPr>
          <w:lang w:val="fr-CH"/>
        </w:rPr>
        <w:t>6</w:t>
      </w:r>
      <w:r w:rsidRPr="00DF075A">
        <w:rPr>
          <w:lang w:val="fr-CH"/>
        </w:rPr>
        <w:tab/>
        <w:t>Autres charges d'exploitation</w:t>
      </w:r>
    </w:p>
    <w:p w14:paraId="7ED84F84" w14:textId="77777777" w:rsidR="00892746" w:rsidRPr="00DF075A" w:rsidRDefault="00892746" w:rsidP="00892746">
      <w:pPr>
        <w:pStyle w:val="Heading2"/>
        <w:rPr>
          <w:lang w:val="fr-CH"/>
        </w:rPr>
      </w:pPr>
      <w:r w:rsidRPr="00DF075A">
        <w:rPr>
          <w:lang w:val="fr-CH"/>
        </w:rPr>
        <w:t>68</w:t>
      </w:r>
      <w:r w:rsidRPr="00DF075A">
        <w:rPr>
          <w:lang w:val="fr-CH"/>
        </w:rPr>
        <w:tab/>
        <w:t>Amortissements et corrections de la valeur des actifs immobilisés</w:t>
      </w:r>
    </w:p>
    <w:p w14:paraId="4B6F7B15" w14:textId="77777777" w:rsidR="00892746" w:rsidRPr="00DF075A" w:rsidRDefault="00892746" w:rsidP="00892746">
      <w:pPr>
        <w:pStyle w:val="Heading2"/>
        <w:rPr>
          <w:lang w:val="fr-CH"/>
        </w:rPr>
      </w:pPr>
      <w:r w:rsidRPr="00DF075A">
        <w:rPr>
          <w:lang w:val="fr-CH"/>
        </w:rPr>
        <w:t>69</w:t>
      </w:r>
      <w:r w:rsidRPr="00DF075A">
        <w:rPr>
          <w:lang w:val="fr-CH"/>
        </w:rPr>
        <w:tab/>
        <w:t>Charges et produits financiers</w:t>
      </w:r>
    </w:p>
    <w:p w14:paraId="0ED19F7C" w14:textId="77777777" w:rsidR="00892746" w:rsidRPr="00DF075A" w:rsidRDefault="00892746" w:rsidP="00892746">
      <w:pPr>
        <w:pStyle w:val="Heading3"/>
        <w:rPr>
          <w:lang w:val="fr-CH"/>
        </w:rPr>
      </w:pPr>
      <w:r w:rsidRPr="00DF075A">
        <w:rPr>
          <w:lang w:val="fr-CH"/>
        </w:rPr>
        <w:t>690</w:t>
      </w:r>
      <w:r w:rsidRPr="00DF075A">
        <w:rPr>
          <w:lang w:val="fr-CH"/>
        </w:rPr>
        <w:tab/>
        <w:t>Charges financières</w:t>
      </w:r>
    </w:p>
    <w:p w14:paraId="1AE01D22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6945</w:t>
      </w:r>
      <w:r w:rsidRPr="00DF075A">
        <w:rPr>
          <w:lang w:val="fr-CH"/>
        </w:rPr>
        <w:tab/>
        <w:t>Différence d'arrondi</w:t>
      </w:r>
    </w:p>
    <w:p w14:paraId="22CA66F6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6949</w:t>
      </w:r>
      <w:r w:rsidRPr="00DF075A">
        <w:rPr>
          <w:lang w:val="fr-CH"/>
        </w:rPr>
        <w:tab/>
        <w:t>Pertes de change</w:t>
      </w:r>
    </w:p>
    <w:p w14:paraId="49DCBB64" w14:textId="77777777" w:rsidR="00892746" w:rsidRPr="00DF075A" w:rsidRDefault="00892746" w:rsidP="00892746">
      <w:pPr>
        <w:pStyle w:val="Heading3"/>
        <w:rPr>
          <w:lang w:val="fr-CH"/>
        </w:rPr>
      </w:pPr>
      <w:r w:rsidRPr="00DF075A">
        <w:rPr>
          <w:lang w:val="fr-CH"/>
        </w:rPr>
        <w:t>695</w:t>
      </w:r>
      <w:r w:rsidRPr="00DF075A">
        <w:rPr>
          <w:lang w:val="fr-CH"/>
        </w:rPr>
        <w:tab/>
        <w:t>Produits financiers</w:t>
      </w:r>
    </w:p>
    <w:p w14:paraId="340DC4DE" w14:textId="32C2DAF0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6999</w:t>
      </w:r>
      <w:r w:rsidRPr="00DF075A">
        <w:rPr>
          <w:lang w:val="fr-CH"/>
        </w:rPr>
        <w:tab/>
        <w:t>Gains de change</w:t>
      </w:r>
    </w:p>
    <w:p w14:paraId="7855F3F6" w14:textId="77777777" w:rsidR="00892746" w:rsidRPr="00DF075A" w:rsidRDefault="00892746" w:rsidP="00892746">
      <w:pPr>
        <w:rPr>
          <w:lang w:val="fr-CH"/>
        </w:rPr>
      </w:pPr>
    </w:p>
    <w:p w14:paraId="0F4654D0" w14:textId="77777777" w:rsidR="00892746" w:rsidRPr="00DF075A" w:rsidRDefault="00892746" w:rsidP="00892746">
      <w:pPr>
        <w:pStyle w:val="Heading1"/>
        <w:rPr>
          <w:lang w:val="fr-CH"/>
        </w:rPr>
      </w:pPr>
      <w:r w:rsidRPr="00DF075A">
        <w:rPr>
          <w:lang w:val="fr-CH"/>
        </w:rPr>
        <w:t>8</w:t>
      </w:r>
      <w:r w:rsidRPr="00DF075A">
        <w:rPr>
          <w:lang w:val="fr-CH"/>
        </w:rPr>
        <w:tab/>
        <w:t>Résultats exceptionnels et hors exploitation</w:t>
      </w:r>
    </w:p>
    <w:p w14:paraId="18307313" w14:textId="77777777" w:rsidR="00892746" w:rsidRPr="00DF075A" w:rsidRDefault="00892746" w:rsidP="00892746">
      <w:pPr>
        <w:pStyle w:val="Heading2"/>
        <w:rPr>
          <w:lang w:val="fr-CH"/>
        </w:rPr>
      </w:pPr>
      <w:r w:rsidRPr="00DF075A">
        <w:rPr>
          <w:lang w:val="fr-CH"/>
        </w:rPr>
        <w:t>80</w:t>
      </w:r>
      <w:r w:rsidRPr="00DF075A">
        <w:rPr>
          <w:lang w:val="fr-CH"/>
        </w:rPr>
        <w:tab/>
        <w:t>Résultats hors exploitation</w:t>
      </w:r>
    </w:p>
    <w:p w14:paraId="752C4961" w14:textId="3F080C0B" w:rsidR="00892746" w:rsidRPr="00DF075A" w:rsidRDefault="00892746" w:rsidP="00892746">
      <w:pPr>
        <w:pStyle w:val="Heading2"/>
        <w:rPr>
          <w:lang w:val="fr-CH"/>
        </w:rPr>
      </w:pPr>
      <w:r w:rsidRPr="00DF075A">
        <w:rPr>
          <w:lang w:val="fr-CH"/>
        </w:rPr>
        <w:t>85</w:t>
      </w:r>
      <w:r w:rsidRPr="00DF075A">
        <w:rPr>
          <w:lang w:val="fr-CH"/>
        </w:rPr>
        <w:tab/>
        <w:t>Charges et produits exceptionnels, uniques ou hors période</w:t>
      </w:r>
    </w:p>
    <w:p w14:paraId="52433654" w14:textId="77777777" w:rsidR="00892746" w:rsidRPr="00DF075A" w:rsidRDefault="00892746" w:rsidP="00892746">
      <w:pPr>
        <w:pStyle w:val="Heading1"/>
        <w:rPr>
          <w:lang w:val="fr-CH"/>
        </w:rPr>
      </w:pPr>
      <w:r w:rsidRPr="00DF075A">
        <w:rPr>
          <w:lang w:val="fr-CH"/>
        </w:rPr>
        <w:t>9</w:t>
      </w:r>
      <w:r w:rsidRPr="00DF075A">
        <w:rPr>
          <w:lang w:val="fr-CH"/>
        </w:rPr>
        <w:tab/>
        <w:t>Clôture</w:t>
      </w:r>
    </w:p>
    <w:p w14:paraId="7788062F" w14:textId="77777777" w:rsidR="00892746" w:rsidRPr="00DF075A" w:rsidRDefault="00892746" w:rsidP="00892746">
      <w:pPr>
        <w:pStyle w:val="Heading2"/>
        <w:rPr>
          <w:lang w:val="fr-CH"/>
        </w:rPr>
      </w:pPr>
      <w:r w:rsidRPr="00DF075A">
        <w:rPr>
          <w:lang w:val="fr-CH"/>
        </w:rPr>
        <w:t>91</w:t>
      </w:r>
      <w:r w:rsidRPr="00DF075A">
        <w:rPr>
          <w:lang w:val="fr-CH"/>
        </w:rPr>
        <w:tab/>
        <w:t>Clôture</w:t>
      </w:r>
    </w:p>
    <w:p w14:paraId="386238D4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9000</w:t>
      </w:r>
      <w:r w:rsidRPr="00DF075A">
        <w:rPr>
          <w:lang w:val="fr-CH"/>
        </w:rPr>
        <w:tab/>
        <w:t>Compte de résultat</w:t>
      </w:r>
    </w:p>
    <w:p w14:paraId="2B2AEB51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9100</w:t>
      </w:r>
      <w:r w:rsidRPr="00DF075A">
        <w:rPr>
          <w:lang w:val="fr-CH"/>
        </w:rPr>
        <w:tab/>
        <w:t>Bilan d'ouverture</w:t>
      </w:r>
    </w:p>
    <w:p w14:paraId="28925526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9101</w:t>
      </w:r>
      <w:r w:rsidRPr="00DF075A">
        <w:rPr>
          <w:lang w:val="fr-CH"/>
        </w:rPr>
        <w:tab/>
        <w:t>Bilan de clôture</w:t>
      </w:r>
    </w:p>
    <w:p w14:paraId="10D95AAA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9200</w:t>
      </w:r>
      <w:r w:rsidRPr="00DF075A">
        <w:rPr>
          <w:lang w:val="fr-CH"/>
        </w:rPr>
        <w:tab/>
        <w:t>Bénéfice ou perte de l'exercice</w:t>
      </w:r>
    </w:p>
    <w:p w14:paraId="7D77E6A6" w14:textId="77777777" w:rsidR="00892746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9900</w:t>
      </w:r>
      <w:r w:rsidRPr="00DF075A">
        <w:rPr>
          <w:lang w:val="fr-CH"/>
        </w:rPr>
        <w:tab/>
        <w:t>Corrections</w:t>
      </w:r>
    </w:p>
    <w:p w14:paraId="5F275F7D" w14:textId="7BD865AA" w:rsidR="00E744DF" w:rsidRPr="00DF075A" w:rsidRDefault="00892746" w:rsidP="00892746">
      <w:pPr>
        <w:pStyle w:val="Heading4"/>
        <w:rPr>
          <w:lang w:val="fr-CH"/>
        </w:rPr>
      </w:pPr>
      <w:r w:rsidRPr="00DF075A">
        <w:rPr>
          <w:lang w:val="fr-CH"/>
        </w:rPr>
        <w:t>9901</w:t>
      </w:r>
      <w:r w:rsidRPr="00DF075A">
        <w:rPr>
          <w:lang w:val="fr-CH"/>
        </w:rPr>
        <w:tab/>
        <w:t>Transfert de soldes</w:t>
      </w:r>
    </w:p>
    <w:sectPr w:rsidR="00E744DF" w:rsidRPr="00DF075A" w:rsidSect="002F0870">
      <w:type w:val="continuous"/>
      <w:pgSz w:w="11906" w:h="16838"/>
      <w:pgMar w:top="720" w:right="720" w:bottom="720" w:left="720" w:header="567" w:footer="113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E3E14" w14:textId="77777777" w:rsidR="0074376C" w:rsidRDefault="0074376C" w:rsidP="00860A0B">
      <w:pPr>
        <w:spacing w:before="0" w:after="0" w:line="240" w:lineRule="auto"/>
      </w:pPr>
      <w:r>
        <w:separator/>
      </w:r>
    </w:p>
  </w:endnote>
  <w:endnote w:type="continuationSeparator" w:id="0">
    <w:p w14:paraId="1FD86FE4" w14:textId="77777777" w:rsidR="0074376C" w:rsidRDefault="0074376C" w:rsidP="00860A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CDF72" w14:textId="77777777" w:rsidR="00FB2542" w:rsidRPr="000C4E9B" w:rsidRDefault="00FB2542" w:rsidP="00FB2542">
    <w:pPr>
      <w:pStyle w:val="Footer"/>
      <w:jc w:val="right"/>
      <w:rPr>
        <w:color w:val="0D2F3B"/>
      </w:rPr>
    </w:pPr>
    <w:r w:rsidRPr="000C4E9B">
      <w:rPr>
        <w:color w:val="0D2F3B"/>
      </w:rPr>
      <w:fldChar w:fldCharType="begin"/>
    </w:r>
    <w:r w:rsidRPr="000C4E9B">
      <w:rPr>
        <w:color w:val="0D2F3B"/>
      </w:rPr>
      <w:instrText xml:space="preserve"> PAGE  \* Arabic  \* MERGEFORMAT </w:instrText>
    </w:r>
    <w:r w:rsidRPr="000C4E9B">
      <w:rPr>
        <w:color w:val="0D2F3B"/>
      </w:rPr>
      <w:fldChar w:fldCharType="separate"/>
    </w:r>
    <w:r>
      <w:rPr>
        <w:color w:val="0D2F3B"/>
      </w:rPr>
      <w:t>1</w:t>
    </w:r>
    <w:r w:rsidRPr="000C4E9B">
      <w:rPr>
        <w:color w:val="0D2F3B"/>
      </w:rPr>
      <w:fldChar w:fldCharType="end"/>
    </w:r>
    <w:r w:rsidRPr="000C4E9B">
      <w:rPr>
        <w:color w:val="0D2F3B"/>
      </w:rPr>
      <w:t xml:space="preserve"> </w:t>
    </w:r>
    <w:r>
      <w:rPr>
        <w:color w:val="0D2F3B"/>
        <w:lang w:val="de-CH"/>
      </w:rPr>
      <w:t>/</w:t>
    </w:r>
    <w:r w:rsidRPr="000C4E9B">
      <w:rPr>
        <w:color w:val="0D2F3B"/>
      </w:rPr>
      <w:t xml:space="preserve"> </w:t>
    </w:r>
    <w:r w:rsidRPr="000C4E9B">
      <w:rPr>
        <w:color w:val="0D2F3B"/>
      </w:rPr>
      <w:fldChar w:fldCharType="begin"/>
    </w:r>
    <w:r w:rsidRPr="000C4E9B">
      <w:rPr>
        <w:color w:val="0D2F3B"/>
      </w:rPr>
      <w:instrText xml:space="preserve"> NUMPAGES  \* Arabic  \* MERGEFORMAT </w:instrText>
    </w:r>
    <w:r w:rsidRPr="000C4E9B">
      <w:rPr>
        <w:color w:val="0D2F3B"/>
      </w:rPr>
      <w:fldChar w:fldCharType="separate"/>
    </w:r>
    <w:r>
      <w:rPr>
        <w:color w:val="0D2F3B"/>
      </w:rPr>
      <w:t>3</w:t>
    </w:r>
    <w:r w:rsidRPr="000C4E9B">
      <w:rPr>
        <w:color w:val="0D2F3B"/>
      </w:rPr>
      <w:fldChar w:fldCharType="end"/>
    </w:r>
  </w:p>
  <w:p w14:paraId="5956BC86" w14:textId="77777777" w:rsidR="00FB2542" w:rsidRPr="00FB2542" w:rsidRDefault="00FB2542" w:rsidP="00FB2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E3B09" w14:textId="77777777" w:rsidR="0074376C" w:rsidRDefault="0074376C" w:rsidP="00860A0B">
      <w:pPr>
        <w:spacing w:before="0" w:after="0" w:line="240" w:lineRule="auto"/>
      </w:pPr>
      <w:r>
        <w:separator/>
      </w:r>
    </w:p>
  </w:footnote>
  <w:footnote w:type="continuationSeparator" w:id="0">
    <w:p w14:paraId="552A0E95" w14:textId="77777777" w:rsidR="0074376C" w:rsidRDefault="0074376C" w:rsidP="00860A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390A0" w14:textId="31F61152" w:rsidR="00860A0B" w:rsidRDefault="00FB2542" w:rsidP="002F08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EA940D" wp14:editId="6EE8BBF7">
              <wp:simplePos x="0" y="0"/>
              <wp:positionH relativeFrom="column">
                <wp:posOffset>-556260</wp:posOffset>
              </wp:positionH>
              <wp:positionV relativeFrom="paragraph">
                <wp:posOffset>-377353</wp:posOffset>
              </wp:positionV>
              <wp:extent cx="7668260" cy="389255"/>
              <wp:effectExtent l="0" t="0" r="2540" b="44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260" cy="389255"/>
                      </a:xfrm>
                      <a:prstGeom prst="rect">
                        <a:avLst/>
                      </a:prstGeom>
                      <a:solidFill>
                        <a:srgbClr val="0D2F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B7D3C" id="Rectangle 5" o:spid="_x0000_s1026" style="position:absolute;margin-left:-43.8pt;margin-top:-29.7pt;width:603.8pt;height:3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" fillcolor="#0d2f3b" stroked="f" strokeweight="1pt"/>
          </w:pict>
        </mc:Fallback>
      </mc:AlternateContent>
    </w:r>
    <w:r w:rsidR="002F0870">
      <w:rPr>
        <w:noProof/>
      </w:rPr>
      <w:drawing>
        <wp:anchor distT="0" distB="0" distL="114300" distR="114300" simplePos="0" relativeHeight="251660288" behindDoc="0" locked="0" layoutInCell="1" allowOverlap="1" wp14:anchorId="78BB4202" wp14:editId="7C8BA26A">
          <wp:simplePos x="0" y="0"/>
          <wp:positionH relativeFrom="margin">
            <wp:posOffset>5795010</wp:posOffset>
          </wp:positionH>
          <wp:positionV relativeFrom="margin">
            <wp:posOffset>-473075</wp:posOffset>
          </wp:positionV>
          <wp:extent cx="850900" cy="279400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B3"/>
    <w:rsid w:val="000629AE"/>
    <w:rsid w:val="00096001"/>
    <w:rsid w:val="00152443"/>
    <w:rsid w:val="00165A92"/>
    <w:rsid w:val="00165DCE"/>
    <w:rsid w:val="0025213D"/>
    <w:rsid w:val="002A0F36"/>
    <w:rsid w:val="002F0870"/>
    <w:rsid w:val="002F7953"/>
    <w:rsid w:val="003072AC"/>
    <w:rsid w:val="00372ACE"/>
    <w:rsid w:val="003865B6"/>
    <w:rsid w:val="003E6797"/>
    <w:rsid w:val="004153E8"/>
    <w:rsid w:val="004754BE"/>
    <w:rsid w:val="0047741A"/>
    <w:rsid w:val="004B524E"/>
    <w:rsid w:val="004B5E7D"/>
    <w:rsid w:val="00587E87"/>
    <w:rsid w:val="00616A1B"/>
    <w:rsid w:val="00635155"/>
    <w:rsid w:val="006E7DF0"/>
    <w:rsid w:val="006F2D3C"/>
    <w:rsid w:val="00721C60"/>
    <w:rsid w:val="0074376C"/>
    <w:rsid w:val="00815DAA"/>
    <w:rsid w:val="00860A0B"/>
    <w:rsid w:val="008918E3"/>
    <w:rsid w:val="00892746"/>
    <w:rsid w:val="008F0066"/>
    <w:rsid w:val="00932F1A"/>
    <w:rsid w:val="009344C3"/>
    <w:rsid w:val="00987458"/>
    <w:rsid w:val="009E3198"/>
    <w:rsid w:val="009E3D31"/>
    <w:rsid w:val="00A01D09"/>
    <w:rsid w:val="00A66A7B"/>
    <w:rsid w:val="00A71C13"/>
    <w:rsid w:val="00AA4BD3"/>
    <w:rsid w:val="00B92D27"/>
    <w:rsid w:val="00B97EBA"/>
    <w:rsid w:val="00C40CA8"/>
    <w:rsid w:val="00CA6155"/>
    <w:rsid w:val="00CF403C"/>
    <w:rsid w:val="00D32D04"/>
    <w:rsid w:val="00D470EF"/>
    <w:rsid w:val="00D961FB"/>
    <w:rsid w:val="00DA6D81"/>
    <w:rsid w:val="00DD1B98"/>
    <w:rsid w:val="00DF075A"/>
    <w:rsid w:val="00E428B3"/>
    <w:rsid w:val="00E744DF"/>
    <w:rsid w:val="00EB7881"/>
    <w:rsid w:val="00EE3210"/>
    <w:rsid w:val="00F40E02"/>
    <w:rsid w:val="00FB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91AFD"/>
  <w15:chartTrackingRefBased/>
  <w15:docId w15:val="{96ACF4ED-EC86-0146-B609-F62DC3E4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B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870"/>
    <w:pPr>
      <w:pBdr>
        <w:top w:val="single" w:sz="24" w:space="0" w:color="0B4859"/>
        <w:left w:val="single" w:sz="24" w:space="0" w:color="0B4859"/>
        <w:bottom w:val="single" w:sz="24" w:space="0" w:color="0B4859"/>
        <w:right w:val="single" w:sz="24" w:space="0" w:color="0B4859"/>
      </w:pBdr>
      <w:shd w:val="clear" w:color="auto" w:fill="0B4859"/>
      <w:tabs>
        <w:tab w:val="left" w:pos="680"/>
      </w:tabs>
      <w:spacing w:before="0" w:after="20" w:line="240" w:lineRule="auto"/>
      <w:ind w:left="680" w:hanging="680"/>
      <w:outlineLvl w:val="0"/>
    </w:pPr>
    <w:rPr>
      <w:rFonts w:ascii="Lato" w:hAnsi="Lato" w:cs="Times New Roman (Body CS)"/>
      <w:b/>
      <w:bCs/>
      <w:color w:val="FFFFFF" w:themeColor="background1"/>
      <w:spacing w:val="15"/>
      <w:sz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D09"/>
    <w:pPr>
      <w:pBdr>
        <w:top w:val="single" w:sz="24" w:space="0" w:color="ECEDEB"/>
        <w:left w:val="single" w:sz="24" w:space="0" w:color="ECEDEB"/>
        <w:bottom w:val="single" w:sz="24" w:space="0" w:color="ECEDEB"/>
        <w:right w:val="single" w:sz="24" w:space="0" w:color="ECEDEB"/>
      </w:pBdr>
      <w:shd w:val="clear" w:color="auto" w:fill="ECEDEB"/>
      <w:tabs>
        <w:tab w:val="left" w:pos="680"/>
      </w:tabs>
      <w:spacing w:before="0" w:after="0" w:line="240" w:lineRule="auto"/>
      <w:ind w:left="680" w:hanging="680"/>
      <w:outlineLvl w:val="1"/>
    </w:pPr>
    <w:rPr>
      <w:rFonts w:ascii="Lato" w:hAnsi="Lato" w:cs="Times New Roman (Body CS)"/>
      <w:b/>
      <w:spacing w:val="15"/>
      <w:sz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A0B"/>
    <w:pPr>
      <w:tabs>
        <w:tab w:val="left" w:pos="680"/>
      </w:tabs>
      <w:spacing w:before="0" w:after="0" w:line="240" w:lineRule="auto"/>
      <w:ind w:left="680" w:hanging="680"/>
      <w:outlineLvl w:val="2"/>
    </w:pPr>
    <w:rPr>
      <w:rFonts w:ascii="Lato" w:hAnsi="Lato" w:cs="Times New Roman (Body CS)"/>
      <w:b/>
      <w:color w:val="000000" w:themeColor="text1"/>
      <w:spacing w:val="15"/>
      <w:sz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A0B"/>
    <w:pPr>
      <w:tabs>
        <w:tab w:val="left" w:pos="680"/>
      </w:tabs>
      <w:spacing w:before="0" w:after="160" w:line="240" w:lineRule="auto"/>
      <w:ind w:left="680" w:hanging="680"/>
      <w:contextualSpacing/>
      <w:outlineLvl w:val="3"/>
    </w:pPr>
    <w:rPr>
      <w:rFonts w:ascii="Lato" w:hAnsi="Lato" w:cs="Times New Roman (Body CS)"/>
      <w:color w:val="000000" w:themeColor="text1"/>
      <w:spacing w:val="10"/>
      <w:sz w:val="1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8B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8B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8B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8B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8B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870"/>
    <w:rPr>
      <w:rFonts w:ascii="Lato" w:hAnsi="Lato" w:cs="Times New Roman (Body CS)"/>
      <w:b/>
      <w:bCs/>
      <w:color w:val="FFFFFF" w:themeColor="background1"/>
      <w:spacing w:val="15"/>
      <w:sz w:val="15"/>
      <w:shd w:val="clear" w:color="auto" w:fill="0B4859"/>
    </w:rPr>
  </w:style>
  <w:style w:type="character" w:customStyle="1" w:styleId="Heading2Char">
    <w:name w:val="Heading 2 Char"/>
    <w:basedOn w:val="DefaultParagraphFont"/>
    <w:link w:val="Heading2"/>
    <w:uiPriority w:val="9"/>
    <w:rsid w:val="00A01D09"/>
    <w:rPr>
      <w:rFonts w:ascii="Lato" w:hAnsi="Lato" w:cs="Times New Roman (Body CS)"/>
      <w:b/>
      <w:spacing w:val="15"/>
      <w:sz w:val="15"/>
      <w:shd w:val="clear" w:color="auto" w:fill="ECEDEB"/>
    </w:rPr>
  </w:style>
  <w:style w:type="character" w:customStyle="1" w:styleId="Heading3Char">
    <w:name w:val="Heading 3 Char"/>
    <w:basedOn w:val="DefaultParagraphFont"/>
    <w:link w:val="Heading3"/>
    <w:uiPriority w:val="9"/>
    <w:rsid w:val="00860A0B"/>
    <w:rPr>
      <w:rFonts w:ascii="Lato" w:hAnsi="Lato" w:cs="Times New Roman (Body CS)"/>
      <w:b/>
      <w:color w:val="000000" w:themeColor="text1"/>
      <w:spacing w:val="15"/>
      <w:sz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60A0B"/>
    <w:rPr>
      <w:rFonts w:ascii="Lato" w:hAnsi="Lato" w:cs="Times New Roman (Body CS)"/>
      <w:color w:val="000000" w:themeColor="text1"/>
      <w:spacing w:val="10"/>
      <w:sz w:val="1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8B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8B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8B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8B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8B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28B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0870"/>
    <w:pPr>
      <w:spacing w:before="360"/>
    </w:pPr>
    <w:rPr>
      <w:caps/>
      <w:color w:val="0D2F3B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0870"/>
    <w:rPr>
      <w:caps/>
      <w:color w:val="0D2F3B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8B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28B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428B3"/>
    <w:rPr>
      <w:b/>
      <w:bCs/>
    </w:rPr>
  </w:style>
  <w:style w:type="character" w:styleId="Emphasis">
    <w:name w:val="Emphasis"/>
    <w:uiPriority w:val="20"/>
    <w:qFormat/>
    <w:rsid w:val="00E428B3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428B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428B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428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28B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28B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8B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8B3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E428B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428B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428B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428B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428B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28B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60A0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0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0A0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9B89F2-ADD9-9E4B-82A3-7FD77FA3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Lenz</dc:creator>
  <cp:keywords/>
  <dc:description/>
  <cp:lastModifiedBy>Marcel Lenz</cp:lastModifiedBy>
  <cp:revision>9</cp:revision>
  <cp:lastPrinted>2020-07-27T11:41:00Z</cp:lastPrinted>
  <dcterms:created xsi:type="dcterms:W3CDTF">2020-07-27T12:37:00Z</dcterms:created>
  <dcterms:modified xsi:type="dcterms:W3CDTF">2020-09-07T08:09:00Z</dcterms:modified>
</cp:coreProperties>
</file>