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FBF3" w14:textId="77777777" w:rsidR="00527269" w:rsidRPr="00092396" w:rsidRDefault="00527269" w:rsidP="00527269">
      <w:pPr>
        <w:pStyle w:val="BodyText"/>
        <w:rPr>
          <w:rFonts w:asciiTheme="minorHAnsi" w:hAnsiTheme="minorHAnsi" w:cstheme="minorHAnsi"/>
          <w:noProof/>
        </w:rPr>
      </w:pPr>
    </w:p>
    <w:p w14:paraId="4FA48AB6" w14:textId="5DBFE809" w:rsidR="00527269" w:rsidRPr="00092396" w:rsidRDefault="007316F0" w:rsidP="00527269">
      <w:pPr>
        <w:pStyle w:val="BodyTex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Written</w:t>
      </w:r>
      <w:r w:rsidR="00527269" w:rsidRPr="00092396">
        <w:rPr>
          <w:rFonts w:asciiTheme="minorHAnsi" w:hAnsiTheme="minorHAnsi" w:cstheme="minorHAnsi"/>
          <w:noProof/>
        </w:rPr>
        <w:t xml:space="preserve"> feedback based on </w:t>
      </w:r>
      <w:r w:rsidR="00726055" w:rsidRPr="00092396">
        <w:rPr>
          <w:rFonts w:asciiTheme="minorHAnsi" w:hAnsiTheme="minorHAnsi" w:cstheme="minorHAnsi"/>
          <w:noProof/>
        </w:rPr>
        <w:t xml:space="preserve">topics provided at December </w:t>
      </w:r>
      <w:r w:rsidR="00F06024" w:rsidRPr="00092396">
        <w:rPr>
          <w:rFonts w:asciiTheme="minorHAnsi" w:hAnsiTheme="minorHAnsi" w:cstheme="minorHAnsi"/>
          <w:noProof/>
        </w:rPr>
        <w:t xml:space="preserve">E2SSB 5367 </w:t>
      </w:r>
      <w:r w:rsidR="00726055" w:rsidRPr="00092396">
        <w:rPr>
          <w:rFonts w:asciiTheme="minorHAnsi" w:hAnsiTheme="minorHAnsi" w:cstheme="minorHAnsi"/>
          <w:noProof/>
        </w:rPr>
        <w:t xml:space="preserve">rulemaking engagement </w:t>
      </w:r>
      <w:r w:rsidR="00F06024" w:rsidRPr="00092396">
        <w:rPr>
          <w:rFonts w:asciiTheme="minorHAnsi" w:hAnsiTheme="minorHAnsi" w:cstheme="minorHAnsi"/>
          <w:noProof/>
        </w:rPr>
        <w:t>sessions</w:t>
      </w:r>
    </w:p>
    <w:p w14:paraId="6E95F2BF" w14:textId="77777777" w:rsidR="00F06024" w:rsidRPr="00092396" w:rsidRDefault="00F06024" w:rsidP="00527269">
      <w:pPr>
        <w:pStyle w:val="BodyText"/>
        <w:rPr>
          <w:rFonts w:asciiTheme="minorHAnsi" w:hAnsiTheme="minorHAnsi" w:cstheme="minorHAnsi"/>
          <w:noProof/>
        </w:rPr>
      </w:pPr>
    </w:p>
    <w:p w14:paraId="664F547C" w14:textId="17987A9D" w:rsidR="00165238" w:rsidRPr="00092396" w:rsidRDefault="00AB7164" w:rsidP="00527269">
      <w:pPr>
        <w:pStyle w:val="BodyText"/>
        <w:rPr>
          <w:rFonts w:asciiTheme="minorHAnsi" w:hAnsiTheme="minorHAnsi" w:cstheme="minorHAnsi"/>
        </w:rPr>
      </w:pPr>
      <w:r w:rsidRPr="00092396">
        <w:rPr>
          <w:rFonts w:asciiTheme="minorHAnsi" w:hAnsiTheme="minorHAnsi" w:cstheme="minorHAnsi"/>
          <w:u w:val="single"/>
        </w:rPr>
        <w:t>Discussion</w:t>
      </w:r>
      <w:r w:rsidRPr="0009239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092396">
        <w:rPr>
          <w:rFonts w:asciiTheme="minorHAnsi" w:hAnsiTheme="minorHAnsi" w:cstheme="minorHAnsi"/>
          <w:spacing w:val="-2"/>
          <w:u w:val="single"/>
        </w:rPr>
        <w:t>Topics</w:t>
      </w:r>
    </w:p>
    <w:p w14:paraId="0C68FC8E" w14:textId="77777777" w:rsidR="00165238" w:rsidRPr="00092396" w:rsidRDefault="00AB7164" w:rsidP="00555323">
      <w:pPr>
        <w:pStyle w:val="ListParagraph"/>
        <w:numPr>
          <w:ilvl w:val="0"/>
          <w:numId w:val="1"/>
        </w:numPr>
        <w:tabs>
          <w:tab w:val="left" w:pos="1998"/>
        </w:tabs>
        <w:spacing w:before="240" w:after="240" w:line="264" w:lineRule="auto"/>
        <w:ind w:left="790" w:hanging="358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b/>
          <w:sz w:val="24"/>
          <w:szCs w:val="24"/>
        </w:rPr>
        <w:t>Amended</w:t>
      </w:r>
      <w:r w:rsidRPr="000923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z w:val="24"/>
          <w:szCs w:val="24"/>
        </w:rPr>
        <w:t>definition</w:t>
      </w:r>
      <w:r w:rsidRPr="0009239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z w:val="24"/>
          <w:szCs w:val="24"/>
        </w:rPr>
        <w:t>of</w:t>
      </w:r>
      <w:r w:rsidRPr="00092396">
        <w:rPr>
          <w:rFonts w:asciiTheme="minorHAnsi" w:hAnsiTheme="minorHAnsi" w:cstheme="minorHAnsi"/>
          <w:b/>
          <w:spacing w:val="6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z w:val="24"/>
          <w:szCs w:val="24"/>
        </w:rPr>
        <w:t>“THC</w:t>
      </w:r>
      <w:r w:rsidRPr="000923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gramStart"/>
      <w:r w:rsidRPr="00092396">
        <w:rPr>
          <w:rFonts w:asciiTheme="minorHAnsi" w:hAnsiTheme="minorHAnsi" w:cstheme="minorHAnsi"/>
          <w:b/>
          <w:spacing w:val="-2"/>
          <w:sz w:val="24"/>
          <w:szCs w:val="24"/>
        </w:rPr>
        <w:t>concentration</w:t>
      </w:r>
      <w:proofErr w:type="gramEnd"/>
      <w:r w:rsidRPr="00092396">
        <w:rPr>
          <w:rFonts w:asciiTheme="minorHAnsi" w:hAnsiTheme="minorHAnsi" w:cstheme="minorHAnsi"/>
          <w:b/>
          <w:spacing w:val="-2"/>
          <w:sz w:val="24"/>
          <w:szCs w:val="24"/>
        </w:rPr>
        <w:t>”</w:t>
      </w:r>
    </w:p>
    <w:p w14:paraId="47653400" w14:textId="36F310A2" w:rsidR="00165238" w:rsidRPr="00092396" w:rsidRDefault="00AB7164" w:rsidP="00922E21">
      <w:pPr>
        <w:pStyle w:val="ListParagraph"/>
        <w:numPr>
          <w:ilvl w:val="1"/>
          <w:numId w:val="1"/>
        </w:numPr>
        <w:tabs>
          <w:tab w:val="left" w:pos="2720"/>
        </w:tabs>
        <w:spacing w:before="240" w:after="240" w:line="264" w:lineRule="auto"/>
        <w:ind w:left="1296" w:hanging="43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b/>
          <w:sz w:val="24"/>
          <w:szCs w:val="24"/>
        </w:rPr>
        <w:t>Statutory</w:t>
      </w:r>
      <w:r w:rsidRPr="0009239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z w:val="24"/>
          <w:szCs w:val="24"/>
        </w:rPr>
        <w:t>change</w:t>
      </w:r>
      <w:r w:rsidRPr="00092396">
        <w:rPr>
          <w:rFonts w:asciiTheme="minorHAnsi" w:hAnsiTheme="minorHAnsi" w:cstheme="minorHAnsi"/>
          <w:sz w:val="24"/>
          <w:szCs w:val="24"/>
        </w:rPr>
        <w:t>: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E2SSB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5367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expands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definition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of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“THC concentration” to include forms of THC, not only delta-9 THC</w:t>
      </w:r>
      <w:r w:rsidR="00874D7D" w:rsidRPr="00092396">
        <w:rPr>
          <w:rFonts w:asciiTheme="minorHAnsi" w:hAnsiTheme="minorHAnsi" w:cstheme="minorHAnsi"/>
          <w:sz w:val="24"/>
          <w:szCs w:val="24"/>
        </w:rPr>
        <w:t xml:space="preserve">, </w:t>
      </w:r>
      <w:r w:rsidRPr="00092396">
        <w:rPr>
          <w:rFonts w:asciiTheme="minorHAnsi" w:hAnsiTheme="minorHAnsi" w:cstheme="minorHAnsi"/>
          <w:sz w:val="24"/>
          <w:szCs w:val="24"/>
        </w:rPr>
        <w:t>RCW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>69.50.101</w:t>
      </w:r>
    </w:p>
    <w:p w14:paraId="1088BC32" w14:textId="77777777" w:rsidR="00165238" w:rsidRPr="00092396" w:rsidRDefault="00AB7164" w:rsidP="00555323">
      <w:pPr>
        <w:pStyle w:val="Heading1"/>
        <w:numPr>
          <w:ilvl w:val="1"/>
          <w:numId w:val="1"/>
        </w:numPr>
        <w:tabs>
          <w:tab w:val="left" w:pos="2719"/>
        </w:tabs>
        <w:spacing w:before="120" w:after="120" w:line="264" w:lineRule="auto"/>
        <w:ind w:left="1296" w:right="144" w:hanging="432"/>
        <w:rPr>
          <w:rFonts w:asciiTheme="minorHAnsi" w:hAnsiTheme="minorHAnsi" w:cstheme="minorHAnsi"/>
        </w:rPr>
      </w:pPr>
      <w:r w:rsidRPr="00092396">
        <w:rPr>
          <w:rFonts w:asciiTheme="minorHAnsi" w:hAnsiTheme="minorHAnsi" w:cstheme="minorHAnsi"/>
        </w:rPr>
        <w:t>Topics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</w:rPr>
        <w:t>for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  <w:spacing w:val="-2"/>
        </w:rPr>
        <w:t>consideration:</w:t>
      </w:r>
    </w:p>
    <w:p w14:paraId="68A8759F" w14:textId="77777777" w:rsidR="00165238" w:rsidRPr="00092396" w:rsidRDefault="00AB7164" w:rsidP="00555323">
      <w:pPr>
        <w:pStyle w:val="ListParagraph"/>
        <w:numPr>
          <w:ilvl w:val="2"/>
          <w:numId w:val="1"/>
        </w:numPr>
        <w:tabs>
          <w:tab w:val="left" w:pos="3439"/>
        </w:tabs>
        <w:spacing w:before="120" w:after="120" w:line="264" w:lineRule="auto"/>
        <w:ind w:left="1656" w:hanging="360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What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cannabinoids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should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be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included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in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 xml:space="preserve">potency 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>testing?</w:t>
      </w:r>
    </w:p>
    <w:p w14:paraId="655ABA00" w14:textId="77777777" w:rsidR="007664FE" w:rsidRPr="00092396" w:rsidRDefault="00AB7164" w:rsidP="00555323">
      <w:pPr>
        <w:pStyle w:val="ListParagraph"/>
        <w:numPr>
          <w:ilvl w:val="3"/>
          <w:numId w:val="1"/>
        </w:numPr>
        <w:tabs>
          <w:tab w:val="left" w:pos="4160"/>
        </w:tabs>
        <w:spacing w:before="120" w:after="120" w:line="264" w:lineRule="auto"/>
        <w:ind w:left="2016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How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and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calculate</w:t>
      </w:r>
      <w:r w:rsidRPr="000923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“active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THC;”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7598C449" w14:textId="77777777" w:rsidR="00650802" w:rsidRPr="00092396" w:rsidRDefault="007664FE" w:rsidP="00555323">
      <w:pPr>
        <w:pStyle w:val="ListParagraph"/>
        <w:tabs>
          <w:tab w:val="left" w:pos="4160"/>
        </w:tabs>
        <w:spacing w:before="120" w:after="120" w:line="264" w:lineRule="auto"/>
        <w:ind w:left="2016" w:firstLine="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We don’t think this is a productive path. </w:t>
      </w:r>
    </w:p>
    <w:p w14:paraId="21B53C17" w14:textId="3369E544" w:rsidR="00165238" w:rsidRPr="00092396" w:rsidRDefault="007664FE" w:rsidP="00555323">
      <w:pPr>
        <w:pStyle w:val="ListParagraph"/>
        <w:tabs>
          <w:tab w:val="left" w:pos="4160"/>
        </w:tabs>
        <w:spacing w:before="120" w:after="120" w:line="264" w:lineRule="auto"/>
        <w:ind w:left="2016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There are 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too </w:t>
      </w: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many 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factors 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when considering which cannabinoids should be classified as active and 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too many 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aspects of potential cognitive effects 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to achieve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a standardized single measure for active THC/cannabinoids 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that reflects currently available</w:t>
      </w:r>
      <w:r w:rsidR="003E2711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="00D000C1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information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. We suggest instead keeping the definition of total THC as it is currently, and effectively avoiding the emergence of other THC like comp</w:t>
      </w:r>
      <w:r w:rsidR="00650802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o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unds by prohibiting synthetic/ semi-synthetic production. </w:t>
      </w:r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br/>
        <w:t xml:space="preserve">Because research necessarily </w:t>
      </w:r>
      <w:proofErr w:type="gramStart"/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lags behind</w:t>
      </w:r>
      <w:proofErr w:type="gramEnd"/>
      <w:r w:rsidR="00855F10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in evaluating the effects of new compounds, we believe this is the</w:t>
      </w:r>
      <w:r w:rsidR="00E736C1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only strategy that will ensure a reliable measure of a product</w:t>
      </w:r>
      <w:r w:rsidR="00D000C1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’</w:t>
      </w:r>
      <w:r w:rsidR="00E736C1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s total THC and corresponding impairment.</w:t>
      </w:r>
    </w:p>
    <w:p w14:paraId="40CF0457" w14:textId="77777777" w:rsidR="00165238" w:rsidRPr="00092396" w:rsidRDefault="00AB7164" w:rsidP="00555323">
      <w:pPr>
        <w:pStyle w:val="ListParagraph"/>
        <w:numPr>
          <w:ilvl w:val="3"/>
          <w:numId w:val="1"/>
        </w:numPr>
        <w:tabs>
          <w:tab w:val="left" w:pos="4160"/>
        </w:tabs>
        <w:spacing w:before="120" w:after="120" w:line="264" w:lineRule="auto"/>
        <w:ind w:left="2016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How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and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calculate</w:t>
      </w:r>
      <w:r w:rsidRPr="000923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“total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>THC.”</w:t>
      </w:r>
    </w:p>
    <w:p w14:paraId="4573C248" w14:textId="7DF6D39F" w:rsidR="008A4ED4" w:rsidRPr="00092396" w:rsidRDefault="007664FE" w:rsidP="00C3683F">
      <w:pPr>
        <w:pStyle w:val="ListParagraph"/>
        <w:tabs>
          <w:tab w:val="left" w:pos="4160"/>
        </w:tabs>
        <w:spacing w:before="120" w:after="120" w:line="264" w:lineRule="auto"/>
        <w:ind w:left="2016" w:firstLine="0"/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</w:pPr>
      <w:proofErr w:type="gramStart"/>
      <w:r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We 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prefer</w:t>
      </w:r>
      <w:proofErr w:type="gramEnd"/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="006243A2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that 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the measurement</w:t>
      </w:r>
      <w:r w:rsidR="00C523F4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be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based on total THC and us</w:t>
      </w:r>
      <w:r w:rsidR="00A079AA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e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the current formula for total THC concentration</w:t>
      </w:r>
      <w:r w:rsidR="00C523F4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, or on an approach that labels each ‘type’ of THC present and the respective concentrations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. </w:t>
      </w:r>
      <w:r w:rsidR="00C523F4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In either case, the approach should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proofErr w:type="gramStart"/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evaluated annually</w:t>
      </w:r>
      <w:proofErr w:type="gramEnd"/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by </w:t>
      </w:r>
      <w:r w:rsidR="00A079AA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a 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subject area expert</w:t>
      </w:r>
      <w:r w:rsidR="00A079AA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group 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based on what is actually being </w:t>
      </w:r>
      <w:r w:rsidR="00C523F4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observed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="007316F0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by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enforcement and </w:t>
      </w:r>
      <w:r w:rsidR="00C523F4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in retail cannabis products</w:t>
      </w:r>
      <w:r w:rsidR="003A6A9F" w:rsidRPr="00092396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.</w:t>
      </w:r>
      <w:r w:rsidR="008A4ED4" w:rsidRPr="00092396">
        <w:rPr>
          <w:rFonts w:asciiTheme="minorHAnsi" w:hAnsiTheme="minorHAnsi" w:cstheme="minorHAnsi"/>
          <w:sz w:val="24"/>
          <w:szCs w:val="24"/>
        </w:rPr>
        <w:br w:type="page"/>
      </w:r>
    </w:p>
    <w:p w14:paraId="4EE43CCF" w14:textId="79762B9B" w:rsidR="00165238" w:rsidRPr="00092396" w:rsidRDefault="00AB7164" w:rsidP="00555323">
      <w:pPr>
        <w:pStyle w:val="Heading1"/>
        <w:numPr>
          <w:ilvl w:val="0"/>
          <w:numId w:val="1"/>
        </w:numPr>
        <w:tabs>
          <w:tab w:val="left" w:pos="1998"/>
        </w:tabs>
        <w:spacing w:before="240" w:after="240" w:line="264" w:lineRule="auto"/>
        <w:rPr>
          <w:rFonts w:asciiTheme="minorHAnsi" w:hAnsiTheme="minorHAnsi" w:cstheme="minorHAnsi"/>
          <w:b w:val="0"/>
        </w:rPr>
      </w:pPr>
      <w:r w:rsidRPr="00092396">
        <w:rPr>
          <w:rFonts w:asciiTheme="minorHAnsi" w:hAnsiTheme="minorHAnsi" w:cstheme="minorHAnsi"/>
        </w:rPr>
        <w:lastRenderedPageBreak/>
        <w:t>Amended</w:t>
      </w:r>
      <w:r w:rsidRPr="00092396">
        <w:rPr>
          <w:rFonts w:asciiTheme="minorHAnsi" w:hAnsiTheme="minorHAnsi" w:cstheme="minorHAnsi"/>
          <w:spacing w:val="-1"/>
        </w:rPr>
        <w:t xml:space="preserve"> </w:t>
      </w:r>
      <w:r w:rsidRPr="00092396">
        <w:rPr>
          <w:rFonts w:asciiTheme="minorHAnsi" w:hAnsiTheme="minorHAnsi" w:cstheme="minorHAnsi"/>
        </w:rPr>
        <w:t>definition</w:t>
      </w:r>
      <w:r w:rsidRPr="00092396">
        <w:rPr>
          <w:rFonts w:asciiTheme="minorHAnsi" w:hAnsiTheme="minorHAnsi" w:cstheme="minorHAnsi"/>
          <w:spacing w:val="-2"/>
        </w:rPr>
        <w:t xml:space="preserve"> </w:t>
      </w:r>
      <w:r w:rsidRPr="00092396">
        <w:rPr>
          <w:rFonts w:asciiTheme="minorHAnsi" w:hAnsiTheme="minorHAnsi" w:cstheme="minorHAnsi"/>
        </w:rPr>
        <w:t>of</w:t>
      </w:r>
      <w:r w:rsidRPr="00092396">
        <w:rPr>
          <w:rFonts w:asciiTheme="minorHAnsi" w:hAnsiTheme="minorHAnsi" w:cstheme="minorHAnsi"/>
          <w:spacing w:val="-1"/>
        </w:rPr>
        <w:t xml:space="preserve"> </w:t>
      </w:r>
      <w:r w:rsidRPr="00092396">
        <w:rPr>
          <w:rFonts w:asciiTheme="minorHAnsi" w:hAnsiTheme="minorHAnsi" w:cstheme="minorHAnsi"/>
        </w:rPr>
        <w:t>“cannabis</w:t>
      </w:r>
      <w:r w:rsidRPr="00092396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92396">
        <w:rPr>
          <w:rFonts w:asciiTheme="minorHAnsi" w:hAnsiTheme="minorHAnsi" w:cstheme="minorHAnsi"/>
          <w:spacing w:val="-2"/>
        </w:rPr>
        <w:t>products</w:t>
      </w:r>
      <w:proofErr w:type="gramEnd"/>
      <w:r w:rsidRPr="00092396">
        <w:rPr>
          <w:rFonts w:asciiTheme="minorHAnsi" w:hAnsiTheme="minorHAnsi" w:cstheme="minorHAnsi"/>
          <w:spacing w:val="-2"/>
        </w:rPr>
        <w:t>”</w:t>
      </w:r>
    </w:p>
    <w:p w14:paraId="24FDB0F6" w14:textId="77777777" w:rsidR="00165238" w:rsidRPr="00092396" w:rsidRDefault="00AB7164" w:rsidP="008A4ED4">
      <w:pPr>
        <w:pStyle w:val="ListParagraph"/>
        <w:numPr>
          <w:ilvl w:val="1"/>
          <w:numId w:val="1"/>
        </w:numPr>
        <w:tabs>
          <w:tab w:val="left" w:pos="2720"/>
        </w:tabs>
        <w:spacing w:before="240" w:after="240" w:line="264" w:lineRule="auto"/>
        <w:ind w:left="1296" w:right="1296" w:hanging="43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b/>
          <w:sz w:val="24"/>
          <w:szCs w:val="24"/>
        </w:rPr>
        <w:t>Statutory change</w:t>
      </w:r>
      <w:r w:rsidRPr="00092396">
        <w:rPr>
          <w:rFonts w:asciiTheme="minorHAnsi" w:hAnsiTheme="minorHAnsi" w:cstheme="minorHAnsi"/>
          <w:sz w:val="24"/>
          <w:szCs w:val="24"/>
        </w:rPr>
        <w:t>: E2SSB 5367 amended definition of “cannabis product”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include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products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that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contain,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“any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detectable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amount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of THC.” RCW 69.50.101</w:t>
      </w:r>
    </w:p>
    <w:p w14:paraId="337A8617" w14:textId="77777777" w:rsidR="00165238" w:rsidRPr="00092396" w:rsidRDefault="00AB7164" w:rsidP="008A4ED4">
      <w:pPr>
        <w:pStyle w:val="Heading1"/>
        <w:numPr>
          <w:ilvl w:val="1"/>
          <w:numId w:val="1"/>
        </w:numPr>
        <w:tabs>
          <w:tab w:val="left" w:pos="2719"/>
        </w:tabs>
        <w:spacing w:before="120" w:after="120" w:line="264" w:lineRule="auto"/>
        <w:ind w:left="1296" w:hanging="432"/>
        <w:rPr>
          <w:rFonts w:asciiTheme="minorHAnsi" w:hAnsiTheme="minorHAnsi" w:cstheme="minorHAnsi"/>
          <w:b w:val="0"/>
        </w:rPr>
      </w:pPr>
      <w:r w:rsidRPr="00092396">
        <w:rPr>
          <w:rFonts w:asciiTheme="minorHAnsi" w:hAnsiTheme="minorHAnsi" w:cstheme="minorHAnsi"/>
        </w:rPr>
        <w:t>Topics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</w:rPr>
        <w:t>for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  <w:spacing w:val="-2"/>
        </w:rPr>
        <w:t>consideration</w:t>
      </w:r>
      <w:r w:rsidRPr="00092396">
        <w:rPr>
          <w:rFonts w:asciiTheme="minorHAnsi" w:hAnsiTheme="minorHAnsi" w:cstheme="minorHAnsi"/>
          <w:b w:val="0"/>
          <w:spacing w:val="-2"/>
        </w:rPr>
        <w:t>:</w:t>
      </w:r>
    </w:p>
    <w:p w14:paraId="7E76E716" w14:textId="77777777" w:rsidR="00165238" w:rsidRPr="00092396" w:rsidRDefault="00AB7164" w:rsidP="008A4ED4">
      <w:pPr>
        <w:pStyle w:val="ListParagraph"/>
        <w:numPr>
          <w:ilvl w:val="2"/>
          <w:numId w:val="1"/>
        </w:numPr>
        <w:tabs>
          <w:tab w:val="left" w:pos="3439"/>
          <w:tab w:val="left" w:pos="3441"/>
        </w:tabs>
        <w:spacing w:before="120" w:after="120" w:line="264" w:lineRule="auto"/>
        <w:ind w:left="1728"/>
        <w:rPr>
          <w:rFonts w:asciiTheme="minorHAnsi" w:hAnsiTheme="minorHAnsi" w:cstheme="minorHAnsi"/>
          <w:sz w:val="24"/>
          <w:szCs w:val="24"/>
        </w:rPr>
      </w:pPr>
      <w:bookmarkStart w:id="0" w:name="_Hlk153790201"/>
      <w:r w:rsidRPr="00092396">
        <w:rPr>
          <w:rFonts w:asciiTheme="minorHAnsi" w:hAnsiTheme="minorHAnsi" w:cstheme="minorHAnsi"/>
          <w:sz w:val="24"/>
          <w:szCs w:val="24"/>
        </w:rPr>
        <w:t>How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“detectable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amount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of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THC”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or</w:t>
      </w:r>
      <w:r w:rsidRPr="000923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 xml:space="preserve">“detectable 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>level.”</w:t>
      </w:r>
    </w:p>
    <w:p w14:paraId="35D10DFA" w14:textId="77777777" w:rsidR="00891F3E" w:rsidRPr="00092396" w:rsidRDefault="00891F3E" w:rsidP="00891F3E">
      <w:pPr>
        <w:tabs>
          <w:tab w:val="left" w:pos="3439"/>
          <w:tab w:val="left" w:pos="3441"/>
        </w:tabs>
        <w:spacing w:before="120" w:after="120" w:line="264" w:lineRule="auto"/>
        <w:rPr>
          <w:rFonts w:asciiTheme="minorHAnsi" w:hAnsiTheme="minorHAnsi" w:cstheme="minorHAnsi"/>
          <w:sz w:val="24"/>
          <w:szCs w:val="24"/>
        </w:rPr>
      </w:pPr>
    </w:p>
    <w:p w14:paraId="72ED2D9A" w14:textId="4486B8F1" w:rsidR="00891F3E" w:rsidRPr="00092396" w:rsidRDefault="00891F3E" w:rsidP="00891F3E">
      <w:pPr>
        <w:tabs>
          <w:tab w:val="left" w:pos="3439"/>
          <w:tab w:val="left" w:pos="3441"/>
        </w:tabs>
        <w:spacing w:before="120" w:after="120" w:line="264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We recommend the lowest level feasible, especially for heavy products. The </w:t>
      </w:r>
      <w:bookmarkEnd w:id="0"/>
      <w:r w:rsidR="00315F34"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Cannabinoid</w:t>
      </w: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Science WG report suggested a detection level of .03%. We have concerns about that testing recommendation. At .03% THC, products that weigh a substantial amount could contain an impairing amount of </w:t>
      </w:r>
      <w:proofErr w:type="gramStart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cannabinoids</w:t>
      </w:r>
      <w:proofErr w:type="gramEnd"/>
    </w:p>
    <w:p w14:paraId="0FFB6D00" w14:textId="77777777" w:rsidR="00891F3E" w:rsidRPr="00092396" w:rsidRDefault="00891F3E" w:rsidP="00891F3E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Example:  </w:t>
      </w:r>
      <w:r w:rsidRPr="00092396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A 12 oz soda weighs approximately 350 grams. This means that the suggested .03% THC detectable limit would allow up 105 mg of THC. This is 10 standard adult servings.</w:t>
      </w:r>
    </w:p>
    <w:p w14:paraId="3B915CD0" w14:textId="4996084A" w:rsidR="00891F3E" w:rsidRPr="00092396" w:rsidRDefault="00891F3E" w:rsidP="00891F3E">
      <w:pPr>
        <w:pStyle w:val="ListParagraph"/>
        <w:widowControl/>
        <w:autoSpaceDE/>
        <w:autoSpaceDN/>
        <w:ind w:left="1296" w:firstLine="0"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This item could be sold outside of licensed retailers (so long as the THC is derived from hemp by non-synthetic means. </w:t>
      </w:r>
      <w:hyperlink r:id="rId7" w:history="1">
        <w:r w:rsidRPr="00092396">
          <w:rPr>
            <w:rStyle w:val="Hyperlink"/>
            <w:rFonts w:asciiTheme="minorHAnsi" w:hAnsiTheme="minorHAnsi" w:cstheme="minorHAnsi"/>
            <w:color w:val="4F81BD" w:themeColor="accent1"/>
            <w:sz w:val="24"/>
            <w:szCs w:val="24"/>
          </w:rPr>
          <w:t>This is the case</w:t>
        </w:r>
      </w:hyperlink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with some </w:t>
      </w:r>
      <w:r w:rsidR="00503443"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currently available</w:t>
      </w: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hemp derived products)</w:t>
      </w:r>
    </w:p>
    <w:p w14:paraId="52A259CC" w14:textId="77777777" w:rsidR="00891F3E" w:rsidRPr="00092396" w:rsidRDefault="00891F3E" w:rsidP="00891F3E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While there are technical detection limits for HPLC, the limits for determining THC concentration in various products also depends on the product type/’</w:t>
      </w:r>
      <w:proofErr w:type="gramStart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matrix</w:t>
      </w:r>
      <w:proofErr w:type="gramEnd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’</w:t>
      </w:r>
    </w:p>
    <w:p w14:paraId="395BD6D4" w14:textId="77777777" w:rsidR="00891F3E" w:rsidRPr="00092396" w:rsidRDefault="00891F3E" w:rsidP="00891F3E">
      <w:pPr>
        <w:pStyle w:val="ListParagraph"/>
        <w:widowControl/>
        <w:autoSpaceDE/>
        <w:autoSpaceDN/>
        <w:ind w:left="1296" w:firstLine="0"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Of particular importance is the detection method and limit for heavy products: liquid products like sodas and edible products like </w:t>
      </w:r>
      <w:proofErr w:type="gramStart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gummies</w:t>
      </w:r>
      <w:proofErr w:type="gramEnd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</w:p>
    <w:p w14:paraId="134D5630" w14:textId="77777777" w:rsidR="00891F3E" w:rsidRPr="00092396" w:rsidRDefault="00891F3E" w:rsidP="00891F3E">
      <w:pPr>
        <w:pStyle w:val="ListParagraph"/>
        <w:widowControl/>
        <w:numPr>
          <w:ilvl w:val="3"/>
          <w:numId w:val="1"/>
        </w:numPr>
        <w:autoSpaceDE/>
        <w:autoSpaceDN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LCB should consider methods that achieve a lower limit of detection for these products to support public health and consumer </w:t>
      </w:r>
      <w:proofErr w:type="gramStart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safety</w:t>
      </w:r>
      <w:proofErr w:type="gramEnd"/>
    </w:p>
    <w:p w14:paraId="461C6BC8" w14:textId="4DDF6CBD" w:rsidR="00A079AA" w:rsidRPr="00092396" w:rsidRDefault="00891F3E" w:rsidP="00891F3E">
      <w:pPr>
        <w:tabs>
          <w:tab w:val="left" w:pos="3439"/>
          <w:tab w:val="left" w:pos="3441"/>
        </w:tabs>
        <w:spacing w:before="120" w:after="120" w:line="264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Alternatively, both a percentage and per unit or package limit could be set/ established for a detectable limit. For example, Oregon limits hemp products sold to minors at 0.5mg THC. This option is less preferable than setting a lower percentage limit for heavy </w:t>
      </w:r>
      <w:proofErr w:type="gramStart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products, but</w:t>
      </w:r>
      <w:proofErr w:type="gramEnd"/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is preferred over the simple 0.03% THC detection threshold</w:t>
      </w:r>
      <w:r w:rsidRPr="00092396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1897F69" w14:textId="77777777" w:rsidR="008A4ED4" w:rsidRPr="00092396" w:rsidRDefault="008A4ED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br w:type="page"/>
      </w:r>
    </w:p>
    <w:p w14:paraId="45206E16" w14:textId="1F29CC26" w:rsidR="00165238" w:rsidRPr="00092396" w:rsidRDefault="00AB7164" w:rsidP="008A4ED4">
      <w:pPr>
        <w:pStyle w:val="Heading1"/>
        <w:numPr>
          <w:ilvl w:val="0"/>
          <w:numId w:val="1"/>
        </w:numPr>
        <w:tabs>
          <w:tab w:val="left" w:pos="1998"/>
        </w:tabs>
        <w:spacing w:before="240" w:after="240" w:line="264" w:lineRule="auto"/>
        <w:rPr>
          <w:rFonts w:asciiTheme="minorHAnsi" w:hAnsiTheme="minorHAnsi" w:cstheme="minorHAnsi"/>
        </w:rPr>
      </w:pPr>
      <w:r w:rsidRPr="00092396">
        <w:rPr>
          <w:rFonts w:asciiTheme="minorHAnsi" w:hAnsiTheme="minorHAnsi" w:cstheme="minorHAnsi"/>
        </w:rPr>
        <w:lastRenderedPageBreak/>
        <w:t>Prohibition</w:t>
      </w:r>
      <w:r w:rsidRPr="00092396">
        <w:rPr>
          <w:rFonts w:asciiTheme="minorHAnsi" w:hAnsiTheme="minorHAnsi" w:cstheme="minorHAnsi"/>
          <w:spacing w:val="-2"/>
        </w:rPr>
        <w:t xml:space="preserve"> </w:t>
      </w:r>
      <w:r w:rsidRPr="00092396">
        <w:rPr>
          <w:rFonts w:asciiTheme="minorHAnsi" w:hAnsiTheme="minorHAnsi" w:cstheme="minorHAnsi"/>
        </w:rPr>
        <w:t>on the</w:t>
      </w:r>
      <w:r w:rsidRPr="00092396">
        <w:rPr>
          <w:rFonts w:asciiTheme="minorHAnsi" w:hAnsiTheme="minorHAnsi" w:cstheme="minorHAnsi"/>
          <w:spacing w:val="-2"/>
        </w:rPr>
        <w:t xml:space="preserve"> </w:t>
      </w:r>
      <w:r w:rsidRPr="00092396">
        <w:rPr>
          <w:rFonts w:asciiTheme="minorHAnsi" w:hAnsiTheme="minorHAnsi" w:cstheme="minorHAnsi"/>
        </w:rPr>
        <w:t>use</w:t>
      </w:r>
      <w:r w:rsidRPr="00092396">
        <w:rPr>
          <w:rFonts w:asciiTheme="minorHAnsi" w:hAnsiTheme="minorHAnsi" w:cstheme="minorHAnsi"/>
          <w:spacing w:val="-1"/>
        </w:rPr>
        <w:t xml:space="preserve"> </w:t>
      </w:r>
      <w:r w:rsidRPr="00092396">
        <w:rPr>
          <w:rFonts w:asciiTheme="minorHAnsi" w:hAnsiTheme="minorHAnsi" w:cstheme="minorHAnsi"/>
        </w:rPr>
        <w:t>of</w:t>
      </w:r>
      <w:r w:rsidRPr="00092396">
        <w:rPr>
          <w:rFonts w:asciiTheme="minorHAnsi" w:hAnsiTheme="minorHAnsi" w:cstheme="minorHAnsi"/>
          <w:spacing w:val="-1"/>
        </w:rPr>
        <w:t xml:space="preserve"> </w:t>
      </w:r>
      <w:r w:rsidRPr="00092396">
        <w:rPr>
          <w:rFonts w:asciiTheme="minorHAnsi" w:hAnsiTheme="minorHAnsi" w:cstheme="minorHAnsi"/>
        </w:rPr>
        <w:t>synthetic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  <w:spacing w:val="-2"/>
        </w:rPr>
        <w:t>cannabinoids</w:t>
      </w:r>
    </w:p>
    <w:p w14:paraId="082C2ABF" w14:textId="77777777" w:rsidR="00165238" w:rsidRPr="00092396" w:rsidRDefault="00AB7164" w:rsidP="008A4ED4">
      <w:pPr>
        <w:pStyle w:val="ListParagraph"/>
        <w:numPr>
          <w:ilvl w:val="1"/>
          <w:numId w:val="1"/>
        </w:numPr>
        <w:tabs>
          <w:tab w:val="left" w:pos="2719"/>
        </w:tabs>
        <w:spacing w:before="240" w:after="240" w:line="264" w:lineRule="auto"/>
        <w:ind w:left="1223" w:hanging="359"/>
        <w:rPr>
          <w:rFonts w:asciiTheme="minorHAnsi" w:hAnsiTheme="minorHAnsi" w:cstheme="minorHAnsi"/>
          <w:b/>
          <w:sz w:val="24"/>
          <w:szCs w:val="24"/>
        </w:rPr>
      </w:pPr>
      <w:r w:rsidRPr="00092396">
        <w:rPr>
          <w:rFonts w:asciiTheme="minorHAnsi" w:hAnsiTheme="minorHAnsi" w:cstheme="minorHAnsi"/>
          <w:b/>
          <w:sz w:val="24"/>
          <w:szCs w:val="24"/>
        </w:rPr>
        <w:t>Statutory</w:t>
      </w:r>
      <w:r w:rsidRPr="0009239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pacing w:val="-2"/>
          <w:sz w:val="24"/>
          <w:szCs w:val="24"/>
        </w:rPr>
        <w:t>changes:</w:t>
      </w:r>
    </w:p>
    <w:p w14:paraId="21709251" w14:textId="298E2B2C" w:rsidR="00165238" w:rsidRPr="00092396" w:rsidRDefault="00AB7164" w:rsidP="008A4ED4">
      <w:pPr>
        <w:pStyle w:val="ListParagraph"/>
        <w:numPr>
          <w:ilvl w:val="2"/>
          <w:numId w:val="1"/>
        </w:numPr>
        <w:tabs>
          <w:tab w:val="left" w:pos="3439"/>
          <w:tab w:val="left" w:pos="3441"/>
        </w:tabs>
        <w:spacing w:before="240" w:after="240" w:line="264" w:lineRule="auto"/>
        <w:ind w:left="1728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E2SSB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5367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amended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RCW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69.50.326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explicitly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prohibit CBD products containing a “synthetic cannabinoid” to be used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as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an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additive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3683F" w:rsidRPr="00092396">
        <w:rPr>
          <w:rFonts w:asciiTheme="minorHAnsi" w:hAnsiTheme="minorHAnsi" w:cstheme="minorHAnsi"/>
          <w:sz w:val="24"/>
          <w:szCs w:val="24"/>
        </w:rPr>
        <w:t>concentration</w:t>
      </w:r>
      <w:r w:rsidRPr="00092396">
        <w:rPr>
          <w:rFonts w:asciiTheme="minorHAnsi" w:hAnsiTheme="minorHAnsi" w:cstheme="minorHAnsi"/>
          <w:sz w:val="24"/>
          <w:szCs w:val="24"/>
        </w:rPr>
        <w:t>.</w:t>
      </w:r>
    </w:p>
    <w:p w14:paraId="6D9B894F" w14:textId="5D1B2A13" w:rsidR="00092396" w:rsidRPr="00092396" w:rsidRDefault="00EC758E" w:rsidP="008A4ED4">
      <w:pPr>
        <w:spacing w:before="240" w:after="240" w:line="264" w:lineRule="auto"/>
        <w:ind w:left="1728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We think there should be a limit to the processes that can be used to produce THC</w:t>
      </w:r>
      <w:r w:rsid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or similar</w:t>
      </w: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compounds</w:t>
      </w:r>
      <w:r w:rsid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from cannabis</w:t>
      </w: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for use in product</w:t>
      </w:r>
      <w:r w:rsidR="00855F10"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s</w:t>
      </w: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. It makes sense to limit processing of THC to the reasonable application of heat, light, and pressure</w:t>
      </w:r>
      <w:r w:rsidR="006243A2"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. </w:t>
      </w:r>
    </w:p>
    <w:p w14:paraId="41C0B5D0" w14:textId="5316F993" w:rsidR="00DD501F" w:rsidRPr="00092396" w:rsidRDefault="00DD501F" w:rsidP="008A4ED4">
      <w:pPr>
        <w:spacing w:before="240" w:after="240" w:line="264" w:lineRule="auto"/>
        <w:ind w:left="1728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</w:p>
    <w:p w14:paraId="71A9871C" w14:textId="5B896A52" w:rsidR="00165238" w:rsidRPr="00092396" w:rsidRDefault="00AB7164" w:rsidP="008A4ED4">
      <w:pPr>
        <w:pStyle w:val="ListParagraph"/>
        <w:numPr>
          <w:ilvl w:val="0"/>
          <w:numId w:val="3"/>
        </w:numPr>
        <w:spacing w:before="240" w:after="240" w:line="264" w:lineRule="auto"/>
        <w:ind w:left="1728" w:hanging="43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E2SSB 5367 created a new section RCW 69.50.3251 that explicitly</w:t>
      </w:r>
      <w:r w:rsidRPr="000923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prohibits</w:t>
      </w:r>
      <w:r w:rsidRPr="0009239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the</w:t>
      </w:r>
      <w:r w:rsidRPr="0009239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producing,</w:t>
      </w:r>
      <w:r w:rsidRPr="000923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processing,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manufacturing, or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sale of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any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synthetically</w:t>
      </w:r>
      <w:r w:rsidRPr="0009239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derived,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or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completely</w:t>
      </w:r>
      <w:r w:rsidRPr="000923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synthetic, cannabinoid is prohibited.</w:t>
      </w:r>
    </w:p>
    <w:p w14:paraId="0FB1251A" w14:textId="77777777" w:rsidR="00165238" w:rsidRPr="00092396" w:rsidRDefault="00AB7164" w:rsidP="008A4ED4">
      <w:pPr>
        <w:pStyle w:val="Heading1"/>
        <w:numPr>
          <w:ilvl w:val="1"/>
          <w:numId w:val="1"/>
        </w:numPr>
        <w:tabs>
          <w:tab w:val="left" w:pos="2719"/>
        </w:tabs>
        <w:spacing w:before="240" w:after="240" w:line="264" w:lineRule="auto"/>
        <w:ind w:left="2160" w:hanging="432"/>
        <w:rPr>
          <w:rFonts w:asciiTheme="minorHAnsi" w:hAnsiTheme="minorHAnsi" w:cstheme="minorHAnsi"/>
        </w:rPr>
      </w:pPr>
      <w:r w:rsidRPr="00092396">
        <w:rPr>
          <w:rFonts w:asciiTheme="minorHAnsi" w:hAnsiTheme="minorHAnsi" w:cstheme="minorHAnsi"/>
        </w:rPr>
        <w:t>Topics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</w:rPr>
        <w:t>for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  <w:spacing w:val="-2"/>
        </w:rPr>
        <w:t>discussion</w:t>
      </w:r>
    </w:p>
    <w:p w14:paraId="19E90787" w14:textId="77777777" w:rsidR="00165238" w:rsidRPr="00092396" w:rsidRDefault="00AB7164" w:rsidP="008A4ED4">
      <w:pPr>
        <w:pStyle w:val="ListParagraph"/>
        <w:numPr>
          <w:ilvl w:val="2"/>
          <w:numId w:val="1"/>
        </w:numPr>
        <w:tabs>
          <w:tab w:val="left" w:pos="3439"/>
          <w:tab w:val="left" w:pos="3441"/>
        </w:tabs>
        <w:spacing w:before="240" w:after="240" w:line="264" w:lineRule="auto"/>
        <w:ind w:left="259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How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define</w:t>
      </w:r>
      <w:r w:rsidRPr="0009239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“synthetically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derived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cannabinoid,”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or “completely synthetic cannabinoid.”</w:t>
      </w:r>
    </w:p>
    <w:p w14:paraId="1BD2788C" w14:textId="7B6202F7" w:rsidR="00165238" w:rsidRPr="00745DC0" w:rsidRDefault="00EC758E" w:rsidP="00745DC0">
      <w:pPr>
        <w:tabs>
          <w:tab w:val="left" w:pos="3439"/>
          <w:tab w:val="left" w:pos="3441"/>
        </w:tabs>
        <w:spacing w:before="240" w:after="240" w:line="264" w:lineRule="auto"/>
        <w:ind w:left="216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Any </w:t>
      </w:r>
      <w:r w:rsidR="00DD501F" w:rsidRP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compound or </w:t>
      </w:r>
      <w:r w:rsidRPr="00745DC0">
        <w:rPr>
          <w:rFonts w:asciiTheme="minorHAnsi" w:hAnsiTheme="minorHAnsi" w:cstheme="minorHAnsi"/>
          <w:color w:val="4F81BD" w:themeColor="accent1"/>
          <w:sz w:val="24"/>
          <w:szCs w:val="24"/>
        </w:rPr>
        <w:t>product that is developed from a non-plant</w:t>
      </w:r>
      <w:r w:rsidR="00DD501F" w:rsidRP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natural starting point</w:t>
      </w:r>
      <w:r w:rsid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or</w:t>
      </w:r>
      <w:r w:rsidR="00DD501F" w:rsidRPr="00745DC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that uses any processes other than heat, light, and pressure to produce THC compounds or products. These products would be outside the circle of allowable compounds and products.</w:t>
      </w:r>
    </w:p>
    <w:p w14:paraId="4714DF23" w14:textId="77777777" w:rsidR="008A4ED4" w:rsidRPr="00092396" w:rsidRDefault="008A4ED4" w:rsidP="008A4ED4">
      <w:pPr>
        <w:pStyle w:val="Heading1"/>
        <w:tabs>
          <w:tab w:val="left" w:pos="1998"/>
        </w:tabs>
        <w:spacing w:before="240" w:after="240" w:line="264" w:lineRule="auto"/>
        <w:rPr>
          <w:rFonts w:asciiTheme="minorHAnsi" w:hAnsiTheme="minorHAnsi" w:cstheme="minorHAnsi"/>
          <w:b w:val="0"/>
          <w:color w:val="4F81BD" w:themeColor="accent1"/>
        </w:rPr>
      </w:pPr>
    </w:p>
    <w:p w14:paraId="3BE5CA41" w14:textId="77777777" w:rsidR="008A4ED4" w:rsidRPr="00092396" w:rsidRDefault="008A4ED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br w:type="page"/>
      </w:r>
    </w:p>
    <w:p w14:paraId="746756AB" w14:textId="45BFE9A4" w:rsidR="00165238" w:rsidRPr="00092396" w:rsidRDefault="00AB7164" w:rsidP="008A4ED4">
      <w:pPr>
        <w:pStyle w:val="Heading1"/>
        <w:numPr>
          <w:ilvl w:val="0"/>
          <w:numId w:val="1"/>
        </w:numPr>
        <w:tabs>
          <w:tab w:val="left" w:pos="1998"/>
        </w:tabs>
        <w:spacing w:before="240" w:after="240" w:line="264" w:lineRule="auto"/>
        <w:rPr>
          <w:rFonts w:asciiTheme="minorHAnsi" w:hAnsiTheme="minorHAnsi" w:cstheme="minorHAnsi"/>
          <w:b w:val="0"/>
        </w:rPr>
      </w:pPr>
      <w:r w:rsidRPr="00092396">
        <w:rPr>
          <w:rFonts w:asciiTheme="minorHAnsi" w:hAnsiTheme="minorHAnsi" w:cstheme="minorHAnsi"/>
        </w:rPr>
        <w:lastRenderedPageBreak/>
        <w:t>New</w:t>
      </w:r>
      <w:r w:rsidRPr="00092396">
        <w:rPr>
          <w:rFonts w:asciiTheme="minorHAnsi" w:hAnsiTheme="minorHAnsi" w:cstheme="minorHAnsi"/>
          <w:spacing w:val="-10"/>
        </w:rPr>
        <w:t xml:space="preserve"> </w:t>
      </w:r>
      <w:r w:rsidRPr="00092396">
        <w:rPr>
          <w:rFonts w:asciiTheme="minorHAnsi" w:hAnsiTheme="minorHAnsi" w:cstheme="minorHAnsi"/>
        </w:rPr>
        <w:t>definitions</w:t>
      </w:r>
      <w:r w:rsidRPr="00092396">
        <w:rPr>
          <w:rFonts w:asciiTheme="minorHAnsi" w:hAnsiTheme="minorHAnsi" w:cstheme="minorHAnsi"/>
          <w:spacing w:val="-10"/>
        </w:rPr>
        <w:t xml:space="preserve"> </w:t>
      </w:r>
      <w:r w:rsidRPr="00092396">
        <w:rPr>
          <w:rFonts w:asciiTheme="minorHAnsi" w:hAnsiTheme="minorHAnsi" w:cstheme="minorHAnsi"/>
        </w:rPr>
        <w:t>for</w:t>
      </w:r>
      <w:r w:rsidRPr="00092396">
        <w:rPr>
          <w:rFonts w:asciiTheme="minorHAnsi" w:hAnsiTheme="minorHAnsi" w:cstheme="minorHAnsi"/>
          <w:spacing w:val="-10"/>
        </w:rPr>
        <w:t xml:space="preserve"> </w:t>
      </w:r>
      <w:r w:rsidRPr="00092396">
        <w:rPr>
          <w:rFonts w:asciiTheme="minorHAnsi" w:hAnsiTheme="minorHAnsi" w:cstheme="minorHAnsi"/>
        </w:rPr>
        <w:t>“package”</w:t>
      </w:r>
      <w:r w:rsidRPr="00092396">
        <w:rPr>
          <w:rFonts w:asciiTheme="minorHAnsi" w:hAnsiTheme="minorHAnsi" w:cstheme="minorHAnsi"/>
          <w:spacing w:val="-10"/>
        </w:rPr>
        <w:t xml:space="preserve"> </w:t>
      </w:r>
      <w:r w:rsidRPr="00092396">
        <w:rPr>
          <w:rFonts w:asciiTheme="minorHAnsi" w:hAnsiTheme="minorHAnsi" w:cstheme="minorHAnsi"/>
        </w:rPr>
        <w:t>and</w:t>
      </w:r>
      <w:r w:rsidRPr="00092396">
        <w:rPr>
          <w:rFonts w:asciiTheme="minorHAnsi" w:hAnsiTheme="minorHAnsi" w:cstheme="minorHAnsi"/>
          <w:spacing w:val="-9"/>
        </w:rPr>
        <w:t xml:space="preserve"> </w:t>
      </w:r>
      <w:r w:rsidRPr="00092396">
        <w:rPr>
          <w:rFonts w:asciiTheme="minorHAnsi" w:hAnsiTheme="minorHAnsi" w:cstheme="minorHAnsi"/>
          <w:spacing w:val="-2"/>
        </w:rPr>
        <w:t>“unit”</w:t>
      </w:r>
      <w:r w:rsidR="00DD501F" w:rsidRPr="00092396">
        <w:rPr>
          <w:rFonts w:asciiTheme="minorHAnsi" w:hAnsiTheme="minorHAnsi" w:cstheme="minorHAnsi"/>
          <w:spacing w:val="-2"/>
        </w:rPr>
        <w:t xml:space="preserve"> </w:t>
      </w:r>
    </w:p>
    <w:p w14:paraId="3B74C6B9" w14:textId="77777777" w:rsidR="00165238" w:rsidRPr="00092396" w:rsidRDefault="00AB7164" w:rsidP="008A4ED4">
      <w:pPr>
        <w:pStyle w:val="ListParagraph"/>
        <w:numPr>
          <w:ilvl w:val="1"/>
          <w:numId w:val="1"/>
        </w:numPr>
        <w:tabs>
          <w:tab w:val="left" w:pos="2720"/>
        </w:tabs>
        <w:spacing w:before="240" w:after="240" w:line="264" w:lineRule="auto"/>
        <w:ind w:left="1224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b/>
          <w:sz w:val="24"/>
          <w:szCs w:val="24"/>
        </w:rPr>
        <w:t>Statutory</w:t>
      </w:r>
      <w:r w:rsidRPr="0009239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b/>
          <w:sz w:val="24"/>
          <w:szCs w:val="24"/>
        </w:rPr>
        <w:t>change</w:t>
      </w:r>
      <w:r w:rsidRPr="00092396">
        <w:rPr>
          <w:rFonts w:asciiTheme="minorHAnsi" w:hAnsiTheme="minorHAnsi" w:cstheme="minorHAnsi"/>
          <w:sz w:val="24"/>
          <w:szCs w:val="24"/>
        </w:rPr>
        <w:t>:</w:t>
      </w:r>
      <w:r w:rsidRPr="000923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E2SSB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5367</w:t>
      </w:r>
      <w:r w:rsidRPr="000923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created</w:t>
      </w:r>
      <w:r w:rsidRPr="000923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definitions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for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“package” and “unit.” (</w:t>
      </w:r>
      <w:r w:rsidRPr="00092396">
        <w:rPr>
          <w:rFonts w:asciiTheme="minorHAnsi" w:hAnsiTheme="minorHAnsi" w:cstheme="minorHAnsi"/>
          <w:i/>
          <w:sz w:val="24"/>
          <w:szCs w:val="24"/>
        </w:rPr>
        <w:t>RCW.69.50.101</w:t>
      </w:r>
      <w:r w:rsidRPr="00092396">
        <w:rPr>
          <w:rFonts w:asciiTheme="minorHAnsi" w:hAnsiTheme="minorHAnsi" w:cstheme="minorHAnsi"/>
          <w:sz w:val="24"/>
          <w:szCs w:val="24"/>
        </w:rPr>
        <w:t>)</w:t>
      </w:r>
    </w:p>
    <w:p w14:paraId="09F87091" w14:textId="77777777" w:rsidR="00165238" w:rsidRPr="00092396" w:rsidRDefault="00AB7164" w:rsidP="008A4ED4">
      <w:pPr>
        <w:pStyle w:val="Heading1"/>
        <w:numPr>
          <w:ilvl w:val="1"/>
          <w:numId w:val="1"/>
        </w:numPr>
        <w:tabs>
          <w:tab w:val="left" w:pos="2719"/>
        </w:tabs>
        <w:spacing w:before="240" w:after="240" w:line="264" w:lineRule="auto"/>
        <w:ind w:left="1223" w:hanging="359"/>
        <w:rPr>
          <w:rFonts w:asciiTheme="minorHAnsi" w:hAnsiTheme="minorHAnsi" w:cstheme="minorHAnsi"/>
          <w:b w:val="0"/>
        </w:rPr>
      </w:pPr>
      <w:r w:rsidRPr="00092396">
        <w:rPr>
          <w:rFonts w:asciiTheme="minorHAnsi" w:hAnsiTheme="minorHAnsi" w:cstheme="minorHAnsi"/>
        </w:rPr>
        <w:t>Topics</w:t>
      </w:r>
      <w:r w:rsidRPr="00092396">
        <w:rPr>
          <w:rFonts w:asciiTheme="minorHAnsi" w:hAnsiTheme="minorHAnsi" w:cstheme="minorHAnsi"/>
          <w:spacing w:val="-3"/>
        </w:rPr>
        <w:t xml:space="preserve"> </w:t>
      </w:r>
      <w:r w:rsidRPr="00092396">
        <w:rPr>
          <w:rFonts w:asciiTheme="minorHAnsi" w:hAnsiTheme="minorHAnsi" w:cstheme="minorHAnsi"/>
        </w:rPr>
        <w:t>for</w:t>
      </w:r>
      <w:r w:rsidRPr="00092396">
        <w:rPr>
          <w:rFonts w:asciiTheme="minorHAnsi" w:hAnsiTheme="minorHAnsi" w:cstheme="minorHAnsi"/>
          <w:spacing w:val="-2"/>
        </w:rPr>
        <w:t xml:space="preserve"> consideration</w:t>
      </w:r>
      <w:r w:rsidRPr="00092396">
        <w:rPr>
          <w:rFonts w:asciiTheme="minorHAnsi" w:hAnsiTheme="minorHAnsi" w:cstheme="minorHAnsi"/>
          <w:b w:val="0"/>
          <w:spacing w:val="-2"/>
        </w:rPr>
        <w:t>:</w:t>
      </w:r>
    </w:p>
    <w:p w14:paraId="1B03177C" w14:textId="77777777" w:rsidR="00165238" w:rsidRPr="00092396" w:rsidRDefault="00AB7164" w:rsidP="008A4ED4">
      <w:pPr>
        <w:pStyle w:val="ListParagraph"/>
        <w:numPr>
          <w:ilvl w:val="2"/>
          <w:numId w:val="1"/>
        </w:numPr>
        <w:tabs>
          <w:tab w:val="left" w:pos="3439"/>
          <w:tab w:val="left" w:pos="3441"/>
        </w:tabs>
        <w:spacing w:before="240" w:after="240" w:line="264" w:lineRule="auto"/>
        <w:ind w:left="1728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What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implications</w:t>
      </w:r>
      <w:r w:rsidRPr="000923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does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replacing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“container”</w:t>
      </w:r>
      <w:r w:rsidRPr="000923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with</w:t>
      </w:r>
      <w:r w:rsidRPr="000923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“package” throughout the rule have?</w:t>
      </w:r>
    </w:p>
    <w:p w14:paraId="60A8BB59" w14:textId="77777777" w:rsidR="00165238" w:rsidRPr="00092396" w:rsidRDefault="00AB7164" w:rsidP="008A4ED4">
      <w:pPr>
        <w:pStyle w:val="ListParagraph"/>
        <w:numPr>
          <w:ilvl w:val="3"/>
          <w:numId w:val="1"/>
        </w:numPr>
        <w:tabs>
          <w:tab w:val="left" w:pos="4161"/>
        </w:tabs>
        <w:spacing w:before="240" w:after="240" w:line="264" w:lineRule="auto"/>
        <w:ind w:left="2160" w:hanging="43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Would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licensees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be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required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change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the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way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 xml:space="preserve">they are currently packaging and labeling cannabis 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>products.</w:t>
      </w:r>
    </w:p>
    <w:p w14:paraId="4428343A" w14:textId="77777777" w:rsidR="00165238" w:rsidRPr="00092396" w:rsidRDefault="00AB7164" w:rsidP="008A4ED4">
      <w:pPr>
        <w:pStyle w:val="ListParagraph"/>
        <w:numPr>
          <w:ilvl w:val="3"/>
          <w:numId w:val="1"/>
        </w:numPr>
        <w:tabs>
          <w:tab w:val="left" w:pos="4161"/>
        </w:tabs>
        <w:spacing w:before="240" w:after="240" w:line="264" w:lineRule="auto"/>
        <w:ind w:left="2160" w:right="1296" w:hanging="432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Would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cost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of</w:t>
      </w:r>
      <w:r w:rsidRPr="000923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changes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be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higher</w:t>
      </w:r>
      <w:r w:rsidRPr="000923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or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lower</w:t>
      </w:r>
      <w:r w:rsidRPr="000923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than current packaging costs?</w:t>
      </w:r>
    </w:p>
    <w:p w14:paraId="55686851" w14:textId="77777777" w:rsidR="00165238" w:rsidRPr="00092396" w:rsidRDefault="00AB7164" w:rsidP="008A4ED4">
      <w:pPr>
        <w:pStyle w:val="ListParagraph"/>
        <w:numPr>
          <w:ilvl w:val="2"/>
          <w:numId w:val="1"/>
        </w:numPr>
        <w:tabs>
          <w:tab w:val="left" w:pos="3439"/>
        </w:tabs>
        <w:spacing w:before="240" w:after="240" w:line="264" w:lineRule="auto"/>
        <w:ind w:left="1728"/>
        <w:rPr>
          <w:rFonts w:asciiTheme="minorHAnsi" w:hAnsiTheme="minorHAnsi" w:cstheme="minorHAnsi"/>
          <w:sz w:val="24"/>
          <w:szCs w:val="24"/>
        </w:rPr>
      </w:pPr>
      <w:r w:rsidRPr="00092396">
        <w:rPr>
          <w:rFonts w:asciiTheme="minorHAnsi" w:hAnsiTheme="minorHAnsi" w:cstheme="minorHAnsi"/>
          <w:sz w:val="24"/>
          <w:szCs w:val="24"/>
        </w:rPr>
        <w:t>How</w:t>
      </w:r>
      <w:r w:rsidRPr="000923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to</w:t>
      </w:r>
      <w:r w:rsidRPr="000923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define</w:t>
      </w:r>
      <w:r w:rsidRPr="000923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“serving”</w:t>
      </w:r>
      <w:r w:rsidRPr="000923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or</w:t>
      </w:r>
      <w:r w:rsidRPr="000923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z w:val="24"/>
          <w:szCs w:val="24"/>
        </w:rPr>
        <w:t>“serving</w:t>
      </w:r>
      <w:r w:rsidRPr="000923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2396">
        <w:rPr>
          <w:rFonts w:asciiTheme="minorHAnsi" w:hAnsiTheme="minorHAnsi" w:cstheme="minorHAnsi"/>
          <w:spacing w:val="-2"/>
          <w:sz w:val="24"/>
          <w:szCs w:val="24"/>
        </w:rPr>
        <w:t>size.”</w:t>
      </w:r>
    </w:p>
    <w:p w14:paraId="6BD6ED9E" w14:textId="23ED581F" w:rsidR="00DF3439" w:rsidRPr="00092396" w:rsidRDefault="00DF3439" w:rsidP="00DF3439">
      <w:pPr>
        <w:tabs>
          <w:tab w:val="left" w:pos="3439"/>
          <w:tab w:val="left" w:pos="3441"/>
        </w:tabs>
        <w:spacing w:before="240" w:after="240" w:line="264" w:lineRule="auto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Key points/concerns</w:t>
      </w:r>
    </w:p>
    <w:p w14:paraId="70F7BFC6" w14:textId="38D1D139" w:rsidR="00DF3439" w:rsidRPr="00092396" w:rsidRDefault="00271306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Labels to convey that h</w:t>
      </w:r>
      <w:r w:rsidR="00DF3439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igher potency products carry higher risks than lower potency products (ADAI </w:t>
      </w:r>
      <w:r w:rsidR="00745DC0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high THC consensus statement</w:t>
      </w:r>
      <w:r w:rsidR="00DF3439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)</w:t>
      </w:r>
    </w:p>
    <w:p w14:paraId="6B850012" w14:textId="64545930" w:rsidR="00DF3439" w:rsidRPr="00092396" w:rsidRDefault="00DF3439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Labels need to effectively convey risks to youth as </w:t>
      </w:r>
      <w:proofErr w:type="gramStart"/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well</w:t>
      </w:r>
      <w:proofErr w:type="gramEnd"/>
    </w:p>
    <w:p w14:paraId="6860972A" w14:textId="5D7E740A" w:rsidR="00DF3439" w:rsidRPr="00092396" w:rsidRDefault="00DF3439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Labels needs to be graphic based (not based on mass/ weight) and focus heavily on </w:t>
      </w:r>
      <w:proofErr w:type="gramStart"/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safety</w:t>
      </w:r>
      <w:proofErr w:type="gramEnd"/>
    </w:p>
    <w:p w14:paraId="3A43D229" w14:textId="56BA15E3" w:rsidR="00DF3439" w:rsidRPr="00092396" w:rsidRDefault="00DF3439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Recent LCB survey shows importance of labeling for consumer </w:t>
      </w:r>
      <w:proofErr w:type="gramStart"/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ed</w:t>
      </w:r>
      <w:r w:rsidR="00CA25F4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ucation</w:t>
      </w:r>
      <w:proofErr w:type="gramEnd"/>
    </w:p>
    <w:p w14:paraId="1AA303B9" w14:textId="7B2B18CD" w:rsidR="004C7484" w:rsidRPr="00092396" w:rsidRDefault="00CA25F4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Consider universal warning symbo</w:t>
      </w:r>
      <w:r w:rsidR="00AD7406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l for individual un</w:t>
      </w:r>
      <w:r w:rsidR="00FF5BA7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it, so that risk can be </w:t>
      </w:r>
      <w:r w:rsidR="009D18E7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identified once units are removed from package.</w:t>
      </w:r>
    </w:p>
    <w:p w14:paraId="4207663A" w14:textId="0B486CA6" w:rsidR="00DF3439" w:rsidRPr="00092396" w:rsidRDefault="009D18E7" w:rsidP="00584FB5">
      <w:pPr>
        <w:pStyle w:val="ListParagraph"/>
        <w:numPr>
          <w:ilvl w:val="0"/>
          <w:numId w:val="5"/>
        </w:numPr>
        <w:tabs>
          <w:tab w:val="left" w:pos="3439"/>
          <w:tab w:val="left" w:pos="3441"/>
        </w:tabs>
        <w:spacing w:after="24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Note </w:t>
      </w:r>
      <w:r w:rsidR="00DF3439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concern about containers that have more than one serving size because </w:t>
      </w:r>
      <w:r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consumers don’t necessarily consider </w:t>
      </w:r>
      <w:r w:rsidR="00F33145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the</w:t>
      </w:r>
      <w:r w:rsidR="00DF3439" w:rsidRPr="00092396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impacts that 2 or 3 gummies might have on them as compared with the impacts that a serving size of 1 might have. </w:t>
      </w:r>
    </w:p>
    <w:p w14:paraId="40BB6567" w14:textId="77777777" w:rsidR="00DF3439" w:rsidRPr="00092396" w:rsidRDefault="00DF3439" w:rsidP="00DF3439">
      <w:pPr>
        <w:pStyle w:val="ListParagraph"/>
        <w:tabs>
          <w:tab w:val="left" w:pos="3439"/>
        </w:tabs>
        <w:spacing w:before="240" w:after="240" w:line="264" w:lineRule="auto"/>
        <w:ind w:left="864" w:firstLine="0"/>
        <w:rPr>
          <w:rFonts w:asciiTheme="minorHAnsi" w:hAnsiTheme="minorHAnsi" w:cstheme="minorHAnsi"/>
          <w:sz w:val="24"/>
          <w:szCs w:val="24"/>
        </w:rPr>
      </w:pPr>
    </w:p>
    <w:sectPr w:rsidR="00DF3439" w:rsidRPr="00092396" w:rsidSect="006243A2">
      <w:footerReference w:type="default" r:id="rId8"/>
      <w:pgSz w:w="12240" w:h="15840"/>
      <w:pgMar w:top="1440" w:right="1440" w:bottom="1440" w:left="144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FB84" w14:textId="77777777" w:rsidR="000D1E47" w:rsidRDefault="000D1E47">
      <w:r>
        <w:separator/>
      </w:r>
    </w:p>
  </w:endnote>
  <w:endnote w:type="continuationSeparator" w:id="0">
    <w:p w14:paraId="20B10355" w14:textId="77777777" w:rsidR="000D1E47" w:rsidRDefault="000D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643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D9BEE" w14:textId="4667100A" w:rsidR="008A4ED4" w:rsidRDefault="008A4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2CD22" w14:textId="591BE99A" w:rsidR="00165238" w:rsidRDefault="001652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6935" w14:textId="77777777" w:rsidR="000D1E47" w:rsidRDefault="000D1E47">
      <w:r>
        <w:separator/>
      </w:r>
    </w:p>
  </w:footnote>
  <w:footnote w:type="continuationSeparator" w:id="0">
    <w:p w14:paraId="4B443C21" w14:textId="77777777" w:rsidR="000D1E47" w:rsidRDefault="000D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FBF"/>
    <w:multiLevelType w:val="hybridMultilevel"/>
    <w:tmpl w:val="0E509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D5986"/>
    <w:multiLevelType w:val="hybridMultilevel"/>
    <w:tmpl w:val="472C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B34EA"/>
    <w:multiLevelType w:val="hybridMultilevel"/>
    <w:tmpl w:val="6D4454C2"/>
    <w:lvl w:ilvl="0" w:tplc="BCC8E96C">
      <w:start w:val="2"/>
      <w:numFmt w:val="decimal"/>
      <w:lvlText w:val="%1."/>
      <w:lvlJc w:val="left"/>
      <w:pPr>
        <w:ind w:left="2000" w:hanging="360"/>
      </w:pPr>
      <w:rPr>
        <w:rFonts w:ascii="Arial" w:hAnsi="Aria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7E35"/>
    <w:multiLevelType w:val="hybridMultilevel"/>
    <w:tmpl w:val="CB366FE2"/>
    <w:lvl w:ilvl="0" w:tplc="3FA85CCC">
      <w:start w:val="1"/>
      <w:numFmt w:val="decimal"/>
      <w:lvlText w:val="%1."/>
      <w:lvlJc w:val="left"/>
      <w:pPr>
        <w:ind w:left="864" w:hanging="432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364A2792">
      <w:numFmt w:val="bullet"/>
      <w:lvlText w:val="o"/>
      <w:lvlJc w:val="left"/>
      <w:pPr>
        <w:ind w:left="2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428DB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E3DE3640">
      <w:numFmt w:val="bullet"/>
      <w:lvlText w:val=""/>
      <w:lvlJc w:val="left"/>
      <w:pPr>
        <w:ind w:left="4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7F1A8C88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5" w:tplc="C378598A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6" w:tplc="5E38117A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7" w:tplc="F29E493A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98FC9C6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5B700F"/>
    <w:multiLevelType w:val="hybridMultilevel"/>
    <w:tmpl w:val="9CC60570"/>
    <w:lvl w:ilvl="0" w:tplc="31BECFEA">
      <w:start w:val="1"/>
      <w:numFmt w:val="decimal"/>
      <w:lvlText w:val="%1."/>
      <w:lvlJc w:val="left"/>
      <w:pPr>
        <w:ind w:left="4176" w:hanging="360"/>
      </w:pPr>
      <w:rPr>
        <w:rFonts w:ascii="Arial" w:hAnsi="Aria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896" w:hanging="360"/>
      </w:pPr>
    </w:lvl>
    <w:lvl w:ilvl="2" w:tplc="0409001B" w:tentative="1">
      <w:start w:val="1"/>
      <w:numFmt w:val="lowerRoman"/>
      <w:lvlText w:val="%3."/>
      <w:lvlJc w:val="right"/>
      <w:pPr>
        <w:ind w:left="5616" w:hanging="180"/>
      </w:pPr>
    </w:lvl>
    <w:lvl w:ilvl="3" w:tplc="0409000F" w:tentative="1">
      <w:start w:val="1"/>
      <w:numFmt w:val="decimal"/>
      <w:lvlText w:val="%4."/>
      <w:lvlJc w:val="left"/>
      <w:pPr>
        <w:ind w:left="6336" w:hanging="360"/>
      </w:pPr>
    </w:lvl>
    <w:lvl w:ilvl="4" w:tplc="04090019" w:tentative="1">
      <w:start w:val="1"/>
      <w:numFmt w:val="lowerLetter"/>
      <w:lvlText w:val="%5."/>
      <w:lvlJc w:val="left"/>
      <w:pPr>
        <w:ind w:left="7056" w:hanging="360"/>
      </w:pPr>
    </w:lvl>
    <w:lvl w:ilvl="5" w:tplc="0409001B" w:tentative="1">
      <w:start w:val="1"/>
      <w:numFmt w:val="lowerRoman"/>
      <w:lvlText w:val="%6."/>
      <w:lvlJc w:val="right"/>
      <w:pPr>
        <w:ind w:left="7776" w:hanging="180"/>
      </w:pPr>
    </w:lvl>
    <w:lvl w:ilvl="6" w:tplc="0409000F" w:tentative="1">
      <w:start w:val="1"/>
      <w:numFmt w:val="decimal"/>
      <w:lvlText w:val="%7."/>
      <w:lvlJc w:val="left"/>
      <w:pPr>
        <w:ind w:left="8496" w:hanging="360"/>
      </w:pPr>
    </w:lvl>
    <w:lvl w:ilvl="7" w:tplc="04090019" w:tentative="1">
      <w:start w:val="1"/>
      <w:numFmt w:val="lowerLetter"/>
      <w:lvlText w:val="%8."/>
      <w:lvlJc w:val="left"/>
      <w:pPr>
        <w:ind w:left="9216" w:hanging="360"/>
      </w:pPr>
    </w:lvl>
    <w:lvl w:ilvl="8" w:tplc="0409001B" w:tentative="1">
      <w:start w:val="1"/>
      <w:numFmt w:val="lowerRoman"/>
      <w:lvlText w:val="%9."/>
      <w:lvlJc w:val="right"/>
      <w:pPr>
        <w:ind w:left="9936" w:hanging="180"/>
      </w:pPr>
    </w:lvl>
  </w:abstractNum>
  <w:num w:numId="1" w16cid:durableId="940526488">
    <w:abstractNumId w:val="3"/>
  </w:num>
  <w:num w:numId="2" w16cid:durableId="22485453">
    <w:abstractNumId w:val="4"/>
  </w:num>
  <w:num w:numId="3" w16cid:durableId="1134180613">
    <w:abstractNumId w:val="2"/>
  </w:num>
  <w:num w:numId="4" w16cid:durableId="1733118260">
    <w:abstractNumId w:val="1"/>
  </w:num>
  <w:num w:numId="5" w16cid:durableId="158113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8"/>
    <w:rsid w:val="000601CC"/>
    <w:rsid w:val="00092396"/>
    <w:rsid w:val="000D1E47"/>
    <w:rsid w:val="00165238"/>
    <w:rsid w:val="00176B6C"/>
    <w:rsid w:val="00271306"/>
    <w:rsid w:val="00305565"/>
    <w:rsid w:val="00315F34"/>
    <w:rsid w:val="003A6A9F"/>
    <w:rsid w:val="003E2711"/>
    <w:rsid w:val="003F3869"/>
    <w:rsid w:val="00402B28"/>
    <w:rsid w:val="004C7484"/>
    <w:rsid w:val="00503443"/>
    <w:rsid w:val="00505EA8"/>
    <w:rsid w:val="00527269"/>
    <w:rsid w:val="00555323"/>
    <w:rsid w:val="00584FB5"/>
    <w:rsid w:val="006243A2"/>
    <w:rsid w:val="00650802"/>
    <w:rsid w:val="00726055"/>
    <w:rsid w:val="007316F0"/>
    <w:rsid w:val="00731CE1"/>
    <w:rsid w:val="00745DC0"/>
    <w:rsid w:val="007664FE"/>
    <w:rsid w:val="007C003D"/>
    <w:rsid w:val="008217F8"/>
    <w:rsid w:val="00855F10"/>
    <w:rsid w:val="00874D7D"/>
    <w:rsid w:val="00891F3E"/>
    <w:rsid w:val="008A4ED4"/>
    <w:rsid w:val="00922E21"/>
    <w:rsid w:val="00944B12"/>
    <w:rsid w:val="00945266"/>
    <w:rsid w:val="009D18E7"/>
    <w:rsid w:val="00A079AA"/>
    <w:rsid w:val="00A729E8"/>
    <w:rsid w:val="00AB7164"/>
    <w:rsid w:val="00AD7406"/>
    <w:rsid w:val="00B17EC7"/>
    <w:rsid w:val="00C3683F"/>
    <w:rsid w:val="00C523F4"/>
    <w:rsid w:val="00C66E26"/>
    <w:rsid w:val="00CA25F4"/>
    <w:rsid w:val="00D000C1"/>
    <w:rsid w:val="00DD501F"/>
    <w:rsid w:val="00DF3439"/>
    <w:rsid w:val="00E72C59"/>
    <w:rsid w:val="00E736C1"/>
    <w:rsid w:val="00E902C9"/>
    <w:rsid w:val="00EA4077"/>
    <w:rsid w:val="00EC758E"/>
    <w:rsid w:val="00F06024"/>
    <w:rsid w:val="00F33145"/>
    <w:rsid w:val="00F51D7B"/>
    <w:rsid w:val="00FE2C84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0D06"/>
  <w15:docId w15:val="{3CB8CCDB-8C46-414D-AFFC-1C0C520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349" w:right="23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344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D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1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64"/>
    <w:rPr>
      <w:rFonts w:ascii="Arial" w:eastAsia="Arial" w:hAnsi="Arial" w:cs="Arial"/>
      <w:b/>
      <w:bCs/>
      <w:sz w:val="20"/>
      <w:szCs w:val="20"/>
    </w:rPr>
  </w:style>
  <w:style w:type="paragraph" w:customStyle="1" w:styleId="pf0">
    <w:name w:val="pf0"/>
    <w:basedOn w:val="Normal"/>
    <w:rsid w:val="00A079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079A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1F3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05EA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3697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Letterheadtemplate-2020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Letterheadtemplate-2020</dc:title>
  <dc:creator>Sue Young</dc:creator>
  <cp:lastModifiedBy>Fontaine, Harrison (HCA)</cp:lastModifiedBy>
  <cp:revision>3</cp:revision>
  <dcterms:created xsi:type="dcterms:W3CDTF">2024-01-31T22:50:00Z</dcterms:created>
  <dcterms:modified xsi:type="dcterms:W3CDTF">2024-02-02T18:30:00Z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2023-12-19T01:50:08Z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d2ce2ff5-3ed2-4c8c-a1ca-f22afeb69283</vt:lpwstr>
  </property>
  <property fmtid="{D5CDD505-2E9C-101B-9397-08002B2CF9AE}" pid="12" name="MSIP_Label_1520fa42-cf58-4c22-8b93-58cf1d3bd1cb_ContentBits">
    <vt:lpwstr>0</vt:lpwstr>
  </property>
</Properties>
</file>