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24725" w14:textId="77777777" w:rsidR="005B1B49" w:rsidRDefault="005B1B49" w:rsidP="005B1B49">
      <w:pPr>
        <w:pStyle w:val="SensirionSubtitle"/>
      </w:pPr>
    </w:p>
    <w:p w14:paraId="7FE00977" w14:textId="77777777" w:rsidR="005B1B49" w:rsidRPr="005B1B49" w:rsidRDefault="005B1B49" w:rsidP="005B1B49">
      <w:pPr>
        <w:pStyle w:val="SensirionSubtitle"/>
        <w:rPr>
          <w:lang w:val="de-CH"/>
        </w:rPr>
      </w:pPr>
      <w:r w:rsidRPr="005B1B49">
        <w:rPr>
          <w:lang w:val="de-CH"/>
        </w:rPr>
        <w:t>Media Release</w:t>
      </w:r>
    </w:p>
    <w:p w14:paraId="50D80ED1" w14:textId="216638D5" w:rsidR="005B1B49" w:rsidRPr="005B1B49" w:rsidRDefault="00797C73" w:rsidP="005B1B49">
      <w:pPr>
        <w:pStyle w:val="SensirionSubtitle"/>
        <w:rPr>
          <w:lang w:val="de-CH"/>
        </w:rPr>
      </w:pPr>
      <w:r>
        <w:rPr>
          <w:lang w:val="de-CH"/>
        </w:rPr>
        <w:t>August 2024</w:t>
      </w:r>
      <w:r w:rsidR="005B1B49" w:rsidRPr="005B1B49">
        <w:rPr>
          <w:lang w:val="de-CH"/>
        </w:rPr>
        <w:t>, Sensirion AG, 8712 Stäfa, Schweiz</w:t>
      </w:r>
    </w:p>
    <w:p w14:paraId="0BBD5A0C" w14:textId="77777777" w:rsidR="005B1B49" w:rsidRPr="005B1B49" w:rsidRDefault="005B1B49" w:rsidP="005B1B49">
      <w:pPr>
        <w:rPr>
          <w:lang w:val="de-CH" w:eastAsia="de-DE"/>
        </w:rPr>
      </w:pPr>
    </w:p>
    <w:p w14:paraId="7A3423F8" w14:textId="77777777" w:rsidR="005B1B49" w:rsidRPr="005B1B49" w:rsidRDefault="005B1B49" w:rsidP="005B1B49">
      <w:pPr>
        <w:rPr>
          <w:lang w:val="de-CH" w:eastAsia="de-DE"/>
        </w:rPr>
      </w:pPr>
    </w:p>
    <w:p w14:paraId="5547AA71" w14:textId="77777777" w:rsidR="00797C73" w:rsidRDefault="00797C73" w:rsidP="00797C73">
      <w:pPr>
        <w:pStyle w:val="SensirionTitle"/>
        <w:rPr>
          <w:lang w:eastAsia="de-DE"/>
        </w:rPr>
      </w:pPr>
      <w:r>
        <w:rPr>
          <w:lang w:eastAsia="de-DE"/>
        </w:rPr>
        <w:t>New gas concentration sensor for CO</w:t>
      </w:r>
      <w:r w:rsidRPr="00E50893">
        <w:rPr>
          <w:vertAlign w:val="subscript"/>
          <w:lang w:eastAsia="de-DE"/>
        </w:rPr>
        <w:t>2</w:t>
      </w:r>
      <w:r>
        <w:rPr>
          <w:lang w:eastAsia="de-DE"/>
        </w:rPr>
        <w:t xml:space="preserve"> measurements in high-volume applications available worldwide</w:t>
      </w:r>
    </w:p>
    <w:p w14:paraId="7D622632" w14:textId="77777777" w:rsidR="005B1B49" w:rsidRPr="00797C73" w:rsidRDefault="005B1B49" w:rsidP="005B1B49">
      <w:pPr>
        <w:rPr>
          <w:lang w:eastAsia="de-DE"/>
        </w:rPr>
      </w:pPr>
    </w:p>
    <w:p w14:paraId="79E97F76" w14:textId="77777777" w:rsidR="00993E39" w:rsidRDefault="00993E39" w:rsidP="00993E39">
      <w:pPr>
        <w:pStyle w:val="SensirionSubtitle"/>
      </w:pPr>
      <w:r>
        <w:t>The STC31-C is a new gas concentration sensor for measuring high-range CO</w:t>
      </w:r>
      <w:r w:rsidRPr="00E50893">
        <w:rPr>
          <w:vertAlign w:val="subscript"/>
        </w:rPr>
        <w:t>2</w:t>
      </w:r>
      <w:r>
        <w:t xml:space="preserve"> concentrations. It is particularly suitable for high-volume applications in the transportation and storage of perishable and pharmaceutical goods, as well as for breath analyzers for measuring and monitoring CO</w:t>
      </w:r>
      <w:r w:rsidRPr="00E50893">
        <w:rPr>
          <w:vertAlign w:val="subscript"/>
        </w:rPr>
        <w:t>2</w:t>
      </w:r>
      <w:r>
        <w:t xml:space="preserve"> in human breath. The STC31-C is now available globally via our distribution partners. </w:t>
      </w:r>
    </w:p>
    <w:p w14:paraId="0DCBCAA8" w14:textId="77777777" w:rsidR="00993E39" w:rsidRDefault="00993E39" w:rsidP="00993E39">
      <w:pPr>
        <w:rPr>
          <w:lang w:eastAsia="de-DE"/>
        </w:rPr>
      </w:pPr>
    </w:p>
    <w:p w14:paraId="5E2A3B03" w14:textId="77777777" w:rsidR="00993E39" w:rsidRDefault="00993E39" w:rsidP="00993E39">
      <w:pPr>
        <w:rPr>
          <w:lang w:eastAsia="de-DE"/>
        </w:rPr>
      </w:pPr>
      <w:r>
        <w:rPr>
          <w:lang w:eastAsia="de-DE"/>
        </w:rPr>
        <w:t xml:space="preserve">The new STC31-C gas concentration sensor is based on a revolutionary principle for measuring thermal conductivity and thus offers extremely high repeatability and long-term stability. It is small, measures accurately and reliably, and outputs a digital and fully calibrated signal for gas concentration and temperature. The sensor also impresses with its low power consumption and low cross-sensitivity to humidity and oxygen changes. </w:t>
      </w:r>
    </w:p>
    <w:p w14:paraId="1526D3D5" w14:textId="77777777" w:rsidR="00993E39" w:rsidRDefault="00993E39" w:rsidP="00993E39">
      <w:pPr>
        <w:rPr>
          <w:lang w:eastAsia="de-DE"/>
        </w:rPr>
      </w:pPr>
    </w:p>
    <w:p w14:paraId="0D9961E2" w14:textId="77777777" w:rsidR="00993E39" w:rsidRDefault="00993E39" w:rsidP="00993E39">
      <w:pPr>
        <w:rPr>
          <w:lang w:eastAsia="de-DE"/>
        </w:rPr>
      </w:pPr>
      <w:r>
        <w:rPr>
          <w:lang w:eastAsia="de-DE"/>
        </w:rPr>
        <w:t xml:space="preserve">The STC31-C is the successor to the proven STC31, but with the addition of a low-cross-sensitivity measurement mode. This mode offers very low cross-sensitivity to changes in humidity and oxygen concentration, enabling measurements of human breath. Otherwise, the STC31-C impresses with the same features as its predecessor and </w:t>
      </w:r>
      <w:r w:rsidRPr="00682ACB">
        <w:rPr>
          <w:lang w:eastAsia="de-DE"/>
        </w:rPr>
        <w:t>is ideal for measuring high-range CO</w:t>
      </w:r>
      <w:r w:rsidRPr="00682ACB">
        <w:rPr>
          <w:vertAlign w:val="subscript"/>
          <w:lang w:eastAsia="de-DE"/>
        </w:rPr>
        <w:t>2</w:t>
      </w:r>
      <w:r w:rsidRPr="00682ACB">
        <w:rPr>
          <w:lang w:eastAsia="de-DE"/>
        </w:rPr>
        <w:t xml:space="preserve"> concentrations in high-volume applications.</w:t>
      </w:r>
    </w:p>
    <w:p w14:paraId="504CC3DD" w14:textId="77777777" w:rsidR="00993E39" w:rsidRDefault="00993E39" w:rsidP="00993E39">
      <w:pPr>
        <w:rPr>
          <w:lang w:eastAsia="de-DE"/>
        </w:rPr>
      </w:pPr>
    </w:p>
    <w:p w14:paraId="2C02C7EF" w14:textId="77777777" w:rsidR="00993E39" w:rsidRDefault="00993E39" w:rsidP="00993E39">
      <w:pPr>
        <w:rPr>
          <w:lang w:eastAsia="de-DE"/>
        </w:rPr>
      </w:pPr>
      <w:r>
        <w:rPr>
          <w:lang w:eastAsia="de-DE"/>
        </w:rPr>
        <w:t xml:space="preserve">The outstanding performance of the STC31-C sensor is based on </w:t>
      </w:r>
      <w:proofErr w:type="spellStart"/>
      <w:r>
        <w:rPr>
          <w:lang w:eastAsia="de-DE"/>
        </w:rPr>
        <w:t>Sensirion’s</w:t>
      </w:r>
      <w:proofErr w:type="spellEnd"/>
      <w:r>
        <w:rPr>
          <w:lang w:eastAsia="de-DE"/>
        </w:rPr>
        <w:t xml:space="preserve"> patented </w:t>
      </w:r>
      <w:proofErr w:type="spellStart"/>
      <w:r>
        <w:rPr>
          <w:lang w:eastAsia="de-DE"/>
        </w:rPr>
        <w:t>CMOSens</w:t>
      </w:r>
      <w:proofErr w:type="spellEnd"/>
      <w:r>
        <w:rPr>
          <w:lang w:eastAsia="de-DE"/>
        </w:rPr>
        <w:t>® technology, which combines the sensor element and signal processing on a single tiny chip. The proven CMOS technology is ideally suited for demanding and cost-sensitive OEM applications in mass production.</w:t>
      </w:r>
    </w:p>
    <w:p w14:paraId="01BCDCB7" w14:textId="77777777" w:rsidR="00993E39" w:rsidRDefault="00993E39" w:rsidP="00993E39">
      <w:pPr>
        <w:rPr>
          <w:lang w:eastAsia="de-DE"/>
        </w:rPr>
      </w:pPr>
    </w:p>
    <w:p w14:paraId="456C177F" w14:textId="77777777" w:rsidR="00993E39" w:rsidRDefault="00993E39" w:rsidP="00993E39">
      <w:pPr>
        <w:rPr>
          <w:lang w:eastAsia="de-DE"/>
        </w:rPr>
      </w:pPr>
      <w:r>
        <w:rPr>
          <w:lang w:eastAsia="de-DE"/>
        </w:rPr>
        <w:t>Sensirion also offers an evaluation kit, the SEK-STC31-C, for initial tests and quick and easy evaluation of the sensor.</w:t>
      </w:r>
    </w:p>
    <w:p w14:paraId="5ECE33C3" w14:textId="77777777" w:rsidR="00993E39" w:rsidRDefault="00993E39" w:rsidP="00993E39">
      <w:pPr>
        <w:rPr>
          <w:lang w:eastAsia="de-DE"/>
        </w:rPr>
      </w:pPr>
    </w:p>
    <w:p w14:paraId="27A49B67" w14:textId="77777777" w:rsidR="00993E39" w:rsidRPr="00936C4F" w:rsidRDefault="00993E39" w:rsidP="00993E39">
      <w:pPr>
        <w:rPr>
          <w:lang w:eastAsia="de-DE"/>
        </w:rPr>
      </w:pPr>
      <w:r>
        <w:rPr>
          <w:lang w:eastAsia="de-DE"/>
        </w:rPr>
        <w:t>Find out more about the new STC31-C CO</w:t>
      </w:r>
      <w:r w:rsidRPr="00E50893">
        <w:rPr>
          <w:vertAlign w:val="subscript"/>
          <w:lang w:eastAsia="de-DE"/>
        </w:rPr>
        <w:t>2</w:t>
      </w:r>
      <w:r>
        <w:rPr>
          <w:lang w:eastAsia="de-DE"/>
        </w:rPr>
        <w:t xml:space="preserve"> concentration sensor on the Sensirion website and order the first sensors via distribution:</w:t>
      </w:r>
      <w:r w:rsidRPr="000C022A">
        <w:rPr>
          <w:lang w:eastAsia="de-DE"/>
        </w:rPr>
        <w:t xml:space="preserve"> </w:t>
      </w:r>
      <w:hyperlink r:id="rId11" w:history="1">
        <w:r w:rsidRPr="000C022A">
          <w:rPr>
            <w:rStyle w:val="Hyperlink"/>
            <w:lang w:eastAsia="de-DE"/>
          </w:rPr>
          <w:t>https://sensirion.com/products/catalog/STC31-C</w:t>
        </w:r>
      </w:hyperlink>
      <w:r w:rsidRPr="000C022A">
        <w:rPr>
          <w:lang w:eastAsia="de-DE"/>
        </w:rPr>
        <w:t xml:space="preserve"> </w:t>
      </w:r>
    </w:p>
    <w:p w14:paraId="3EC8DF09" w14:textId="77777777" w:rsidR="005B1B49" w:rsidRPr="00797C73" w:rsidRDefault="005B1B49" w:rsidP="005B1B49">
      <w:pPr>
        <w:pBdr>
          <w:bottom w:val="single" w:sz="6" w:space="1" w:color="auto"/>
        </w:pBdr>
        <w:rPr>
          <w:lang w:eastAsia="de-DE"/>
        </w:rPr>
      </w:pPr>
    </w:p>
    <w:p w14:paraId="3B2136A2" w14:textId="77777777" w:rsidR="00ED1987" w:rsidRPr="00797C73" w:rsidRDefault="00ED1987" w:rsidP="005B1B49">
      <w:pPr>
        <w:pBdr>
          <w:bottom w:val="single" w:sz="6" w:space="1" w:color="auto"/>
        </w:pBdr>
        <w:rPr>
          <w:lang w:eastAsia="de-DE"/>
        </w:rPr>
      </w:pPr>
    </w:p>
    <w:p w14:paraId="0439C0F1" w14:textId="77777777" w:rsidR="005B1B49" w:rsidRPr="00797C73" w:rsidRDefault="005B1B49" w:rsidP="005B1B49">
      <w:pPr>
        <w:rPr>
          <w:lang w:eastAsia="de-DE"/>
        </w:rPr>
      </w:pPr>
    </w:p>
    <w:p w14:paraId="36AB9A18" w14:textId="77777777" w:rsidR="005B1B49" w:rsidRDefault="005B1B49" w:rsidP="005B1B49">
      <w:pPr>
        <w:pStyle w:val="SensirionSubtitle"/>
      </w:pPr>
      <w:r>
        <w:t>About Sensirion – Experts for Environmental and Flow Sensor Solutions</w:t>
      </w:r>
    </w:p>
    <w:p w14:paraId="70435B90" w14:textId="77777777" w:rsidR="005B1B49" w:rsidRDefault="005B1B49" w:rsidP="005B1B49">
      <w:pPr>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Pr>
          <w:lang w:eastAsia="de-DE"/>
        </w:rPr>
        <w:t>Stäfa</w:t>
      </w:r>
      <w:proofErr w:type="spellEnd"/>
      <w:r>
        <w:rPr>
          <w:lang w:eastAsia="de-DE"/>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631CA323" w14:textId="77777777" w:rsidR="005B1B49" w:rsidRDefault="005B1B49" w:rsidP="005B1B49">
      <w:pPr>
        <w:rPr>
          <w:lang w:eastAsia="de-DE"/>
        </w:rPr>
      </w:pPr>
    </w:p>
    <w:p w14:paraId="5CAB716C" w14:textId="77777777" w:rsidR="00986756" w:rsidRPr="00936C4F" w:rsidRDefault="00986756" w:rsidP="00986756">
      <w:pPr>
        <w:rPr>
          <w:lang w:eastAsia="de-DE"/>
        </w:rPr>
      </w:pPr>
    </w:p>
    <w:sectPr w:rsidR="00986756" w:rsidRPr="00936C4F"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A7314" w14:textId="77777777" w:rsidR="00DC45B9" w:rsidRDefault="00DC45B9" w:rsidP="0054380F">
      <w:pPr>
        <w:spacing w:line="240" w:lineRule="auto"/>
      </w:pPr>
      <w:r>
        <w:separator/>
      </w:r>
    </w:p>
  </w:endnote>
  <w:endnote w:type="continuationSeparator" w:id="0">
    <w:p w14:paraId="7BDB0CFF" w14:textId="77777777" w:rsidR="00DC45B9" w:rsidRDefault="00DC45B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6396E"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D1FBA"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197CF"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993E39">
      <w:fldChar w:fldCharType="begin"/>
    </w:r>
    <w:r w:rsidR="00993E39">
      <w:instrText xml:space="preserve"> NUMPAGES   \* MERGEFORMAT </w:instrText>
    </w:r>
    <w:r w:rsidR="00993E39">
      <w:fldChar w:fldCharType="separate"/>
    </w:r>
    <w:r w:rsidR="001156D3">
      <w:rPr>
        <w:noProof/>
      </w:rPr>
      <w:t>1</w:t>
    </w:r>
    <w:r w:rsidR="00993E3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6CFF2" w14:textId="77777777" w:rsidR="00DC45B9" w:rsidRDefault="00DC45B9" w:rsidP="0054380F">
      <w:pPr>
        <w:spacing w:line="240" w:lineRule="auto"/>
      </w:pPr>
      <w:r>
        <w:separator/>
      </w:r>
    </w:p>
  </w:footnote>
  <w:footnote w:type="continuationSeparator" w:id="0">
    <w:p w14:paraId="71EEA669" w14:textId="77777777" w:rsidR="00DC45B9" w:rsidRDefault="00DC45B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1DBE0"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E0F20" w14:textId="77777777" w:rsidR="00D44150" w:rsidRDefault="00661641">
    <w:pPr>
      <w:pStyle w:val="Header"/>
    </w:pPr>
    <w:r>
      <w:rPr>
        <w:noProof/>
      </w:rPr>
      <w:drawing>
        <wp:anchor distT="0" distB="0" distL="0" distR="0" simplePos="0" relativeHeight="251655166" behindDoc="1" locked="1" layoutInCell="1" allowOverlap="1" wp14:anchorId="41CC87B9" wp14:editId="5E7FA0D1">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0AD12" w14:textId="77777777" w:rsidR="00D44150" w:rsidRDefault="00EE0CB5">
    <w:pPr>
      <w:pStyle w:val="Header"/>
    </w:pPr>
    <w:r>
      <w:rPr>
        <w:noProof/>
      </w:rPr>
      <w:drawing>
        <wp:anchor distT="0" distB="0" distL="114300" distR="114300" simplePos="0" relativeHeight="251657216" behindDoc="1" locked="0" layoutInCell="1" allowOverlap="1" wp14:anchorId="61495F3F" wp14:editId="56D7CE40">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B9"/>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779AB"/>
    <w:rsid w:val="002F53B8"/>
    <w:rsid w:val="002F75B2"/>
    <w:rsid w:val="003067D8"/>
    <w:rsid w:val="0033350F"/>
    <w:rsid w:val="00365915"/>
    <w:rsid w:val="00372AC0"/>
    <w:rsid w:val="00374196"/>
    <w:rsid w:val="00374349"/>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D1E9E"/>
    <w:rsid w:val="004E47E0"/>
    <w:rsid w:val="005007DF"/>
    <w:rsid w:val="00527B1E"/>
    <w:rsid w:val="0054380F"/>
    <w:rsid w:val="00584D18"/>
    <w:rsid w:val="00592B46"/>
    <w:rsid w:val="005B1B49"/>
    <w:rsid w:val="005C0352"/>
    <w:rsid w:val="005E7EB2"/>
    <w:rsid w:val="005F24E3"/>
    <w:rsid w:val="006227DA"/>
    <w:rsid w:val="00661641"/>
    <w:rsid w:val="00665C7D"/>
    <w:rsid w:val="006A5423"/>
    <w:rsid w:val="006C4645"/>
    <w:rsid w:val="006D30A0"/>
    <w:rsid w:val="006E5C06"/>
    <w:rsid w:val="00703360"/>
    <w:rsid w:val="00725B00"/>
    <w:rsid w:val="007267E3"/>
    <w:rsid w:val="00797C73"/>
    <w:rsid w:val="007B0CAA"/>
    <w:rsid w:val="00811948"/>
    <w:rsid w:val="00840AA5"/>
    <w:rsid w:val="008C3807"/>
    <w:rsid w:val="008C59CA"/>
    <w:rsid w:val="00923720"/>
    <w:rsid w:val="009249ED"/>
    <w:rsid w:val="00935B8D"/>
    <w:rsid w:val="00936C4F"/>
    <w:rsid w:val="00957A44"/>
    <w:rsid w:val="00964ADD"/>
    <w:rsid w:val="0098564E"/>
    <w:rsid w:val="00986756"/>
    <w:rsid w:val="00993E39"/>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BF3A52"/>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45B9"/>
    <w:rsid w:val="00DC7647"/>
    <w:rsid w:val="00E01F44"/>
    <w:rsid w:val="00E20478"/>
    <w:rsid w:val="00E32DB8"/>
    <w:rsid w:val="00E37B1D"/>
    <w:rsid w:val="00E76C33"/>
    <w:rsid w:val="00E94DCD"/>
    <w:rsid w:val="00EC096E"/>
    <w:rsid w:val="00ED119D"/>
    <w:rsid w:val="00ED1987"/>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A4B25"/>
  <w15:chartTrackingRefBased/>
  <w15:docId w15:val="{95862953-97AB-44AB-AB01-EA28F6B9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products/catalog/STC31-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A2C4110C-BF93-401F-9E55-2C8DF49CEF7F}"/>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Sensirion_Boilerplate_EN</Template>
  <TotalTime>0</TotalTime>
  <Pages>1</Pages>
  <Words>404</Words>
  <Characters>2547</Characters>
  <Application>Microsoft Office Word</Application>
  <DocSecurity>0</DocSecurity>
  <Lines>21</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3</cp:revision>
  <cp:lastPrinted>2023-10-09T08:18:00Z</cp:lastPrinted>
  <dcterms:created xsi:type="dcterms:W3CDTF">2024-08-14T11:08:00Z</dcterms:created>
  <dcterms:modified xsi:type="dcterms:W3CDTF">2024-08-14T11:10:00Z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